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D80F5A7" w14:textId="77777777" w:rsidR="001F446E" w:rsidRPr="001F446E" w:rsidRDefault="001F446E" w:rsidP="001F446E">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Hlk93052694"/>
      <w:bookmarkStart w:id="1" w:name="_Hlk97791231"/>
      <w:bookmarkStart w:id="2" w:name="_Hlk112680109"/>
      <w:bookmarkStart w:id="3" w:name="_GoBack"/>
      <w:bookmarkEnd w:id="3"/>
      <w:r w:rsidRPr="001F446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5CBE71" w14:textId="77777777" w:rsidR="001F446E" w:rsidRPr="001F446E" w:rsidRDefault="001F446E" w:rsidP="001F446E">
      <w:pPr>
        <w:spacing w:before="0" w:beforeAutospacing="0" w:after="0" w:afterAutospacing="0" w:line="240" w:lineRule="auto"/>
        <w:ind w:firstLine="0"/>
        <w:rPr>
          <w:rFonts w:ascii="Arial" w:eastAsia="Times New Roman" w:hAnsi="Arial" w:cs="Arial"/>
          <w:sz w:val="20"/>
          <w:szCs w:val="20"/>
          <w:lang w:val="es-419" w:eastAsia="es-ES"/>
        </w:rPr>
      </w:pPr>
    </w:p>
    <w:p w14:paraId="7DE37CDE" w14:textId="36E6AC4D" w:rsidR="001F446E" w:rsidRPr="001F446E" w:rsidRDefault="001F446E" w:rsidP="001F446E">
      <w:pPr>
        <w:spacing w:before="0" w:beforeAutospacing="0" w:after="0" w:afterAutospacing="0" w:line="240" w:lineRule="auto"/>
        <w:ind w:firstLine="0"/>
        <w:rPr>
          <w:rFonts w:ascii="Arial" w:eastAsia="Tahoma" w:hAnsi="Arial" w:cs="Arial"/>
          <w:sz w:val="20"/>
          <w:szCs w:val="20"/>
          <w:lang w:eastAsia="es-CO"/>
        </w:rPr>
      </w:pPr>
      <w:r w:rsidRPr="001F446E">
        <w:rPr>
          <w:rFonts w:ascii="Arial" w:eastAsia="Tahoma" w:hAnsi="Arial" w:cs="Arial"/>
          <w:sz w:val="20"/>
          <w:szCs w:val="20"/>
          <w:lang w:eastAsia="es-CO"/>
        </w:rPr>
        <w:t>Radicación:</w:t>
      </w:r>
      <w:r>
        <w:rPr>
          <w:rFonts w:ascii="Arial" w:eastAsia="Tahoma" w:hAnsi="Arial" w:cs="Arial"/>
          <w:sz w:val="20"/>
          <w:szCs w:val="20"/>
          <w:lang w:eastAsia="es-CO"/>
        </w:rPr>
        <w:tab/>
      </w:r>
      <w:r w:rsidRPr="001F446E">
        <w:rPr>
          <w:rFonts w:ascii="Arial" w:eastAsia="Tahoma" w:hAnsi="Arial" w:cs="Arial"/>
          <w:sz w:val="20"/>
          <w:szCs w:val="20"/>
          <w:lang w:eastAsia="es-CO"/>
        </w:rPr>
        <w:t>66001-31-05-005-2019-0227-00</w:t>
      </w:r>
    </w:p>
    <w:p w14:paraId="1B3A3F52" w14:textId="49DF2DC2" w:rsidR="001F446E" w:rsidRPr="001F446E" w:rsidRDefault="001F446E" w:rsidP="001F446E">
      <w:pPr>
        <w:spacing w:before="0" w:beforeAutospacing="0" w:after="0" w:afterAutospacing="0" w:line="240" w:lineRule="auto"/>
        <w:ind w:firstLine="0"/>
        <w:rPr>
          <w:rFonts w:ascii="Arial" w:eastAsia="Tahoma" w:hAnsi="Arial" w:cs="Arial"/>
          <w:sz w:val="20"/>
          <w:szCs w:val="20"/>
          <w:lang w:eastAsia="es-CO"/>
        </w:rPr>
      </w:pPr>
      <w:r w:rsidRPr="001F446E">
        <w:rPr>
          <w:rFonts w:ascii="Arial" w:eastAsia="Tahoma" w:hAnsi="Arial" w:cs="Arial"/>
          <w:sz w:val="20"/>
          <w:szCs w:val="20"/>
          <w:lang w:eastAsia="es-CO"/>
        </w:rPr>
        <w:t>Demandante:</w:t>
      </w:r>
      <w:r>
        <w:rPr>
          <w:rFonts w:ascii="Arial" w:eastAsia="Tahoma" w:hAnsi="Arial" w:cs="Arial"/>
          <w:sz w:val="20"/>
          <w:szCs w:val="20"/>
          <w:lang w:eastAsia="es-CO"/>
        </w:rPr>
        <w:tab/>
      </w:r>
      <w:r w:rsidRPr="001F446E">
        <w:rPr>
          <w:rFonts w:ascii="Arial" w:eastAsia="Tahoma" w:hAnsi="Arial" w:cs="Arial"/>
          <w:sz w:val="20"/>
          <w:szCs w:val="20"/>
          <w:lang w:eastAsia="es-CO"/>
        </w:rPr>
        <w:t>Gonzalo Ramírez Vargas</w:t>
      </w:r>
    </w:p>
    <w:p w14:paraId="249BEB35" w14:textId="08A9D34B" w:rsidR="001F446E" w:rsidRPr="001F446E" w:rsidRDefault="001F446E" w:rsidP="001F446E">
      <w:pPr>
        <w:spacing w:before="0" w:beforeAutospacing="0" w:after="0" w:afterAutospacing="0" w:line="240" w:lineRule="auto"/>
        <w:ind w:firstLine="0"/>
        <w:rPr>
          <w:rFonts w:ascii="Arial" w:eastAsia="Tahoma" w:hAnsi="Arial" w:cs="Arial"/>
          <w:sz w:val="20"/>
          <w:szCs w:val="20"/>
          <w:lang w:eastAsia="es-CO"/>
        </w:rPr>
      </w:pPr>
      <w:r w:rsidRPr="001F446E">
        <w:rPr>
          <w:rFonts w:ascii="Arial" w:eastAsia="Tahoma" w:hAnsi="Arial" w:cs="Arial"/>
          <w:sz w:val="20"/>
          <w:szCs w:val="20"/>
          <w:lang w:eastAsia="es-CO"/>
        </w:rPr>
        <w:t>Demandado:</w:t>
      </w:r>
      <w:r>
        <w:rPr>
          <w:rFonts w:ascii="Arial" w:eastAsia="Tahoma" w:hAnsi="Arial" w:cs="Arial"/>
          <w:sz w:val="20"/>
          <w:szCs w:val="20"/>
          <w:lang w:eastAsia="es-CO"/>
        </w:rPr>
        <w:tab/>
      </w:r>
      <w:r w:rsidRPr="001F446E">
        <w:rPr>
          <w:rFonts w:ascii="Arial" w:eastAsia="Tahoma" w:hAnsi="Arial" w:cs="Arial"/>
          <w:sz w:val="20"/>
          <w:szCs w:val="20"/>
          <w:lang w:eastAsia="es-CO"/>
        </w:rPr>
        <w:t xml:space="preserve">Colpensiones </w:t>
      </w:r>
    </w:p>
    <w:p w14:paraId="715DEDA4" w14:textId="1B47E981" w:rsidR="001F446E" w:rsidRPr="001F446E" w:rsidRDefault="001F446E" w:rsidP="001F446E">
      <w:pPr>
        <w:spacing w:before="0" w:beforeAutospacing="0" w:after="0" w:afterAutospacing="0" w:line="240" w:lineRule="auto"/>
        <w:ind w:firstLine="0"/>
        <w:rPr>
          <w:rFonts w:ascii="Arial" w:eastAsia="Tahoma" w:hAnsi="Arial" w:cs="Arial"/>
          <w:sz w:val="20"/>
          <w:szCs w:val="20"/>
          <w:lang w:eastAsia="es-CO"/>
        </w:rPr>
      </w:pPr>
      <w:r w:rsidRPr="001F446E">
        <w:rPr>
          <w:rFonts w:ascii="Arial" w:eastAsia="Tahoma" w:hAnsi="Arial" w:cs="Arial"/>
          <w:sz w:val="20"/>
          <w:szCs w:val="20"/>
          <w:lang w:eastAsia="es-CO"/>
        </w:rPr>
        <w:t>Juzgado:</w:t>
      </w:r>
      <w:r>
        <w:rPr>
          <w:rFonts w:ascii="Arial" w:eastAsia="Tahoma" w:hAnsi="Arial" w:cs="Arial"/>
          <w:sz w:val="20"/>
          <w:szCs w:val="20"/>
          <w:lang w:eastAsia="es-CO"/>
        </w:rPr>
        <w:tab/>
      </w:r>
      <w:r w:rsidRPr="001F446E">
        <w:rPr>
          <w:rFonts w:ascii="Arial" w:eastAsia="Tahoma" w:hAnsi="Arial" w:cs="Arial"/>
          <w:sz w:val="20"/>
          <w:szCs w:val="20"/>
          <w:lang w:eastAsia="es-CO"/>
        </w:rPr>
        <w:t>Quinto Laboral del Circuito de Pereira</w:t>
      </w:r>
    </w:p>
    <w:p w14:paraId="3B72A1CE" w14:textId="77777777" w:rsidR="001F446E" w:rsidRPr="001F446E" w:rsidRDefault="001F446E" w:rsidP="001F446E">
      <w:pPr>
        <w:spacing w:before="0" w:beforeAutospacing="0" w:after="0" w:afterAutospacing="0" w:line="240" w:lineRule="auto"/>
        <w:ind w:firstLine="0"/>
        <w:rPr>
          <w:rFonts w:ascii="Arial" w:eastAsia="Tahoma" w:hAnsi="Arial" w:cs="Arial"/>
          <w:color w:val="000000"/>
          <w:sz w:val="20"/>
          <w:szCs w:val="20"/>
          <w:lang w:val="es-ES" w:eastAsia="es-CO"/>
        </w:rPr>
      </w:pPr>
    </w:p>
    <w:bookmarkEnd w:id="0"/>
    <w:bookmarkEnd w:id="1"/>
    <w:p w14:paraId="37B62963" w14:textId="4FA5878A" w:rsidR="001F446E" w:rsidRPr="001F446E" w:rsidRDefault="00B53129" w:rsidP="001F446E">
      <w:pPr>
        <w:spacing w:before="0" w:beforeAutospacing="0" w:after="0" w:afterAutospacing="0" w:line="240" w:lineRule="auto"/>
        <w:ind w:firstLine="0"/>
        <w:rPr>
          <w:rFonts w:ascii="Arial" w:eastAsia="Times New Roman" w:hAnsi="Arial" w:cs="Arial"/>
          <w:b/>
          <w:bCs/>
          <w:iCs/>
          <w:sz w:val="20"/>
          <w:szCs w:val="20"/>
          <w:lang w:val="es-419" w:eastAsia="fr-FR"/>
        </w:rPr>
      </w:pPr>
      <w:r w:rsidRPr="001F446E">
        <w:rPr>
          <w:rFonts w:ascii="Arial" w:eastAsia="Times New Roman" w:hAnsi="Arial" w:cs="Arial"/>
          <w:b/>
          <w:bCs/>
          <w:iCs/>
          <w:sz w:val="20"/>
          <w:szCs w:val="20"/>
          <w:u w:val="single"/>
          <w:lang w:val="es-419" w:eastAsia="fr-FR"/>
        </w:rPr>
        <w:t>TEMAS:</w:t>
      </w:r>
      <w:r w:rsidRPr="001F446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VEJEZ / RÉGIMEN DE TRANSICIÓN / ACUMULACIÓN TIEMPOS PÚBLICOS Y PRIVADOS / EVOLUCIÓN JURISPRUDENCIAL / MORA PATRONAL Y FALTA DE AFILIACIÓN / CONSECUENCIAS / NO PUEDEN AFECTAR AL TRABAJADOR.</w:t>
      </w:r>
    </w:p>
    <w:p w14:paraId="625E94BA" w14:textId="77777777" w:rsidR="001F446E" w:rsidRPr="001F446E" w:rsidRDefault="001F446E" w:rsidP="001F446E">
      <w:pPr>
        <w:spacing w:before="0" w:beforeAutospacing="0" w:after="0" w:afterAutospacing="0" w:line="240" w:lineRule="auto"/>
        <w:ind w:firstLine="0"/>
        <w:rPr>
          <w:rFonts w:ascii="Arial" w:eastAsia="Times New Roman" w:hAnsi="Arial" w:cs="Arial"/>
          <w:sz w:val="20"/>
          <w:szCs w:val="20"/>
          <w:lang w:val="es-419" w:eastAsia="es-ES"/>
        </w:rPr>
      </w:pPr>
    </w:p>
    <w:p w14:paraId="617C94A3" w14:textId="2FD68832" w:rsidR="001F446E" w:rsidRPr="001F446E" w:rsidRDefault="00EC4503" w:rsidP="001F446E">
      <w:pPr>
        <w:spacing w:before="0" w:beforeAutospacing="0" w:after="0" w:afterAutospacing="0" w:line="240" w:lineRule="auto"/>
        <w:ind w:firstLine="0"/>
        <w:rPr>
          <w:rFonts w:ascii="Arial" w:eastAsia="Times New Roman" w:hAnsi="Arial" w:cs="Arial"/>
          <w:sz w:val="20"/>
          <w:szCs w:val="20"/>
          <w:lang w:val="es-419" w:eastAsia="es-ES"/>
        </w:rPr>
      </w:pPr>
      <w:r w:rsidRPr="00EC4503">
        <w:rPr>
          <w:rFonts w:ascii="Arial" w:eastAsia="Times New Roman" w:hAnsi="Arial" w:cs="Arial"/>
          <w:sz w:val="20"/>
          <w:szCs w:val="20"/>
          <w:lang w:val="es-419" w:eastAsia="es-ES"/>
        </w:rPr>
        <w:t>La Ley 100 de 1993 instituyó en su artículo 36 un régimen de transición establecido para proteger las expectativas legitimas de aquel segmento de la población que a la entrada en vigencia de la nueva regla pensional prevista en la Ley 100 de 1993, estuvieran próximas a pensionarse -por edad o tiempo de servicios</w:t>
      </w:r>
      <w:r>
        <w:rPr>
          <w:rFonts w:ascii="Arial" w:eastAsia="Times New Roman" w:hAnsi="Arial" w:cs="Arial"/>
          <w:sz w:val="20"/>
          <w:szCs w:val="20"/>
          <w:lang w:val="es-419" w:eastAsia="es-ES"/>
        </w:rPr>
        <w:t>…</w:t>
      </w:r>
    </w:p>
    <w:p w14:paraId="035F0EBB" w14:textId="77777777" w:rsidR="001F446E" w:rsidRPr="001F446E" w:rsidRDefault="001F446E" w:rsidP="001F446E">
      <w:pPr>
        <w:spacing w:before="0" w:beforeAutospacing="0" w:after="0" w:afterAutospacing="0" w:line="240" w:lineRule="auto"/>
        <w:ind w:firstLine="0"/>
        <w:rPr>
          <w:rFonts w:ascii="Arial" w:eastAsia="Times New Roman" w:hAnsi="Arial" w:cs="Arial"/>
          <w:sz w:val="20"/>
          <w:szCs w:val="20"/>
          <w:lang w:val="es-419" w:eastAsia="es-ES"/>
        </w:rPr>
      </w:pPr>
    </w:p>
    <w:p w14:paraId="26E7006D" w14:textId="77777777" w:rsidR="00A43C58" w:rsidRPr="00A43C58" w:rsidRDefault="00A43C58" w:rsidP="00A43C58">
      <w:pPr>
        <w:spacing w:before="0" w:beforeAutospacing="0" w:after="0" w:afterAutospacing="0" w:line="240" w:lineRule="auto"/>
        <w:ind w:firstLine="0"/>
        <w:rPr>
          <w:rFonts w:ascii="Arial" w:eastAsia="Times New Roman" w:hAnsi="Arial" w:cs="Arial"/>
          <w:sz w:val="20"/>
          <w:szCs w:val="20"/>
          <w:lang w:val="es-419" w:eastAsia="es-ES"/>
        </w:rPr>
      </w:pPr>
      <w:r w:rsidRPr="00A43C58">
        <w:rPr>
          <w:rFonts w:ascii="Arial" w:eastAsia="Times New Roman" w:hAnsi="Arial" w:cs="Arial"/>
          <w:sz w:val="20"/>
          <w:szCs w:val="20"/>
          <w:lang w:val="es-419" w:eastAsia="es-ES"/>
        </w:rPr>
        <w:t>Este régimen, modificado por el Acto Legislativo 01 de 2005, mientras estuvo vigente, permitía a sus beneficiarios pensionarse con los requisitos de edad, tiempo de servicios o semanas de cotización, y monto de la pensión previstos en el régimen al que venían afiliados a la entrada en vigencia de la precitada Ley 100 de 1993, sin perjuicio de que las demás condiciones y requisitos aplicable a estas personas para acceder a la pensión se rijan por las disposiciones contenidas en la Ley 100 de 1993.</w:t>
      </w:r>
    </w:p>
    <w:p w14:paraId="07081D62" w14:textId="77777777" w:rsidR="00A43C58" w:rsidRPr="00A43C58" w:rsidRDefault="00A43C58" w:rsidP="00A43C58">
      <w:pPr>
        <w:spacing w:before="0" w:beforeAutospacing="0" w:after="0" w:afterAutospacing="0" w:line="240" w:lineRule="auto"/>
        <w:ind w:firstLine="0"/>
        <w:rPr>
          <w:rFonts w:ascii="Arial" w:eastAsia="Times New Roman" w:hAnsi="Arial" w:cs="Arial"/>
          <w:sz w:val="20"/>
          <w:szCs w:val="20"/>
          <w:lang w:val="es-419" w:eastAsia="es-ES"/>
        </w:rPr>
      </w:pPr>
    </w:p>
    <w:p w14:paraId="70C4C36B" w14:textId="08D1C4F6" w:rsidR="001F446E" w:rsidRPr="001F446E" w:rsidRDefault="00A43C58" w:rsidP="00A43C58">
      <w:pPr>
        <w:spacing w:before="0" w:beforeAutospacing="0" w:after="0" w:afterAutospacing="0" w:line="240" w:lineRule="auto"/>
        <w:ind w:firstLine="0"/>
        <w:rPr>
          <w:rFonts w:ascii="Arial" w:eastAsia="Times New Roman" w:hAnsi="Arial" w:cs="Arial"/>
          <w:sz w:val="20"/>
          <w:szCs w:val="20"/>
          <w:lang w:val="es-419" w:eastAsia="es-ES"/>
        </w:rPr>
      </w:pPr>
      <w:r w:rsidRPr="00A43C58">
        <w:rPr>
          <w:rFonts w:ascii="Arial" w:eastAsia="Times New Roman" w:hAnsi="Arial" w:cs="Arial"/>
          <w:sz w:val="20"/>
          <w:szCs w:val="20"/>
          <w:lang w:val="es-419" w:eastAsia="es-ES"/>
        </w:rPr>
        <w:t>En este sentido, el artículo 15 del citado estatuto de seguridad social prescribe que son afiliados obligatorios todas las personas vinculadas mediante contrato de trabajo y los servidores públicos</w:t>
      </w:r>
      <w:r>
        <w:rPr>
          <w:rFonts w:ascii="Arial" w:eastAsia="Times New Roman" w:hAnsi="Arial" w:cs="Arial"/>
          <w:sz w:val="20"/>
          <w:szCs w:val="20"/>
          <w:lang w:val="es-419" w:eastAsia="es-ES"/>
        </w:rPr>
        <w:t>…</w:t>
      </w:r>
    </w:p>
    <w:p w14:paraId="4789D582" w14:textId="77777777" w:rsidR="001F446E" w:rsidRPr="001F446E" w:rsidRDefault="001F446E" w:rsidP="001F446E">
      <w:pPr>
        <w:spacing w:before="0" w:beforeAutospacing="0" w:after="0" w:afterAutospacing="0" w:line="240" w:lineRule="auto"/>
        <w:ind w:firstLine="0"/>
        <w:rPr>
          <w:rFonts w:ascii="Arial" w:eastAsia="Times New Roman" w:hAnsi="Arial" w:cs="Arial"/>
          <w:sz w:val="20"/>
          <w:szCs w:val="20"/>
          <w:lang w:val="es-419" w:eastAsia="es-ES"/>
        </w:rPr>
      </w:pPr>
    </w:p>
    <w:p w14:paraId="0DD0BCF6" w14:textId="6A5621A1" w:rsidR="001F446E" w:rsidRPr="001F446E" w:rsidRDefault="00AB0190" w:rsidP="001F446E">
      <w:pPr>
        <w:spacing w:before="0" w:beforeAutospacing="0" w:after="0" w:afterAutospacing="0" w:line="240" w:lineRule="auto"/>
        <w:ind w:firstLine="0"/>
        <w:rPr>
          <w:rFonts w:ascii="Arial" w:eastAsia="Times New Roman" w:hAnsi="Arial" w:cs="Arial"/>
          <w:sz w:val="20"/>
          <w:szCs w:val="20"/>
          <w:lang w:val="es-419" w:eastAsia="es-ES"/>
        </w:rPr>
      </w:pPr>
      <w:r w:rsidRPr="00AB0190">
        <w:rPr>
          <w:rFonts w:ascii="Arial" w:eastAsia="Times New Roman" w:hAnsi="Arial" w:cs="Arial"/>
          <w:sz w:val="20"/>
          <w:szCs w:val="20"/>
          <w:lang w:val="es-419" w:eastAsia="es-ES"/>
        </w:rPr>
        <w:t>El artículo 11 de la Ley 100 de 1993, dispone que las pensiones reguladas integralmente por normas anteriores son aquellas adquiridas con antelación «a la fecha de vigencia de esta ley». Ello así, las pensiones obtenidas después de la entrada en vigencia del sistema general de pensiones, sea en virtud del régimen de transición o según las reglas de la pensión ordinaria de vejez, se entienden incluidas en este sistema</w:t>
      </w:r>
      <w:r>
        <w:rPr>
          <w:rFonts w:ascii="Arial" w:eastAsia="Times New Roman" w:hAnsi="Arial" w:cs="Arial"/>
          <w:sz w:val="20"/>
          <w:szCs w:val="20"/>
          <w:lang w:val="es-419" w:eastAsia="es-ES"/>
        </w:rPr>
        <w:t>…</w:t>
      </w:r>
    </w:p>
    <w:p w14:paraId="1BEDEFF4" w14:textId="5C3F7B21" w:rsidR="001F446E" w:rsidRDefault="001F446E" w:rsidP="001F446E">
      <w:pPr>
        <w:spacing w:before="0" w:beforeAutospacing="0" w:after="0" w:afterAutospacing="0" w:line="240" w:lineRule="auto"/>
        <w:ind w:firstLine="0"/>
        <w:rPr>
          <w:rFonts w:ascii="Arial" w:eastAsia="Times New Roman" w:hAnsi="Arial" w:cs="Arial"/>
          <w:sz w:val="20"/>
          <w:szCs w:val="20"/>
          <w:lang w:val="es-419" w:eastAsia="es-ES"/>
        </w:rPr>
      </w:pPr>
    </w:p>
    <w:p w14:paraId="0A639B46" w14:textId="4CB0AE51" w:rsidR="00AB0190" w:rsidRDefault="00AB0190" w:rsidP="001F446E">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B0190">
        <w:rPr>
          <w:rFonts w:ascii="Arial" w:eastAsia="Times New Roman" w:hAnsi="Arial" w:cs="Arial"/>
          <w:sz w:val="20"/>
          <w:szCs w:val="20"/>
          <w:lang w:val="es-419" w:eastAsia="es-ES"/>
        </w:rPr>
        <w:t>en la citada sentencia, SL-1947 de 2020, la Corte varió tal precedente, al considerar que si el artículo 36 de la Ley 100 de 1993,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tiempos públicos, así estos no hayan sido objeto de aportes a cajas, fondos o entidades de previsión social</w:t>
      </w:r>
      <w:r>
        <w:rPr>
          <w:rFonts w:ascii="Arial" w:eastAsia="Times New Roman" w:hAnsi="Arial" w:cs="Arial"/>
          <w:sz w:val="20"/>
          <w:szCs w:val="20"/>
          <w:lang w:val="es-419" w:eastAsia="es-ES"/>
        </w:rPr>
        <w:t>…</w:t>
      </w:r>
    </w:p>
    <w:p w14:paraId="3CE39BFC" w14:textId="02E3E98B" w:rsidR="00AB0190" w:rsidRDefault="00AB0190" w:rsidP="001F446E">
      <w:pPr>
        <w:spacing w:before="0" w:beforeAutospacing="0" w:after="0" w:afterAutospacing="0" w:line="240" w:lineRule="auto"/>
        <w:ind w:firstLine="0"/>
        <w:rPr>
          <w:rFonts w:ascii="Arial" w:eastAsia="Times New Roman" w:hAnsi="Arial" w:cs="Arial"/>
          <w:sz w:val="20"/>
          <w:szCs w:val="20"/>
          <w:lang w:val="es-419" w:eastAsia="es-ES"/>
        </w:rPr>
      </w:pPr>
    </w:p>
    <w:p w14:paraId="7C83288C" w14:textId="67B1C427" w:rsidR="00AB0190" w:rsidRDefault="00DA177E" w:rsidP="001F446E">
      <w:pPr>
        <w:spacing w:before="0" w:beforeAutospacing="0" w:after="0" w:afterAutospacing="0" w:line="240" w:lineRule="auto"/>
        <w:ind w:firstLine="0"/>
        <w:rPr>
          <w:rFonts w:ascii="Arial" w:eastAsia="Times New Roman" w:hAnsi="Arial" w:cs="Arial"/>
          <w:sz w:val="20"/>
          <w:szCs w:val="20"/>
          <w:lang w:val="es-419" w:eastAsia="es-ES"/>
        </w:rPr>
      </w:pPr>
      <w:r w:rsidRPr="00DA177E">
        <w:rPr>
          <w:rFonts w:ascii="Arial" w:eastAsia="Times New Roman" w:hAnsi="Arial" w:cs="Arial"/>
          <w:sz w:val="20"/>
          <w:szCs w:val="20"/>
          <w:lang w:val="es-419" w:eastAsia="es-ES"/>
        </w:rPr>
        <w:t>La jurisprudencia patria ha sido clara en determinar que ni la mora en el pago de los aportes ni la falta de afiliación por parte del empleador pueden perjudicar las aspiraciones del trabajador de obtener el reconocimiento pensional, sumándose los tiempos echados de menos por la omisión de las obligaciones del patrono, siempre que en el curso del proceso logre demostrar el vínculo contractual durante los periodos incumplidos</w:t>
      </w:r>
      <w:r>
        <w:rPr>
          <w:rFonts w:ascii="Arial" w:eastAsia="Times New Roman" w:hAnsi="Arial" w:cs="Arial"/>
          <w:sz w:val="20"/>
          <w:szCs w:val="20"/>
          <w:lang w:val="es-419" w:eastAsia="es-ES"/>
        </w:rPr>
        <w:t>…</w:t>
      </w:r>
    </w:p>
    <w:p w14:paraId="3D7D553E" w14:textId="0C3C0AC3" w:rsidR="00DA177E" w:rsidRDefault="00DA177E" w:rsidP="001F446E">
      <w:pPr>
        <w:spacing w:before="0" w:beforeAutospacing="0" w:after="0" w:afterAutospacing="0" w:line="240" w:lineRule="auto"/>
        <w:ind w:firstLine="0"/>
        <w:rPr>
          <w:rFonts w:ascii="Arial" w:eastAsia="Times New Roman" w:hAnsi="Arial" w:cs="Arial"/>
          <w:sz w:val="20"/>
          <w:szCs w:val="20"/>
          <w:lang w:val="es-419" w:eastAsia="es-ES"/>
        </w:rPr>
      </w:pPr>
    </w:p>
    <w:p w14:paraId="76758924" w14:textId="6457157E" w:rsidR="00DA177E" w:rsidRDefault="00B81AF0" w:rsidP="001F446E">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81AF0">
        <w:rPr>
          <w:rFonts w:ascii="Arial" w:eastAsia="Times New Roman" w:hAnsi="Arial" w:cs="Arial"/>
          <w:sz w:val="20"/>
          <w:szCs w:val="20"/>
          <w:lang w:val="es-419" w:eastAsia="es-ES"/>
        </w:rPr>
        <w:t>si bien en ambos supuestos (mora y falta de afiliación), una vez acreditada la relación laboral, la obligación de reconocimiento de la prestación está a cargo de la administradora pensional; dependiendo de la situación que se presente, al empleador le compete o bien efectuar el pago de los aportes debidos con los respectivos intereses moratorios, caso de la mora patronal o  tratándose de la falta de afiliación, cancelar el cálculo actuarial por los tiempos en que no hubo inscripción al sistema pensional</w:t>
      </w:r>
      <w:r>
        <w:rPr>
          <w:rFonts w:ascii="Arial" w:eastAsia="Times New Roman" w:hAnsi="Arial" w:cs="Arial"/>
          <w:sz w:val="20"/>
          <w:szCs w:val="20"/>
          <w:lang w:val="es-419" w:eastAsia="es-ES"/>
        </w:rPr>
        <w:t>…</w:t>
      </w:r>
    </w:p>
    <w:p w14:paraId="6733E117" w14:textId="77777777" w:rsidR="00B81AF0" w:rsidRDefault="00B81AF0" w:rsidP="001F446E">
      <w:pPr>
        <w:spacing w:before="0" w:beforeAutospacing="0" w:after="0" w:afterAutospacing="0" w:line="240" w:lineRule="auto"/>
        <w:ind w:firstLine="0"/>
        <w:rPr>
          <w:rFonts w:ascii="Arial" w:eastAsia="Times New Roman" w:hAnsi="Arial" w:cs="Arial"/>
          <w:sz w:val="20"/>
          <w:szCs w:val="20"/>
          <w:lang w:val="es-419" w:eastAsia="es-ES"/>
        </w:rPr>
      </w:pPr>
    </w:p>
    <w:p w14:paraId="2CA78D18" w14:textId="77777777" w:rsidR="00DA177E" w:rsidRPr="001F446E" w:rsidRDefault="00DA177E" w:rsidP="001F446E">
      <w:pPr>
        <w:spacing w:before="0" w:beforeAutospacing="0" w:after="0" w:afterAutospacing="0" w:line="240" w:lineRule="auto"/>
        <w:ind w:firstLine="0"/>
        <w:rPr>
          <w:rFonts w:ascii="Arial" w:eastAsia="Times New Roman" w:hAnsi="Arial" w:cs="Arial"/>
          <w:sz w:val="20"/>
          <w:szCs w:val="20"/>
          <w:lang w:val="es-419" w:eastAsia="es-ES"/>
        </w:rPr>
      </w:pPr>
    </w:p>
    <w:p w14:paraId="121B1B2A" w14:textId="77777777" w:rsidR="001F446E" w:rsidRPr="001F446E" w:rsidRDefault="001F446E" w:rsidP="001F446E">
      <w:pPr>
        <w:spacing w:before="0" w:beforeAutospacing="0" w:after="0" w:afterAutospacing="0" w:line="240" w:lineRule="auto"/>
        <w:ind w:firstLine="0"/>
        <w:rPr>
          <w:rFonts w:ascii="Arial" w:eastAsia="Times New Roman" w:hAnsi="Arial" w:cs="Arial"/>
          <w:sz w:val="20"/>
          <w:szCs w:val="20"/>
          <w:lang w:val="es-419" w:eastAsia="es-ES"/>
        </w:rPr>
      </w:pPr>
    </w:p>
    <w:p w14:paraId="1B48FCCC" w14:textId="77777777" w:rsidR="003B6848" w:rsidRPr="001F446E" w:rsidRDefault="003B6848" w:rsidP="001F446E">
      <w:pPr>
        <w:pStyle w:val="Ttulo4"/>
        <w:widowControl w:val="0"/>
        <w:tabs>
          <w:tab w:val="clear" w:pos="0"/>
        </w:tabs>
        <w:spacing w:line="276" w:lineRule="auto"/>
        <w:ind w:right="49"/>
        <w:contextualSpacing/>
        <w:rPr>
          <w:rFonts w:ascii="Tahoma" w:hAnsi="Tahoma" w:cs="Tahoma"/>
          <w:bCs/>
          <w:szCs w:val="24"/>
          <w:lang w:eastAsia="es-MX"/>
        </w:rPr>
      </w:pPr>
      <w:bookmarkStart w:id="4" w:name="_Hlk89346566"/>
      <w:bookmarkEnd w:id="2"/>
      <w:r w:rsidRPr="001F446E">
        <w:rPr>
          <w:rFonts w:ascii="Tahoma" w:hAnsi="Tahoma" w:cs="Tahoma"/>
          <w:bCs/>
          <w:szCs w:val="24"/>
          <w:lang w:eastAsia="es-MX"/>
        </w:rPr>
        <w:t>TRIBUNAL SUPERIOR DEL DISTRITO JUDICIAL DE PEREIRA</w:t>
      </w:r>
    </w:p>
    <w:p w14:paraId="5A16DD1F" w14:textId="5F655AE0" w:rsidR="003B6848" w:rsidRPr="001F446E" w:rsidRDefault="003B6848" w:rsidP="001F446E">
      <w:pPr>
        <w:pStyle w:val="Ttulo4"/>
        <w:widowControl w:val="0"/>
        <w:tabs>
          <w:tab w:val="clear" w:pos="0"/>
        </w:tabs>
        <w:spacing w:line="276" w:lineRule="auto"/>
        <w:ind w:right="49"/>
        <w:contextualSpacing/>
        <w:rPr>
          <w:rFonts w:ascii="Tahoma" w:hAnsi="Tahoma" w:cs="Tahoma"/>
          <w:bCs/>
          <w:szCs w:val="24"/>
          <w:lang w:eastAsia="es-MX"/>
        </w:rPr>
      </w:pPr>
      <w:r w:rsidRPr="001F446E">
        <w:rPr>
          <w:rFonts w:ascii="Tahoma" w:hAnsi="Tahoma" w:cs="Tahoma"/>
          <w:bCs/>
          <w:szCs w:val="24"/>
          <w:lang w:eastAsia="es-MX"/>
        </w:rPr>
        <w:t>SALA PRIMERA DE DECISION LABORAL</w:t>
      </w:r>
    </w:p>
    <w:p w14:paraId="1EA4F8CA" w14:textId="77777777" w:rsidR="000A7489" w:rsidRPr="001F446E" w:rsidRDefault="000A7489" w:rsidP="001F446E">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1F446E" w:rsidRDefault="003B6848" w:rsidP="001F446E">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1F446E">
        <w:rPr>
          <w:rFonts w:ascii="Tahoma" w:eastAsia="Times New Roman" w:hAnsi="Tahoma" w:cs="Tahoma"/>
          <w:lang w:eastAsia="es-CO"/>
        </w:rPr>
        <w:t>Magistrada Ponente: </w:t>
      </w:r>
      <w:r w:rsidRPr="001F446E">
        <w:rPr>
          <w:rFonts w:ascii="Tahoma" w:eastAsia="Times New Roman" w:hAnsi="Tahoma" w:cs="Tahoma"/>
          <w:b/>
          <w:bCs/>
          <w:lang w:eastAsia="es-CO"/>
        </w:rPr>
        <w:t>Ana Lucía Caicedo Calderón</w:t>
      </w:r>
    </w:p>
    <w:p w14:paraId="2EE6C2C2" w14:textId="438562DA" w:rsidR="003B6848" w:rsidRPr="001F446E" w:rsidRDefault="003B6848" w:rsidP="001F446E">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4"/>
    <w:p w14:paraId="3BCA783F" w14:textId="77777777" w:rsidR="005315D6" w:rsidRPr="001F446E" w:rsidRDefault="005315D6" w:rsidP="001F446E">
      <w:pPr>
        <w:spacing w:before="0" w:beforeAutospacing="0" w:after="0" w:afterAutospacing="0" w:line="276" w:lineRule="auto"/>
        <w:contextualSpacing/>
        <w:jc w:val="center"/>
        <w:rPr>
          <w:rFonts w:ascii="Tahoma" w:eastAsia="Times New Roman" w:hAnsi="Tahoma" w:cs="Tahoma"/>
          <w:lang w:eastAsia="es-CO"/>
        </w:rPr>
      </w:pPr>
      <w:r w:rsidRPr="001F446E">
        <w:rPr>
          <w:rFonts w:ascii="Tahoma" w:eastAsia="Times New Roman" w:hAnsi="Tahoma" w:cs="Tahoma"/>
          <w:lang w:eastAsia="es-CO"/>
        </w:rPr>
        <w:t>Pereira, Risaralda, dieciocho (18) de julio de dos mil veintidós (2022)</w:t>
      </w:r>
    </w:p>
    <w:p w14:paraId="6173CA4C" w14:textId="77777777" w:rsidR="005315D6" w:rsidRPr="001F446E" w:rsidRDefault="005315D6" w:rsidP="001F446E">
      <w:pPr>
        <w:spacing w:before="0" w:beforeAutospacing="0" w:after="0" w:afterAutospacing="0" w:line="276" w:lineRule="auto"/>
        <w:contextualSpacing/>
        <w:jc w:val="center"/>
        <w:rPr>
          <w:rFonts w:ascii="Tahoma" w:eastAsia="Times New Roman" w:hAnsi="Tahoma" w:cs="Tahoma"/>
          <w:lang w:eastAsia="es-CO"/>
        </w:rPr>
      </w:pPr>
      <w:r w:rsidRPr="001F446E">
        <w:rPr>
          <w:rFonts w:ascii="Tahoma" w:eastAsia="Times New Roman" w:hAnsi="Tahoma" w:cs="Tahoma"/>
          <w:lang w:eastAsia="es-CO"/>
        </w:rPr>
        <w:t>Acta No. __ del 14 de julio de 2022</w:t>
      </w:r>
    </w:p>
    <w:p w14:paraId="77C0F7AD" w14:textId="733181A7" w:rsidR="003B6848" w:rsidRPr="001F446E" w:rsidRDefault="003B6848" w:rsidP="001F446E">
      <w:pPr>
        <w:spacing w:before="0" w:beforeAutospacing="0" w:after="0" w:afterAutospacing="0" w:line="276" w:lineRule="auto"/>
        <w:contextualSpacing/>
        <w:jc w:val="center"/>
        <w:rPr>
          <w:rFonts w:ascii="Tahoma" w:hAnsi="Tahoma" w:cs="Tahoma"/>
          <w:b/>
        </w:rPr>
      </w:pPr>
    </w:p>
    <w:p w14:paraId="4D47DCFA" w14:textId="77777777" w:rsidR="00151506" w:rsidRPr="001F446E" w:rsidRDefault="00151506" w:rsidP="001F446E">
      <w:pPr>
        <w:spacing w:before="0" w:beforeAutospacing="0" w:after="0" w:afterAutospacing="0" w:line="276" w:lineRule="auto"/>
        <w:contextualSpacing/>
        <w:jc w:val="center"/>
        <w:rPr>
          <w:rFonts w:ascii="Tahoma" w:hAnsi="Tahoma" w:cs="Tahoma"/>
          <w:b/>
        </w:rPr>
      </w:pPr>
    </w:p>
    <w:p w14:paraId="29B40BBB" w14:textId="6DF6A70D" w:rsidR="0057307A" w:rsidRPr="003A3086" w:rsidRDefault="003B6848" w:rsidP="001F446E">
      <w:pPr>
        <w:spacing w:before="0" w:beforeAutospacing="0" w:after="0" w:afterAutospacing="0" w:line="276" w:lineRule="auto"/>
        <w:ind w:firstLine="708"/>
        <w:contextualSpacing/>
        <w:rPr>
          <w:rFonts w:ascii="Tahoma" w:hAnsi="Tahoma" w:cs="Tahoma"/>
          <w:bCs/>
        </w:rPr>
      </w:pPr>
      <w:r w:rsidRPr="001F446E">
        <w:rPr>
          <w:rFonts w:ascii="Tahoma" w:hAnsi="Tahoma" w:cs="Tahoma"/>
        </w:rPr>
        <w:lastRenderedPageBreak/>
        <w:t xml:space="preserve">Teniendo en cuenta que el artículo 15 del Decreto </w:t>
      </w:r>
      <w:r w:rsidR="00AD1ACE" w:rsidRPr="001F446E">
        <w:rPr>
          <w:rFonts w:ascii="Tahoma" w:hAnsi="Tahoma" w:cs="Tahoma"/>
        </w:rPr>
        <w:t>8</w:t>
      </w:r>
      <w:r w:rsidRPr="001F446E">
        <w:rPr>
          <w:rFonts w:ascii="Tahoma" w:hAnsi="Tahoma" w:cs="Tahoma"/>
        </w:rPr>
        <w:t>06 del 4 de junio de</w:t>
      </w:r>
      <w:r w:rsidR="008B602A">
        <w:rPr>
          <w:rFonts w:ascii="Tahoma" w:hAnsi="Tahoma" w:cs="Tahoma"/>
        </w:rPr>
        <w:t xml:space="preserve"> </w:t>
      </w:r>
      <w:r w:rsidRPr="001F446E">
        <w:rPr>
          <w:rFonts w:ascii="Tahoma" w:hAnsi="Tahoma" w:cs="Tahoma"/>
        </w:rPr>
        <w:t xml:space="preserve">2020, </w:t>
      </w:r>
      <w:r w:rsidR="000A7489" w:rsidRPr="001F446E">
        <w:rPr>
          <w:rFonts w:ascii="Tahoma" w:hAnsi="Tahoma" w:cs="Tahoma"/>
        </w:rPr>
        <w:t xml:space="preserve">adoptado como legislación permanente a través de la Ley 2213 de 2022, </w:t>
      </w:r>
      <w:r w:rsidRPr="001F446E">
        <w:rPr>
          <w:rFonts w:ascii="Tahoma" w:hAnsi="Tahoma" w:cs="Tahoma"/>
        </w:rPr>
        <w:t>estableció que en la</w:t>
      </w:r>
      <w:r w:rsidR="00E60AFE" w:rsidRPr="001F446E">
        <w:rPr>
          <w:rFonts w:ascii="Tahoma" w:hAnsi="Tahoma" w:cs="Tahoma"/>
        </w:rPr>
        <w:t xml:space="preserve"> </w:t>
      </w:r>
      <w:r w:rsidRPr="001F446E">
        <w:rPr>
          <w:rFonts w:ascii="Tahoma" w:hAnsi="Tahoma" w:cs="Tahoma"/>
        </w:rPr>
        <w:t>especialidad laboral se proferirán por escrito las providencias de</w:t>
      </w:r>
      <w:r w:rsidR="00E60AFE" w:rsidRPr="001F446E">
        <w:rPr>
          <w:rFonts w:ascii="Tahoma" w:hAnsi="Tahoma" w:cs="Tahoma"/>
        </w:rPr>
        <w:t xml:space="preserve"> </w:t>
      </w:r>
      <w:r w:rsidRPr="001F446E">
        <w:rPr>
          <w:rFonts w:ascii="Tahoma" w:hAnsi="Tahoma" w:cs="Tahoma"/>
        </w:rPr>
        <w:t>segunda</w:t>
      </w:r>
      <w:r w:rsidR="00E60AFE" w:rsidRPr="001F446E">
        <w:rPr>
          <w:rFonts w:ascii="Tahoma" w:hAnsi="Tahoma" w:cs="Tahoma"/>
        </w:rPr>
        <w:t xml:space="preserve"> </w:t>
      </w:r>
      <w:r w:rsidRPr="001F446E">
        <w:rPr>
          <w:rFonts w:ascii="Tahoma" w:hAnsi="Tahoma" w:cs="Tahoma"/>
        </w:rPr>
        <w:t>instancia</w:t>
      </w:r>
      <w:r w:rsidR="00E60AFE" w:rsidRPr="001F446E">
        <w:rPr>
          <w:rFonts w:ascii="Tahoma" w:hAnsi="Tahoma" w:cs="Tahoma"/>
        </w:rPr>
        <w:t xml:space="preserve"> </w:t>
      </w:r>
      <w:r w:rsidRPr="001F446E">
        <w:rPr>
          <w:rFonts w:ascii="Tahoma" w:hAnsi="Tahoma" w:cs="Tahoma"/>
        </w:rPr>
        <w:t>en las que se surta el grado jurisdiccional de consulta o se resuelva el recurso de</w:t>
      </w:r>
      <w:r w:rsidR="00E60AFE" w:rsidRPr="001F446E">
        <w:rPr>
          <w:rFonts w:ascii="Tahoma" w:hAnsi="Tahoma" w:cs="Tahoma"/>
        </w:rPr>
        <w:t xml:space="preserve"> </w:t>
      </w:r>
      <w:r w:rsidRPr="001F446E">
        <w:rPr>
          <w:rFonts w:ascii="Tahoma" w:hAnsi="Tahoma" w:cs="Tahoma"/>
        </w:rPr>
        <w:t>apelación de autos o sentencias, la Sala de Decisión Laboral</w:t>
      </w:r>
      <w:r w:rsidR="00617E08" w:rsidRPr="001F446E">
        <w:rPr>
          <w:rFonts w:ascii="Tahoma" w:hAnsi="Tahoma" w:cs="Tahoma"/>
        </w:rPr>
        <w:t xml:space="preserve"> del Tribunal Superior de Pereira, </w:t>
      </w:r>
      <w:r w:rsidRPr="001F446E">
        <w:rPr>
          <w:rFonts w:ascii="Tahoma" w:hAnsi="Tahoma" w:cs="Tahoma"/>
        </w:rPr>
        <w:t>integrada por las</w:t>
      </w:r>
      <w:r w:rsidR="00510D63" w:rsidRPr="001F446E">
        <w:rPr>
          <w:rFonts w:ascii="Tahoma" w:hAnsi="Tahoma" w:cs="Tahoma"/>
        </w:rPr>
        <w:t xml:space="preserve"> </w:t>
      </w:r>
      <w:r w:rsidRPr="001F446E">
        <w:rPr>
          <w:rFonts w:ascii="Tahoma" w:hAnsi="Tahoma" w:cs="Tahoma"/>
        </w:rPr>
        <w:t>Magistradas ANA LUCÍA CAICEDO CALDERÓN</w:t>
      </w:r>
      <w:r w:rsidR="00617E08" w:rsidRPr="001F446E">
        <w:rPr>
          <w:rFonts w:ascii="Tahoma" w:hAnsi="Tahoma" w:cs="Tahoma"/>
        </w:rPr>
        <w:t>,</w:t>
      </w:r>
      <w:r w:rsidRPr="001F446E">
        <w:rPr>
          <w:rFonts w:ascii="Tahoma" w:hAnsi="Tahoma" w:cs="Tahoma"/>
        </w:rPr>
        <w:t xml:space="preserve"> como </w:t>
      </w:r>
      <w:r w:rsidR="00617E08" w:rsidRPr="001F446E">
        <w:rPr>
          <w:rFonts w:ascii="Tahoma" w:hAnsi="Tahoma" w:cs="Tahoma"/>
        </w:rPr>
        <w:t>p</w:t>
      </w:r>
      <w:r w:rsidRPr="001F446E">
        <w:rPr>
          <w:rFonts w:ascii="Tahoma" w:hAnsi="Tahoma" w:cs="Tahoma"/>
        </w:rPr>
        <w:t xml:space="preserve">onente, </w:t>
      </w:r>
      <w:r w:rsidR="00617E08" w:rsidRPr="001F446E">
        <w:rPr>
          <w:rFonts w:ascii="Tahoma" w:hAnsi="Tahoma" w:cs="Tahoma"/>
        </w:rPr>
        <w:t xml:space="preserve">y </w:t>
      </w:r>
      <w:r w:rsidRPr="001F446E">
        <w:rPr>
          <w:rFonts w:ascii="Tahoma" w:hAnsi="Tahoma" w:cs="Tahoma"/>
        </w:rPr>
        <w:t>OLGA LUCÍA HOYOS</w:t>
      </w:r>
      <w:r w:rsidR="00510D63" w:rsidRPr="001F446E">
        <w:rPr>
          <w:rFonts w:ascii="Tahoma" w:hAnsi="Tahoma" w:cs="Tahoma"/>
        </w:rPr>
        <w:t xml:space="preserve"> </w:t>
      </w:r>
      <w:r w:rsidRPr="001F446E">
        <w:rPr>
          <w:rFonts w:ascii="Tahoma" w:hAnsi="Tahoma" w:cs="Tahoma"/>
        </w:rPr>
        <w:t>SEPÚLVEDA</w:t>
      </w:r>
      <w:r w:rsidR="00617E08" w:rsidRPr="001F446E">
        <w:rPr>
          <w:rFonts w:ascii="Tahoma" w:hAnsi="Tahoma" w:cs="Tahoma"/>
        </w:rPr>
        <w:t>,</w:t>
      </w:r>
      <w:r w:rsidRPr="001F446E">
        <w:rPr>
          <w:rFonts w:ascii="Tahoma" w:hAnsi="Tahoma" w:cs="Tahoma"/>
        </w:rPr>
        <w:t xml:space="preserve"> y el Magistrado</w:t>
      </w:r>
      <w:r w:rsidR="00510D63" w:rsidRPr="001F446E">
        <w:rPr>
          <w:rFonts w:ascii="Tahoma" w:hAnsi="Tahoma" w:cs="Tahoma"/>
        </w:rPr>
        <w:t xml:space="preserve"> </w:t>
      </w:r>
      <w:r w:rsidRPr="001F446E">
        <w:rPr>
          <w:rFonts w:ascii="Tahoma" w:hAnsi="Tahoma" w:cs="Tahoma"/>
        </w:rPr>
        <w:t>GERMÁN DARIO GOEZ VINASCO, procede a proferir la</w:t>
      </w:r>
      <w:r w:rsidR="00510D63" w:rsidRPr="001F446E">
        <w:rPr>
          <w:rFonts w:ascii="Tahoma" w:hAnsi="Tahoma" w:cs="Tahoma"/>
        </w:rPr>
        <w:t xml:space="preserve"> </w:t>
      </w:r>
      <w:r w:rsidRPr="001F446E">
        <w:rPr>
          <w:rFonts w:ascii="Tahoma" w:hAnsi="Tahoma" w:cs="Tahoma"/>
        </w:rPr>
        <w:t xml:space="preserve">siguiente sentencia escrita dentro del proceso </w:t>
      </w:r>
      <w:r w:rsidRPr="003A3086">
        <w:rPr>
          <w:rFonts w:ascii="Tahoma" w:hAnsi="Tahoma" w:cs="Tahoma"/>
          <w:b/>
        </w:rPr>
        <w:t>ordinario laboral</w:t>
      </w:r>
      <w:r w:rsidRPr="001F446E">
        <w:rPr>
          <w:rFonts w:ascii="Tahoma" w:hAnsi="Tahoma" w:cs="Tahoma"/>
        </w:rPr>
        <w:t xml:space="preserve"> instaurado por </w:t>
      </w:r>
      <w:r w:rsidRPr="001F446E">
        <w:rPr>
          <w:rFonts w:ascii="Tahoma" w:eastAsia="Times New Roman" w:hAnsi="Tahoma" w:cs="Tahoma"/>
          <w:lang w:eastAsia="es-ES"/>
        </w:rPr>
        <w:t xml:space="preserve"> </w:t>
      </w:r>
      <w:r w:rsidR="00276422" w:rsidRPr="001F446E">
        <w:rPr>
          <w:rFonts w:ascii="Tahoma" w:hAnsi="Tahoma" w:cs="Tahoma"/>
          <w:b/>
          <w:bCs/>
        </w:rPr>
        <w:t>Gonzal</w:t>
      </w:r>
      <w:r w:rsidR="00CE701B" w:rsidRPr="001F446E">
        <w:rPr>
          <w:rFonts w:ascii="Tahoma" w:hAnsi="Tahoma" w:cs="Tahoma"/>
          <w:b/>
          <w:bCs/>
        </w:rPr>
        <w:t>o</w:t>
      </w:r>
      <w:r w:rsidR="00276422" w:rsidRPr="001F446E">
        <w:rPr>
          <w:rFonts w:ascii="Tahoma" w:hAnsi="Tahoma" w:cs="Tahoma"/>
          <w:b/>
          <w:bCs/>
        </w:rPr>
        <w:t xml:space="preserve"> </w:t>
      </w:r>
      <w:r w:rsidR="00AF3A29" w:rsidRPr="001F446E">
        <w:rPr>
          <w:rFonts w:ascii="Tahoma" w:hAnsi="Tahoma" w:cs="Tahoma"/>
          <w:b/>
          <w:bCs/>
        </w:rPr>
        <w:t>Ramírez</w:t>
      </w:r>
      <w:r w:rsidR="00276422" w:rsidRPr="001F446E">
        <w:rPr>
          <w:rFonts w:ascii="Tahoma" w:hAnsi="Tahoma" w:cs="Tahoma"/>
          <w:b/>
          <w:bCs/>
        </w:rPr>
        <w:t xml:space="preserve"> Vargas</w:t>
      </w:r>
      <w:r w:rsidR="00171926" w:rsidRPr="001F446E">
        <w:rPr>
          <w:rFonts w:ascii="Tahoma" w:hAnsi="Tahoma" w:cs="Tahoma"/>
          <w:bCs/>
        </w:rPr>
        <w:t xml:space="preserve">  en contra de la </w:t>
      </w:r>
      <w:r w:rsidR="00171926" w:rsidRPr="001F446E">
        <w:rPr>
          <w:rFonts w:ascii="Tahoma" w:hAnsi="Tahoma" w:cs="Tahoma"/>
          <w:b/>
          <w:bCs/>
        </w:rPr>
        <w:t>Administradora Colombiana de Pensiones – Colpensiones</w:t>
      </w:r>
      <w:r w:rsidR="003A3086">
        <w:rPr>
          <w:rFonts w:ascii="Tahoma" w:hAnsi="Tahoma" w:cs="Tahoma"/>
          <w:bCs/>
        </w:rPr>
        <w:t>.</w:t>
      </w:r>
    </w:p>
    <w:p w14:paraId="5F9D9096" w14:textId="77777777" w:rsidR="0067289E" w:rsidRPr="001F446E" w:rsidRDefault="0067289E" w:rsidP="001F446E">
      <w:pPr>
        <w:spacing w:before="0" w:beforeAutospacing="0" w:after="0" w:afterAutospacing="0" w:line="276" w:lineRule="auto"/>
        <w:ind w:firstLine="708"/>
        <w:contextualSpacing/>
        <w:rPr>
          <w:rFonts w:ascii="Tahoma" w:hAnsi="Tahoma" w:cs="Tahoma"/>
        </w:rPr>
      </w:pPr>
    </w:p>
    <w:p w14:paraId="677CCDAC" w14:textId="77777777" w:rsidR="00CE701B" w:rsidRPr="001F446E" w:rsidRDefault="00CE701B" w:rsidP="003A3086">
      <w:pPr>
        <w:spacing w:before="0" w:beforeAutospacing="0" w:after="0" w:afterAutospacing="0" w:line="276" w:lineRule="auto"/>
        <w:ind w:firstLine="0"/>
        <w:contextualSpacing/>
        <w:jc w:val="center"/>
        <w:rPr>
          <w:rFonts w:ascii="Tahoma" w:hAnsi="Tahoma" w:cs="Tahoma"/>
          <w:b/>
          <w:lang w:val="es-ES_tradnl"/>
        </w:rPr>
      </w:pPr>
      <w:r w:rsidRPr="001F446E">
        <w:rPr>
          <w:rFonts w:ascii="Tahoma" w:hAnsi="Tahoma" w:cs="Tahoma"/>
          <w:b/>
          <w:lang w:val="es-ES_tradnl"/>
        </w:rPr>
        <w:t>AUTO</w:t>
      </w:r>
    </w:p>
    <w:p w14:paraId="39EB23D0" w14:textId="77777777" w:rsidR="00CE701B" w:rsidRPr="001F446E" w:rsidRDefault="00CE701B" w:rsidP="001F446E">
      <w:pPr>
        <w:spacing w:before="0" w:beforeAutospacing="0" w:after="0" w:afterAutospacing="0" w:line="276" w:lineRule="auto"/>
        <w:ind w:firstLine="708"/>
        <w:contextualSpacing/>
        <w:rPr>
          <w:rFonts w:ascii="Tahoma" w:hAnsi="Tahoma" w:cs="Tahoma"/>
          <w:b/>
          <w:lang w:val="es-ES_tradnl"/>
        </w:rPr>
      </w:pPr>
    </w:p>
    <w:p w14:paraId="44FC740B" w14:textId="142608C4" w:rsidR="00CE701B" w:rsidRPr="001F446E" w:rsidRDefault="003A3086" w:rsidP="001F446E">
      <w:pPr>
        <w:spacing w:before="0" w:beforeAutospacing="0" w:after="0" w:afterAutospacing="0" w:line="276" w:lineRule="auto"/>
        <w:ind w:firstLine="708"/>
        <w:contextualSpacing/>
        <w:rPr>
          <w:rFonts w:ascii="Tahoma" w:hAnsi="Tahoma" w:cs="Tahoma"/>
          <w:lang w:val="es-ES_tradnl"/>
        </w:rPr>
      </w:pPr>
      <w:r>
        <w:rPr>
          <w:rFonts w:ascii="Tahoma" w:hAnsi="Tahoma" w:cs="Tahoma"/>
          <w:lang w:val="es-ES_tradnl"/>
        </w:rPr>
        <w:t>(…)</w:t>
      </w:r>
    </w:p>
    <w:p w14:paraId="2FF14AD0" w14:textId="77777777" w:rsidR="008C6C03" w:rsidRPr="001F446E" w:rsidRDefault="008C6C03" w:rsidP="001F446E">
      <w:pPr>
        <w:spacing w:before="0" w:beforeAutospacing="0" w:after="0" w:afterAutospacing="0" w:line="276" w:lineRule="auto"/>
        <w:ind w:firstLine="708"/>
        <w:contextualSpacing/>
        <w:rPr>
          <w:rFonts w:ascii="Tahoma" w:hAnsi="Tahoma" w:cs="Tahoma"/>
          <w:b/>
          <w:lang w:val="es-ES_tradnl"/>
        </w:rPr>
      </w:pPr>
    </w:p>
    <w:p w14:paraId="11B2C985" w14:textId="5477777E" w:rsidR="00CC7065" w:rsidRPr="001F446E" w:rsidRDefault="00CC7065" w:rsidP="001F446E">
      <w:pPr>
        <w:pStyle w:val="paragraph"/>
        <w:spacing w:before="0" w:beforeAutospacing="0" w:after="0" w:afterAutospacing="0" w:line="276" w:lineRule="auto"/>
        <w:jc w:val="center"/>
        <w:textAlignment w:val="baseline"/>
        <w:rPr>
          <w:rFonts w:ascii="Tahoma" w:hAnsi="Tahoma" w:cs="Tahoma"/>
          <w:b/>
        </w:rPr>
      </w:pPr>
      <w:r w:rsidRPr="001F446E">
        <w:rPr>
          <w:rStyle w:val="normaltextrun"/>
          <w:rFonts w:ascii="Tahoma" w:hAnsi="Tahoma" w:cs="Tahoma"/>
          <w:b/>
        </w:rPr>
        <w:t>PUNTO A TRATAR</w:t>
      </w:r>
    </w:p>
    <w:p w14:paraId="32FCA209" w14:textId="77777777" w:rsidR="00617E08" w:rsidRPr="001F446E" w:rsidRDefault="00617E08" w:rsidP="001F446E">
      <w:pPr>
        <w:spacing w:before="0" w:beforeAutospacing="0" w:after="0" w:afterAutospacing="0" w:line="276" w:lineRule="auto"/>
        <w:ind w:firstLine="708"/>
        <w:rPr>
          <w:rStyle w:val="normaltextrun"/>
          <w:rFonts w:ascii="Tahoma" w:hAnsi="Tahoma" w:cs="Tahoma"/>
        </w:rPr>
      </w:pPr>
    </w:p>
    <w:p w14:paraId="06AA2758" w14:textId="50AEBDD3" w:rsidR="00415842" w:rsidRPr="001F446E" w:rsidRDefault="00CC7065" w:rsidP="001F446E">
      <w:pPr>
        <w:spacing w:before="0" w:beforeAutospacing="0" w:after="0" w:afterAutospacing="0" w:line="276" w:lineRule="auto"/>
        <w:ind w:firstLine="708"/>
        <w:rPr>
          <w:rStyle w:val="normaltextrun"/>
          <w:rFonts w:ascii="Tahoma" w:hAnsi="Tahoma" w:cs="Tahoma"/>
        </w:rPr>
      </w:pPr>
      <w:r w:rsidRPr="001F446E">
        <w:rPr>
          <w:rStyle w:val="normaltextrun"/>
          <w:rFonts w:ascii="Tahoma" w:hAnsi="Tahoma" w:cs="Tahoma"/>
        </w:rPr>
        <w:t>Por medio de esta providencia procede la Sala a</w:t>
      </w:r>
      <w:r w:rsidRPr="001F446E">
        <w:rPr>
          <w:rFonts w:ascii="Tahoma" w:hAnsi="Tahoma" w:cs="Tahoma"/>
        </w:rPr>
        <w:t xml:space="preserve"> resolver el </w:t>
      </w:r>
      <w:r w:rsidR="00B5528D" w:rsidRPr="001F446E">
        <w:rPr>
          <w:rFonts w:ascii="Tahoma" w:hAnsi="Tahoma" w:cs="Tahoma"/>
        </w:rPr>
        <w:t xml:space="preserve">grado jurisdiccional de consulta de la sentencia de primera instancia dictada el </w:t>
      </w:r>
      <w:r w:rsidR="0067289E" w:rsidRPr="001F446E">
        <w:rPr>
          <w:rFonts w:ascii="Tahoma" w:hAnsi="Tahoma" w:cs="Tahoma"/>
        </w:rPr>
        <w:t xml:space="preserve">10 </w:t>
      </w:r>
      <w:r w:rsidR="00B5528D" w:rsidRPr="001F446E">
        <w:rPr>
          <w:rFonts w:ascii="Tahoma" w:hAnsi="Tahoma" w:cs="Tahoma"/>
        </w:rPr>
        <w:t>de diciembre de</w:t>
      </w:r>
      <w:r w:rsidRPr="001F446E">
        <w:rPr>
          <w:rFonts w:ascii="Tahoma" w:hAnsi="Tahoma" w:cs="Tahoma"/>
          <w:bCs/>
        </w:rPr>
        <w:t xml:space="preserve"> 202</w:t>
      </w:r>
      <w:r w:rsidR="00B5528D" w:rsidRPr="001F446E">
        <w:rPr>
          <w:rFonts w:ascii="Tahoma" w:hAnsi="Tahoma" w:cs="Tahoma"/>
          <w:bCs/>
        </w:rPr>
        <w:t>1</w:t>
      </w:r>
      <w:r w:rsidRPr="001F446E">
        <w:rPr>
          <w:rFonts w:ascii="Tahoma" w:hAnsi="Tahoma" w:cs="Tahoma"/>
        </w:rPr>
        <w:t xml:space="preserve"> por el </w:t>
      </w:r>
      <w:r w:rsidRPr="001F446E">
        <w:rPr>
          <w:rFonts w:ascii="Tahoma" w:hAnsi="Tahoma" w:cs="Tahoma"/>
          <w:lang w:val="es-ES_tradnl"/>
        </w:rPr>
        <w:t>Juzgado</w:t>
      </w:r>
      <w:r w:rsidRPr="001F446E">
        <w:rPr>
          <w:rFonts w:ascii="Tahoma" w:hAnsi="Tahoma" w:cs="Tahoma"/>
        </w:rPr>
        <w:t xml:space="preserve"> Quinto Laboral del Circuito de Pereira</w:t>
      </w:r>
      <w:r w:rsidR="00B5528D" w:rsidRPr="001F446E">
        <w:rPr>
          <w:rFonts w:ascii="Tahoma" w:hAnsi="Tahoma" w:cs="Tahoma"/>
        </w:rPr>
        <w:t>,</w:t>
      </w:r>
      <w:r w:rsidRPr="001F446E">
        <w:rPr>
          <w:rStyle w:val="normaltextrun"/>
          <w:rFonts w:ascii="Tahoma" w:hAnsi="Tahoma" w:cs="Tahoma"/>
        </w:rPr>
        <w:t xml:space="preserve"> </w:t>
      </w:r>
      <w:r w:rsidR="00AD1ACE" w:rsidRPr="001F446E">
        <w:rPr>
          <w:rStyle w:val="normaltextrun"/>
          <w:rFonts w:ascii="Tahoma" w:hAnsi="Tahoma" w:cs="Tahoma"/>
        </w:rPr>
        <w:t>al haber sido adversa a los intereses de</w:t>
      </w:r>
      <w:r w:rsidR="00B5528D" w:rsidRPr="001F446E">
        <w:rPr>
          <w:rStyle w:val="normaltextrun"/>
          <w:rFonts w:ascii="Tahoma" w:hAnsi="Tahoma" w:cs="Tahoma"/>
        </w:rPr>
        <w:t xml:space="preserve"> la </w:t>
      </w:r>
      <w:r w:rsidR="00B5528D" w:rsidRPr="001F446E">
        <w:rPr>
          <w:rFonts w:ascii="Tahoma" w:hAnsi="Tahoma" w:cs="Tahoma"/>
          <w:b/>
          <w:bCs/>
        </w:rPr>
        <w:t>Administradora Colombiana de Pensiones – Colpensiones</w:t>
      </w:r>
      <w:r w:rsidRPr="001F446E">
        <w:rPr>
          <w:rFonts w:ascii="Tahoma" w:hAnsi="Tahoma" w:cs="Tahoma"/>
        </w:rPr>
        <w:t xml:space="preserve">. </w:t>
      </w:r>
      <w:r w:rsidRPr="001F446E">
        <w:rPr>
          <w:rStyle w:val="normaltextrun"/>
          <w:rFonts w:ascii="Tahoma" w:hAnsi="Tahoma" w:cs="Tahoma"/>
        </w:rPr>
        <w:t>Para ello se tiene en cuenta lo siguiente: </w:t>
      </w:r>
    </w:p>
    <w:p w14:paraId="5AB515E0" w14:textId="77777777" w:rsidR="00DA0270" w:rsidRPr="001F446E" w:rsidRDefault="00DA0270" w:rsidP="001F446E">
      <w:pPr>
        <w:spacing w:before="0" w:beforeAutospacing="0" w:after="0" w:afterAutospacing="0" w:line="276" w:lineRule="auto"/>
        <w:ind w:firstLine="708"/>
        <w:rPr>
          <w:rStyle w:val="normaltextrun"/>
          <w:rFonts w:ascii="Tahoma" w:hAnsi="Tahoma" w:cs="Tahoma"/>
        </w:rPr>
      </w:pPr>
    </w:p>
    <w:p w14:paraId="40C2E441" w14:textId="0E96B253" w:rsidR="00415842" w:rsidRPr="001F446E" w:rsidRDefault="0067289E" w:rsidP="001F446E">
      <w:pPr>
        <w:pStyle w:val="Prrafodelista"/>
        <w:numPr>
          <w:ilvl w:val="0"/>
          <w:numId w:val="1"/>
        </w:numPr>
        <w:spacing w:line="276" w:lineRule="auto"/>
        <w:ind w:left="426" w:hanging="426"/>
        <w:jc w:val="center"/>
        <w:rPr>
          <w:rStyle w:val="normaltextrun"/>
          <w:rFonts w:cs="Tahoma"/>
          <w:b/>
          <w:bCs/>
          <w:szCs w:val="24"/>
        </w:rPr>
      </w:pPr>
      <w:r w:rsidRPr="001F446E">
        <w:rPr>
          <w:rFonts w:cs="Tahoma"/>
          <w:b/>
          <w:bCs/>
          <w:szCs w:val="24"/>
        </w:rPr>
        <w:t>DEMANDA Y LA CONTESTACIÓN A LA DEMANDA</w:t>
      </w:r>
    </w:p>
    <w:p w14:paraId="417070AC" w14:textId="77777777" w:rsidR="00647E83" w:rsidRPr="001F446E" w:rsidRDefault="00647E83" w:rsidP="001F446E">
      <w:pPr>
        <w:spacing w:before="0" w:beforeAutospacing="0" w:after="0" w:afterAutospacing="0" w:line="276" w:lineRule="auto"/>
        <w:ind w:firstLine="708"/>
        <w:contextualSpacing/>
        <w:rPr>
          <w:rFonts w:ascii="Tahoma" w:eastAsia="Calibri" w:hAnsi="Tahoma" w:cs="Tahoma"/>
        </w:rPr>
      </w:pPr>
    </w:p>
    <w:p w14:paraId="0B2356F9" w14:textId="6DDCEEC7" w:rsidR="00F96EF8" w:rsidRPr="001F446E" w:rsidRDefault="00171926" w:rsidP="001F446E">
      <w:pPr>
        <w:spacing w:before="0" w:beforeAutospacing="0" w:after="0" w:afterAutospacing="0" w:line="276" w:lineRule="auto"/>
        <w:contextualSpacing/>
        <w:rPr>
          <w:rFonts w:ascii="Tahoma" w:eastAsia="Calibri" w:hAnsi="Tahoma" w:cs="Tahoma"/>
        </w:rPr>
      </w:pPr>
      <w:r w:rsidRPr="001F446E">
        <w:rPr>
          <w:rFonts w:ascii="Tahoma" w:eastAsia="Calibri" w:hAnsi="Tahoma" w:cs="Tahoma"/>
        </w:rPr>
        <w:t xml:space="preserve">Solicita </w:t>
      </w:r>
      <w:r w:rsidR="00276422" w:rsidRPr="001F446E">
        <w:rPr>
          <w:rFonts w:ascii="Tahoma" w:eastAsia="Calibri" w:hAnsi="Tahoma" w:cs="Tahoma"/>
        </w:rPr>
        <w:t>el demandante</w:t>
      </w:r>
      <w:r w:rsidR="00896809" w:rsidRPr="001F446E">
        <w:rPr>
          <w:rFonts w:ascii="Tahoma" w:eastAsia="Calibri" w:hAnsi="Tahoma" w:cs="Tahoma"/>
        </w:rPr>
        <w:t xml:space="preserve"> </w:t>
      </w:r>
      <w:r w:rsidR="00276422" w:rsidRPr="001F446E">
        <w:rPr>
          <w:rFonts w:ascii="Tahoma" w:eastAsia="Calibri" w:hAnsi="Tahoma" w:cs="Tahoma"/>
        </w:rPr>
        <w:t>que se declare que</w:t>
      </w:r>
      <w:r w:rsidR="004C03AC" w:rsidRPr="001F446E">
        <w:rPr>
          <w:rFonts w:ascii="Tahoma" w:eastAsia="Calibri" w:hAnsi="Tahoma" w:cs="Tahoma"/>
        </w:rPr>
        <w:t xml:space="preserve"> la</w:t>
      </w:r>
      <w:r w:rsidR="004C03AC" w:rsidRPr="001F446E">
        <w:rPr>
          <w:rFonts w:ascii="Tahoma" w:eastAsia="Calibri" w:hAnsi="Tahoma" w:cs="Tahoma"/>
          <w:caps/>
        </w:rPr>
        <w:t xml:space="preserve"> </w:t>
      </w:r>
      <w:r w:rsidR="003A4887" w:rsidRPr="001F446E">
        <w:rPr>
          <w:rFonts w:ascii="Tahoma" w:eastAsia="Calibri" w:hAnsi="Tahoma" w:cs="Tahoma"/>
          <w:b/>
          <w:bCs/>
          <w:caps/>
        </w:rPr>
        <w:t>Administradora Colombiana de Pensiones</w:t>
      </w:r>
      <w:r w:rsidR="00276422" w:rsidRPr="001F446E">
        <w:rPr>
          <w:rFonts w:ascii="Tahoma" w:eastAsia="Calibri" w:hAnsi="Tahoma" w:cs="Tahoma"/>
          <w:b/>
          <w:bCs/>
          <w:caps/>
        </w:rPr>
        <w:t xml:space="preserve"> </w:t>
      </w:r>
      <w:r w:rsidR="003A3086">
        <w:rPr>
          <w:rFonts w:ascii="Tahoma" w:eastAsia="Calibri" w:hAnsi="Tahoma" w:cs="Tahoma"/>
          <w:b/>
          <w:bCs/>
          <w:caps/>
        </w:rPr>
        <w:t xml:space="preserve">– </w:t>
      </w:r>
      <w:r w:rsidR="00276422" w:rsidRPr="001F446E">
        <w:rPr>
          <w:rFonts w:ascii="Tahoma" w:eastAsia="Calibri" w:hAnsi="Tahoma" w:cs="Tahoma"/>
          <w:b/>
          <w:bCs/>
          <w:caps/>
        </w:rPr>
        <w:t>Colpensiones</w:t>
      </w:r>
      <w:r w:rsidR="00276422" w:rsidRPr="001F446E">
        <w:rPr>
          <w:rFonts w:ascii="Tahoma" w:eastAsia="Calibri" w:hAnsi="Tahoma" w:cs="Tahoma"/>
        </w:rPr>
        <w:t xml:space="preserve"> está en la obligación de reconocer y pagar</w:t>
      </w:r>
      <w:r w:rsidR="003A4887" w:rsidRPr="001F446E">
        <w:rPr>
          <w:rFonts w:ascii="Tahoma" w:eastAsia="Calibri" w:hAnsi="Tahoma" w:cs="Tahoma"/>
        </w:rPr>
        <w:t>le</w:t>
      </w:r>
      <w:r w:rsidR="00276422" w:rsidRPr="001F446E">
        <w:rPr>
          <w:rFonts w:ascii="Tahoma" w:eastAsia="Calibri" w:hAnsi="Tahoma" w:cs="Tahoma"/>
        </w:rPr>
        <w:t xml:space="preserve"> la pensión de jubilación</w:t>
      </w:r>
      <w:r w:rsidR="003A4887" w:rsidRPr="001F446E">
        <w:rPr>
          <w:rFonts w:ascii="Tahoma" w:eastAsia="Calibri" w:hAnsi="Tahoma" w:cs="Tahoma"/>
        </w:rPr>
        <w:t xml:space="preserve"> por aportes,</w:t>
      </w:r>
      <w:r w:rsidR="00276422" w:rsidRPr="001F446E">
        <w:rPr>
          <w:rFonts w:ascii="Tahoma" w:eastAsia="Calibri" w:hAnsi="Tahoma" w:cs="Tahoma"/>
        </w:rPr>
        <w:t xml:space="preserve"> en virtud </w:t>
      </w:r>
      <w:r w:rsidR="003A4887" w:rsidRPr="001F446E">
        <w:rPr>
          <w:rFonts w:ascii="Tahoma" w:eastAsia="Calibri" w:hAnsi="Tahoma" w:cs="Tahoma"/>
        </w:rPr>
        <w:t xml:space="preserve">de </w:t>
      </w:r>
      <w:r w:rsidR="00276422" w:rsidRPr="001F446E">
        <w:rPr>
          <w:rFonts w:ascii="Tahoma" w:eastAsia="Calibri" w:hAnsi="Tahoma" w:cs="Tahoma"/>
        </w:rPr>
        <w:t xml:space="preserve">la </w:t>
      </w:r>
      <w:r w:rsidR="00370BF9" w:rsidRPr="001F446E">
        <w:rPr>
          <w:rFonts w:ascii="Tahoma" w:eastAsia="Calibri" w:hAnsi="Tahoma" w:cs="Tahoma"/>
        </w:rPr>
        <w:t xml:space="preserve">Ley </w:t>
      </w:r>
      <w:r w:rsidR="00276422" w:rsidRPr="001F446E">
        <w:rPr>
          <w:rFonts w:ascii="Tahoma" w:eastAsia="Calibri" w:hAnsi="Tahoma" w:cs="Tahoma"/>
        </w:rPr>
        <w:t>71 de 1998</w:t>
      </w:r>
      <w:r w:rsidR="003A4887" w:rsidRPr="001F446E">
        <w:rPr>
          <w:rFonts w:ascii="Tahoma" w:eastAsia="Calibri" w:hAnsi="Tahoma" w:cs="Tahoma"/>
        </w:rPr>
        <w:t>, desde el</w:t>
      </w:r>
      <w:r w:rsidR="00276422" w:rsidRPr="001F446E">
        <w:rPr>
          <w:rFonts w:ascii="Tahoma" w:eastAsia="Calibri" w:hAnsi="Tahoma" w:cs="Tahoma"/>
        </w:rPr>
        <w:t xml:space="preserve"> 02 de febrero de 2006</w:t>
      </w:r>
      <w:r w:rsidR="00B5528D" w:rsidRPr="001F446E">
        <w:rPr>
          <w:rFonts w:ascii="Tahoma" w:eastAsia="Calibri" w:hAnsi="Tahoma" w:cs="Tahoma"/>
        </w:rPr>
        <w:t>,</w:t>
      </w:r>
      <w:r w:rsidR="00A219CC" w:rsidRPr="001F446E">
        <w:rPr>
          <w:rFonts w:ascii="Tahoma" w:eastAsia="Calibri" w:hAnsi="Tahoma" w:cs="Tahoma"/>
        </w:rPr>
        <w:t xml:space="preserve"> así como cada uno de los valores adeudados</w:t>
      </w:r>
      <w:r w:rsidR="003A4887" w:rsidRPr="001F446E">
        <w:rPr>
          <w:rFonts w:ascii="Tahoma" w:eastAsia="Calibri" w:hAnsi="Tahoma" w:cs="Tahoma"/>
        </w:rPr>
        <w:t xml:space="preserve"> y</w:t>
      </w:r>
      <w:r w:rsidR="00A219CC" w:rsidRPr="001F446E">
        <w:rPr>
          <w:rFonts w:ascii="Tahoma" w:eastAsia="Calibri" w:hAnsi="Tahoma" w:cs="Tahoma"/>
        </w:rPr>
        <w:t xml:space="preserve"> los intereses de mora a la tasa máxima que rija para el momento en que se efectúe el pago.</w:t>
      </w:r>
      <w:r w:rsidR="003A4887" w:rsidRPr="001F446E">
        <w:rPr>
          <w:rFonts w:ascii="Tahoma" w:eastAsia="Calibri" w:hAnsi="Tahoma" w:cs="Tahoma"/>
        </w:rPr>
        <w:t xml:space="preserve"> </w:t>
      </w:r>
      <w:r w:rsidR="00DF3345" w:rsidRPr="001F446E">
        <w:rPr>
          <w:rFonts w:ascii="Tahoma" w:eastAsia="Calibri" w:hAnsi="Tahoma" w:cs="Tahoma"/>
        </w:rPr>
        <w:t xml:space="preserve">Asimismo, </w:t>
      </w:r>
      <w:r w:rsidR="00A219CC" w:rsidRPr="001F446E">
        <w:rPr>
          <w:rFonts w:ascii="Tahoma" w:eastAsia="Calibri" w:hAnsi="Tahoma" w:cs="Tahoma"/>
        </w:rPr>
        <w:t>como pretensión subsidiaria</w:t>
      </w:r>
      <w:r w:rsidR="003A4887" w:rsidRPr="001F446E">
        <w:rPr>
          <w:rFonts w:ascii="Tahoma" w:eastAsia="Calibri" w:hAnsi="Tahoma" w:cs="Tahoma"/>
        </w:rPr>
        <w:t>,</w:t>
      </w:r>
      <w:r w:rsidR="00A219CC" w:rsidRPr="001F446E">
        <w:rPr>
          <w:rFonts w:ascii="Tahoma" w:eastAsia="Calibri" w:hAnsi="Tahoma" w:cs="Tahoma"/>
        </w:rPr>
        <w:t xml:space="preserve"> solicita </w:t>
      </w:r>
      <w:r w:rsidR="003A4887" w:rsidRPr="001F446E">
        <w:rPr>
          <w:rFonts w:ascii="Tahoma" w:eastAsia="Calibri" w:hAnsi="Tahoma" w:cs="Tahoma"/>
        </w:rPr>
        <w:t xml:space="preserve">que se </w:t>
      </w:r>
      <w:r w:rsidR="00A219CC" w:rsidRPr="001F446E">
        <w:rPr>
          <w:rFonts w:ascii="Tahoma" w:eastAsia="Calibri" w:hAnsi="Tahoma" w:cs="Tahoma"/>
        </w:rPr>
        <w:t>conden</w:t>
      </w:r>
      <w:r w:rsidR="003A4887" w:rsidRPr="001F446E">
        <w:rPr>
          <w:rFonts w:ascii="Tahoma" w:eastAsia="Calibri" w:hAnsi="Tahoma" w:cs="Tahoma"/>
        </w:rPr>
        <w:t>e</w:t>
      </w:r>
      <w:r w:rsidR="00A219CC" w:rsidRPr="001F446E">
        <w:rPr>
          <w:rFonts w:ascii="Tahoma" w:eastAsia="Calibri" w:hAnsi="Tahoma" w:cs="Tahoma"/>
        </w:rPr>
        <w:t xml:space="preserve"> a </w:t>
      </w:r>
      <w:r w:rsidR="007E30AB" w:rsidRPr="001F446E">
        <w:rPr>
          <w:rFonts w:ascii="Tahoma" w:eastAsia="Calibri" w:hAnsi="Tahoma" w:cs="Tahoma"/>
        </w:rPr>
        <w:t>la demandada</w:t>
      </w:r>
      <w:r w:rsidR="003A4887" w:rsidRPr="001F446E">
        <w:rPr>
          <w:rFonts w:ascii="Tahoma" w:eastAsia="Calibri" w:hAnsi="Tahoma" w:cs="Tahoma"/>
        </w:rPr>
        <w:t xml:space="preserve"> a la indexación</w:t>
      </w:r>
      <w:r w:rsidR="004C03AC" w:rsidRPr="001F446E">
        <w:rPr>
          <w:rFonts w:ascii="Tahoma" w:eastAsia="Calibri" w:hAnsi="Tahoma" w:cs="Tahoma"/>
        </w:rPr>
        <w:t xml:space="preserve"> de la condena.</w:t>
      </w:r>
    </w:p>
    <w:p w14:paraId="44441D28" w14:textId="77777777" w:rsidR="00171926" w:rsidRPr="001F446E" w:rsidRDefault="00171926" w:rsidP="001F446E">
      <w:pPr>
        <w:spacing w:before="0" w:beforeAutospacing="0" w:after="0" w:afterAutospacing="0" w:line="276" w:lineRule="auto"/>
        <w:contextualSpacing/>
        <w:rPr>
          <w:rFonts w:ascii="Tahoma" w:eastAsia="Calibri" w:hAnsi="Tahoma" w:cs="Tahoma"/>
        </w:rPr>
      </w:pPr>
    </w:p>
    <w:p w14:paraId="5EC967E1" w14:textId="2545585A" w:rsidR="00744229" w:rsidRPr="001F446E" w:rsidRDefault="007E30AB" w:rsidP="001F446E">
      <w:pPr>
        <w:spacing w:before="0" w:beforeAutospacing="0" w:after="0" w:afterAutospacing="0" w:line="276" w:lineRule="auto"/>
        <w:ind w:firstLine="708"/>
        <w:contextualSpacing/>
        <w:rPr>
          <w:rFonts w:ascii="Tahoma" w:eastAsia="Calibri" w:hAnsi="Tahoma" w:cs="Tahoma"/>
        </w:rPr>
      </w:pPr>
      <w:r w:rsidRPr="001F446E">
        <w:rPr>
          <w:rFonts w:ascii="Tahoma" w:eastAsia="Calibri" w:hAnsi="Tahoma" w:cs="Tahoma"/>
        </w:rPr>
        <w:t>En</w:t>
      </w:r>
      <w:r w:rsidR="00171926" w:rsidRPr="001F446E">
        <w:rPr>
          <w:rFonts w:ascii="Tahoma" w:eastAsia="Calibri" w:hAnsi="Tahoma" w:cs="Tahoma"/>
        </w:rPr>
        <w:t xml:space="preserve"> sustento de lo pe</w:t>
      </w:r>
      <w:r w:rsidRPr="001F446E">
        <w:rPr>
          <w:rFonts w:ascii="Tahoma" w:eastAsia="Calibri" w:hAnsi="Tahoma" w:cs="Tahoma"/>
        </w:rPr>
        <w:t>dido</w:t>
      </w:r>
      <w:r w:rsidR="004C03AC" w:rsidRPr="001F446E">
        <w:rPr>
          <w:rFonts w:ascii="Tahoma" w:eastAsia="Calibri" w:hAnsi="Tahoma" w:cs="Tahoma"/>
        </w:rPr>
        <w:t>,</w:t>
      </w:r>
      <w:r w:rsidR="00171926" w:rsidRPr="001F446E">
        <w:rPr>
          <w:rFonts w:ascii="Tahoma" w:eastAsia="Calibri" w:hAnsi="Tahoma" w:cs="Tahoma"/>
        </w:rPr>
        <w:t xml:space="preserve"> relata que nació el día </w:t>
      </w:r>
      <w:r w:rsidR="00A219CC" w:rsidRPr="001F446E">
        <w:rPr>
          <w:rFonts w:ascii="Tahoma" w:eastAsia="Calibri" w:hAnsi="Tahoma" w:cs="Tahoma"/>
        </w:rPr>
        <w:t>02</w:t>
      </w:r>
      <w:r w:rsidR="00171926" w:rsidRPr="001F446E">
        <w:rPr>
          <w:rFonts w:ascii="Tahoma" w:eastAsia="Calibri" w:hAnsi="Tahoma" w:cs="Tahoma"/>
        </w:rPr>
        <w:t xml:space="preserve"> de </w:t>
      </w:r>
      <w:r w:rsidR="00A219CC" w:rsidRPr="001F446E">
        <w:rPr>
          <w:rFonts w:ascii="Tahoma" w:eastAsia="Calibri" w:hAnsi="Tahoma" w:cs="Tahoma"/>
        </w:rPr>
        <w:t>febrero</w:t>
      </w:r>
      <w:r w:rsidR="00171926" w:rsidRPr="001F446E">
        <w:rPr>
          <w:rFonts w:ascii="Tahoma" w:eastAsia="Calibri" w:hAnsi="Tahoma" w:cs="Tahoma"/>
        </w:rPr>
        <w:t xml:space="preserve"> de 19</w:t>
      </w:r>
      <w:r w:rsidR="00A219CC" w:rsidRPr="001F446E">
        <w:rPr>
          <w:rFonts w:ascii="Tahoma" w:eastAsia="Calibri" w:hAnsi="Tahoma" w:cs="Tahoma"/>
        </w:rPr>
        <w:t>46 y cuenta en la actualidad con 73 años</w:t>
      </w:r>
      <w:r w:rsidR="004C03AC" w:rsidRPr="001F446E">
        <w:rPr>
          <w:rFonts w:ascii="Tahoma" w:eastAsia="Calibri" w:hAnsi="Tahoma" w:cs="Tahoma"/>
        </w:rPr>
        <w:t xml:space="preserve"> de edad</w:t>
      </w:r>
      <w:r w:rsidR="00F96EF8" w:rsidRPr="001F446E">
        <w:rPr>
          <w:rFonts w:ascii="Tahoma" w:eastAsia="Calibri" w:hAnsi="Tahoma" w:cs="Tahoma"/>
        </w:rPr>
        <w:t>; q</w:t>
      </w:r>
      <w:r w:rsidR="00A219CC" w:rsidRPr="001F446E">
        <w:rPr>
          <w:rFonts w:ascii="Tahoma" w:eastAsia="Calibri" w:hAnsi="Tahoma" w:cs="Tahoma"/>
        </w:rPr>
        <w:t>ue prestó sus servicios a entidades de derecho público de la siguiente manera</w:t>
      </w:r>
      <w:r w:rsidR="00F96EF8" w:rsidRPr="001F446E">
        <w:rPr>
          <w:rFonts w:ascii="Tahoma" w:eastAsia="Calibri" w:hAnsi="Tahoma" w:cs="Tahoma"/>
        </w:rPr>
        <w:t>:</w:t>
      </w:r>
      <w:r w:rsidR="00A219CC" w:rsidRPr="001F446E">
        <w:rPr>
          <w:rFonts w:ascii="Tahoma" w:eastAsia="Calibri" w:hAnsi="Tahoma" w:cs="Tahoma"/>
        </w:rPr>
        <w:t xml:space="preserve"> </w:t>
      </w:r>
      <w:r w:rsidR="00F96EF8" w:rsidRPr="001F446E">
        <w:rPr>
          <w:rFonts w:ascii="Tahoma" w:eastAsia="Calibri" w:hAnsi="Tahoma" w:cs="Tahoma"/>
          <w:u w:val="single"/>
        </w:rPr>
        <w:t>D</w:t>
      </w:r>
      <w:r w:rsidR="00A219CC" w:rsidRPr="001F446E">
        <w:rPr>
          <w:rFonts w:ascii="Tahoma" w:eastAsia="Calibri" w:hAnsi="Tahoma" w:cs="Tahoma"/>
          <w:u w:val="single"/>
        </w:rPr>
        <w:t xml:space="preserve">epartamento de </w:t>
      </w:r>
      <w:r w:rsidR="00F96EF8" w:rsidRPr="001F446E">
        <w:rPr>
          <w:rFonts w:ascii="Tahoma" w:eastAsia="Calibri" w:hAnsi="Tahoma" w:cs="Tahoma"/>
          <w:u w:val="single"/>
        </w:rPr>
        <w:t>C</w:t>
      </w:r>
      <w:r w:rsidR="00A219CC" w:rsidRPr="001F446E">
        <w:rPr>
          <w:rFonts w:ascii="Tahoma" w:eastAsia="Calibri" w:hAnsi="Tahoma" w:cs="Tahoma"/>
          <w:u w:val="single"/>
        </w:rPr>
        <w:t>aldas</w:t>
      </w:r>
      <w:r w:rsidRPr="001F446E">
        <w:rPr>
          <w:rFonts w:ascii="Tahoma" w:eastAsia="Calibri" w:hAnsi="Tahoma" w:cs="Tahoma"/>
        </w:rPr>
        <w:t>:</w:t>
      </w:r>
      <w:r w:rsidR="00A219CC" w:rsidRPr="001F446E">
        <w:rPr>
          <w:rFonts w:ascii="Tahoma" w:eastAsia="Calibri" w:hAnsi="Tahoma" w:cs="Tahoma"/>
        </w:rPr>
        <w:t xml:space="preserve"> d</w:t>
      </w:r>
      <w:r w:rsidR="004C03AC" w:rsidRPr="001F446E">
        <w:rPr>
          <w:rFonts w:ascii="Tahoma" w:eastAsia="Calibri" w:hAnsi="Tahoma" w:cs="Tahoma"/>
        </w:rPr>
        <w:t>el</w:t>
      </w:r>
      <w:r w:rsidR="00A219CC" w:rsidRPr="001F446E">
        <w:rPr>
          <w:rFonts w:ascii="Tahoma" w:eastAsia="Calibri" w:hAnsi="Tahoma" w:cs="Tahoma"/>
        </w:rPr>
        <w:t xml:space="preserve"> 02 de diciembre de 197</w:t>
      </w:r>
      <w:r w:rsidR="00896809" w:rsidRPr="001F446E">
        <w:rPr>
          <w:rFonts w:ascii="Tahoma" w:eastAsia="Calibri" w:hAnsi="Tahoma" w:cs="Tahoma"/>
        </w:rPr>
        <w:t>5</w:t>
      </w:r>
      <w:r w:rsidR="004C03AC" w:rsidRPr="001F446E">
        <w:rPr>
          <w:rFonts w:ascii="Tahoma" w:eastAsia="Calibri" w:hAnsi="Tahoma" w:cs="Tahoma"/>
        </w:rPr>
        <w:t xml:space="preserve"> a</w:t>
      </w:r>
      <w:r w:rsidR="00A219CC" w:rsidRPr="001F446E">
        <w:rPr>
          <w:rFonts w:ascii="Tahoma" w:eastAsia="Calibri" w:hAnsi="Tahoma" w:cs="Tahoma"/>
        </w:rPr>
        <w:t>l 24 de febrero de 1975</w:t>
      </w:r>
      <w:r w:rsidR="004C03AC" w:rsidRPr="001F446E">
        <w:rPr>
          <w:rFonts w:ascii="Tahoma" w:eastAsia="Calibri" w:hAnsi="Tahoma" w:cs="Tahoma"/>
        </w:rPr>
        <w:t>, del</w:t>
      </w:r>
      <w:r w:rsidR="00A219CC" w:rsidRPr="001F446E">
        <w:rPr>
          <w:rFonts w:ascii="Tahoma" w:eastAsia="Calibri" w:hAnsi="Tahoma" w:cs="Tahoma"/>
        </w:rPr>
        <w:t xml:space="preserve"> 26 de febrero de 1975 </w:t>
      </w:r>
      <w:r w:rsidR="004C03AC" w:rsidRPr="001F446E">
        <w:rPr>
          <w:rFonts w:ascii="Tahoma" w:eastAsia="Calibri" w:hAnsi="Tahoma" w:cs="Tahoma"/>
        </w:rPr>
        <w:t>al</w:t>
      </w:r>
      <w:r w:rsidR="00A219CC" w:rsidRPr="001F446E">
        <w:rPr>
          <w:rFonts w:ascii="Tahoma" w:eastAsia="Calibri" w:hAnsi="Tahoma" w:cs="Tahoma"/>
        </w:rPr>
        <w:t xml:space="preserve"> 03 de julio de 1975; </w:t>
      </w:r>
      <w:r w:rsidR="004C03AC" w:rsidRPr="001F446E">
        <w:rPr>
          <w:rFonts w:ascii="Tahoma" w:eastAsia="Calibri" w:hAnsi="Tahoma" w:cs="Tahoma"/>
        </w:rPr>
        <w:t>del</w:t>
      </w:r>
      <w:r w:rsidR="00A219CC" w:rsidRPr="001F446E">
        <w:rPr>
          <w:rFonts w:ascii="Tahoma" w:eastAsia="Calibri" w:hAnsi="Tahoma" w:cs="Tahoma"/>
        </w:rPr>
        <w:t xml:space="preserve"> 16 de junio de 1976 </w:t>
      </w:r>
      <w:r w:rsidR="004C03AC" w:rsidRPr="001F446E">
        <w:rPr>
          <w:rFonts w:ascii="Tahoma" w:eastAsia="Calibri" w:hAnsi="Tahoma" w:cs="Tahoma"/>
        </w:rPr>
        <w:t>al</w:t>
      </w:r>
      <w:r w:rsidR="00A219CC" w:rsidRPr="001F446E">
        <w:rPr>
          <w:rFonts w:ascii="Tahoma" w:eastAsia="Calibri" w:hAnsi="Tahoma" w:cs="Tahoma"/>
        </w:rPr>
        <w:t xml:space="preserve"> 19 de agosto de 1976; </w:t>
      </w:r>
      <w:r w:rsidR="00F96EF8" w:rsidRPr="001F446E">
        <w:rPr>
          <w:rFonts w:ascii="Tahoma" w:eastAsia="Calibri" w:hAnsi="Tahoma" w:cs="Tahoma"/>
          <w:u w:val="single"/>
        </w:rPr>
        <w:t>M</w:t>
      </w:r>
      <w:r w:rsidR="00A219CC" w:rsidRPr="001F446E">
        <w:rPr>
          <w:rFonts w:ascii="Tahoma" w:eastAsia="Calibri" w:hAnsi="Tahoma" w:cs="Tahoma"/>
          <w:u w:val="single"/>
        </w:rPr>
        <w:t>unicipio de Manizales</w:t>
      </w:r>
      <w:r w:rsidR="00A219CC" w:rsidRPr="001F446E">
        <w:rPr>
          <w:rFonts w:ascii="Tahoma" w:eastAsia="Calibri" w:hAnsi="Tahoma" w:cs="Tahoma"/>
        </w:rPr>
        <w:t xml:space="preserve"> de</w:t>
      </w:r>
      <w:r w:rsidRPr="001F446E">
        <w:rPr>
          <w:rFonts w:ascii="Tahoma" w:eastAsia="Calibri" w:hAnsi="Tahoma" w:cs="Tahoma"/>
        </w:rPr>
        <w:t>l</w:t>
      </w:r>
      <w:r w:rsidR="00A219CC" w:rsidRPr="001F446E">
        <w:rPr>
          <w:rFonts w:ascii="Tahoma" w:eastAsia="Calibri" w:hAnsi="Tahoma" w:cs="Tahoma"/>
        </w:rPr>
        <w:t xml:space="preserve"> 20 de noviembre de 1978</w:t>
      </w:r>
      <w:r w:rsidR="00744229" w:rsidRPr="001F446E">
        <w:rPr>
          <w:rFonts w:ascii="Tahoma" w:eastAsia="Calibri" w:hAnsi="Tahoma" w:cs="Tahoma"/>
        </w:rPr>
        <w:t xml:space="preserve"> </w:t>
      </w:r>
      <w:r w:rsidRPr="001F446E">
        <w:rPr>
          <w:rFonts w:ascii="Tahoma" w:eastAsia="Calibri" w:hAnsi="Tahoma" w:cs="Tahoma"/>
        </w:rPr>
        <w:t>al</w:t>
      </w:r>
      <w:r w:rsidR="00744229" w:rsidRPr="001F446E">
        <w:rPr>
          <w:rFonts w:ascii="Tahoma" w:eastAsia="Calibri" w:hAnsi="Tahoma" w:cs="Tahoma"/>
        </w:rPr>
        <w:t xml:space="preserve"> 24 de enero de 197</w:t>
      </w:r>
      <w:r w:rsidR="00896809" w:rsidRPr="001F446E">
        <w:rPr>
          <w:rFonts w:ascii="Tahoma" w:eastAsia="Calibri" w:hAnsi="Tahoma" w:cs="Tahoma"/>
        </w:rPr>
        <w:t xml:space="preserve"> y </w:t>
      </w:r>
      <w:r w:rsidR="00744229" w:rsidRPr="001F446E">
        <w:rPr>
          <w:rFonts w:ascii="Tahoma" w:eastAsia="Calibri" w:hAnsi="Tahoma" w:cs="Tahoma"/>
        </w:rPr>
        <w:t>desde</w:t>
      </w:r>
      <w:r w:rsidR="00896809" w:rsidRPr="001F446E">
        <w:rPr>
          <w:rFonts w:ascii="Tahoma" w:eastAsia="Calibri" w:hAnsi="Tahoma" w:cs="Tahoma"/>
        </w:rPr>
        <w:t xml:space="preserve"> el</w:t>
      </w:r>
      <w:r w:rsidR="00744229" w:rsidRPr="001F446E">
        <w:rPr>
          <w:rFonts w:ascii="Tahoma" w:eastAsia="Calibri" w:hAnsi="Tahoma" w:cs="Tahoma"/>
        </w:rPr>
        <w:t xml:space="preserve"> 21 de octubre de 1982 hasta 03 de junio de 1984</w:t>
      </w:r>
      <w:r w:rsidR="00EF7B8A" w:rsidRPr="001F446E">
        <w:rPr>
          <w:rFonts w:ascii="Tahoma" w:eastAsia="Calibri" w:hAnsi="Tahoma" w:cs="Tahoma"/>
        </w:rPr>
        <w:t>,</w:t>
      </w:r>
      <w:r w:rsidR="00F96EF8" w:rsidRPr="001F446E">
        <w:rPr>
          <w:rFonts w:ascii="Tahoma" w:eastAsia="Calibri" w:hAnsi="Tahoma" w:cs="Tahoma"/>
        </w:rPr>
        <w:t xml:space="preserve"> y</w:t>
      </w:r>
      <w:r w:rsidR="00EF7B8A" w:rsidRPr="001F446E">
        <w:rPr>
          <w:rFonts w:ascii="Tahoma" w:eastAsia="Calibri" w:hAnsi="Tahoma" w:cs="Tahoma"/>
        </w:rPr>
        <w:t xml:space="preserve"> que además</w:t>
      </w:r>
      <w:r w:rsidR="00F96EF8" w:rsidRPr="001F446E">
        <w:rPr>
          <w:rFonts w:ascii="Tahoma" w:eastAsia="Calibri" w:hAnsi="Tahoma" w:cs="Tahoma"/>
        </w:rPr>
        <w:t xml:space="preserve"> </w:t>
      </w:r>
      <w:r w:rsidR="00744229" w:rsidRPr="001F446E">
        <w:rPr>
          <w:rFonts w:ascii="Tahoma" w:eastAsia="Calibri" w:hAnsi="Tahoma" w:cs="Tahoma"/>
        </w:rPr>
        <w:t>cotizó al RPM a través de la empresa privada un total de 661.86 semanas.</w:t>
      </w:r>
    </w:p>
    <w:p w14:paraId="4B268A94" w14:textId="209F26C2" w:rsidR="00744229" w:rsidRPr="001F446E" w:rsidRDefault="00744229" w:rsidP="001F446E">
      <w:pPr>
        <w:spacing w:before="0" w:beforeAutospacing="0" w:after="0" w:afterAutospacing="0" w:line="276" w:lineRule="auto"/>
        <w:contextualSpacing/>
        <w:rPr>
          <w:rFonts w:ascii="Tahoma" w:eastAsia="Calibri" w:hAnsi="Tahoma" w:cs="Tahoma"/>
        </w:rPr>
      </w:pPr>
    </w:p>
    <w:p w14:paraId="57612FB0" w14:textId="4FA8675F" w:rsidR="00134CDA" w:rsidRPr="001F446E" w:rsidRDefault="00744229" w:rsidP="001F446E">
      <w:pPr>
        <w:spacing w:before="0" w:beforeAutospacing="0" w:after="0" w:afterAutospacing="0" w:line="276" w:lineRule="auto"/>
        <w:contextualSpacing/>
        <w:rPr>
          <w:rFonts w:ascii="Tahoma" w:eastAsia="Calibri" w:hAnsi="Tahoma" w:cs="Tahoma"/>
        </w:rPr>
      </w:pPr>
      <w:r w:rsidRPr="001F446E">
        <w:rPr>
          <w:rFonts w:ascii="Tahoma" w:eastAsia="Calibri" w:hAnsi="Tahoma" w:cs="Tahoma"/>
        </w:rPr>
        <w:t xml:space="preserve">Indica que laboró para Dilia Estrada </w:t>
      </w:r>
      <w:r w:rsidR="00896809" w:rsidRPr="001F446E">
        <w:rPr>
          <w:rFonts w:ascii="Tahoma" w:eastAsia="Calibri" w:hAnsi="Tahoma" w:cs="Tahoma"/>
        </w:rPr>
        <w:t>d</w:t>
      </w:r>
      <w:r w:rsidRPr="001F446E">
        <w:rPr>
          <w:rFonts w:ascii="Tahoma" w:eastAsia="Calibri" w:hAnsi="Tahoma" w:cs="Tahoma"/>
        </w:rPr>
        <w:t xml:space="preserve">e </w:t>
      </w:r>
      <w:r w:rsidR="00AF3A29" w:rsidRPr="001F446E">
        <w:rPr>
          <w:rFonts w:ascii="Tahoma" w:eastAsia="Calibri" w:hAnsi="Tahoma" w:cs="Tahoma"/>
        </w:rPr>
        <w:t>Gómez</w:t>
      </w:r>
      <w:r w:rsidRPr="001F446E">
        <w:rPr>
          <w:rFonts w:ascii="Tahoma" w:eastAsia="Calibri" w:hAnsi="Tahoma" w:cs="Tahoma"/>
        </w:rPr>
        <w:t xml:space="preserve"> y </w:t>
      </w:r>
      <w:r w:rsidR="00F23B1E" w:rsidRPr="001F446E">
        <w:rPr>
          <w:rFonts w:ascii="Tahoma" w:eastAsia="Calibri" w:hAnsi="Tahoma" w:cs="Tahoma"/>
        </w:rPr>
        <w:t>e</w:t>
      </w:r>
      <w:r w:rsidRPr="001F446E">
        <w:rPr>
          <w:rFonts w:ascii="Tahoma" w:eastAsia="Calibri" w:hAnsi="Tahoma" w:cs="Tahoma"/>
        </w:rPr>
        <w:t xml:space="preserve">sta lo afilió a los riesgos de invalidez, vejez y muerte </w:t>
      </w:r>
      <w:r w:rsidR="00322E2F" w:rsidRPr="001F446E">
        <w:rPr>
          <w:rFonts w:ascii="Tahoma" w:eastAsia="Calibri" w:hAnsi="Tahoma" w:cs="Tahoma"/>
        </w:rPr>
        <w:t>en</w:t>
      </w:r>
      <w:r w:rsidRPr="001F446E">
        <w:rPr>
          <w:rFonts w:ascii="Tahoma" w:eastAsia="Calibri" w:hAnsi="Tahoma" w:cs="Tahoma"/>
        </w:rPr>
        <w:t xml:space="preserve"> Colpensiones el 01 de junio de 1996</w:t>
      </w:r>
      <w:r w:rsidR="00F96EF8" w:rsidRPr="001F446E">
        <w:rPr>
          <w:rFonts w:ascii="Tahoma" w:eastAsia="Calibri" w:hAnsi="Tahoma" w:cs="Tahoma"/>
        </w:rPr>
        <w:t>,</w:t>
      </w:r>
      <w:r w:rsidRPr="001F446E">
        <w:rPr>
          <w:rFonts w:ascii="Tahoma" w:eastAsia="Calibri" w:hAnsi="Tahoma" w:cs="Tahoma"/>
        </w:rPr>
        <w:t xml:space="preserve"> </w:t>
      </w:r>
      <w:r w:rsidR="00F96EF8" w:rsidRPr="001F446E">
        <w:rPr>
          <w:rFonts w:ascii="Tahoma" w:eastAsia="Calibri" w:hAnsi="Tahoma" w:cs="Tahoma"/>
        </w:rPr>
        <w:t xml:space="preserve">y </w:t>
      </w:r>
      <w:r w:rsidRPr="001F446E">
        <w:rPr>
          <w:rFonts w:ascii="Tahoma" w:eastAsia="Calibri" w:hAnsi="Tahoma" w:cs="Tahoma"/>
        </w:rPr>
        <w:t>realizó</w:t>
      </w:r>
      <w:r w:rsidR="00F96EF8" w:rsidRPr="001F446E">
        <w:rPr>
          <w:rFonts w:ascii="Tahoma" w:eastAsia="Calibri" w:hAnsi="Tahoma" w:cs="Tahoma"/>
        </w:rPr>
        <w:t xml:space="preserve"> un total </w:t>
      </w:r>
      <w:r w:rsidR="00EF7B8A" w:rsidRPr="001F446E">
        <w:rPr>
          <w:rFonts w:ascii="Tahoma" w:eastAsia="Calibri" w:hAnsi="Tahoma" w:cs="Tahoma"/>
        </w:rPr>
        <w:t xml:space="preserve">de </w:t>
      </w:r>
      <w:r w:rsidRPr="001F446E">
        <w:rPr>
          <w:rFonts w:ascii="Tahoma" w:eastAsia="Calibri" w:hAnsi="Tahoma" w:cs="Tahoma"/>
        </w:rPr>
        <w:t>30 días</w:t>
      </w:r>
      <w:r w:rsidR="00F96EF8" w:rsidRPr="001F446E">
        <w:rPr>
          <w:rFonts w:ascii="Tahoma" w:eastAsia="Calibri" w:hAnsi="Tahoma" w:cs="Tahoma"/>
        </w:rPr>
        <w:t xml:space="preserve"> de aportes en</w:t>
      </w:r>
      <w:r w:rsidRPr="001F446E">
        <w:rPr>
          <w:rFonts w:ascii="Tahoma" w:eastAsia="Calibri" w:hAnsi="Tahoma" w:cs="Tahoma"/>
        </w:rPr>
        <w:t xml:space="preserve"> </w:t>
      </w:r>
      <w:r w:rsidR="00F96EF8" w:rsidRPr="001F446E">
        <w:rPr>
          <w:rFonts w:ascii="Tahoma" w:eastAsia="Calibri" w:hAnsi="Tahoma" w:cs="Tahoma"/>
        </w:rPr>
        <w:t>el</w:t>
      </w:r>
      <w:r w:rsidRPr="001F446E">
        <w:rPr>
          <w:rFonts w:ascii="Tahoma" w:eastAsia="Calibri" w:hAnsi="Tahoma" w:cs="Tahoma"/>
        </w:rPr>
        <w:t xml:space="preserve"> ciclo 1</w:t>
      </w:r>
      <w:r w:rsidR="00F96EF8" w:rsidRPr="001F446E">
        <w:rPr>
          <w:rFonts w:ascii="Tahoma" w:eastAsia="Calibri" w:hAnsi="Tahoma" w:cs="Tahoma"/>
        </w:rPr>
        <w:t>9</w:t>
      </w:r>
      <w:r w:rsidRPr="001F446E">
        <w:rPr>
          <w:rFonts w:ascii="Tahoma" w:eastAsia="Calibri" w:hAnsi="Tahoma" w:cs="Tahoma"/>
        </w:rPr>
        <w:t>97-01</w:t>
      </w:r>
      <w:r w:rsidR="00F96EF8" w:rsidRPr="001F446E">
        <w:rPr>
          <w:rFonts w:ascii="Tahoma" w:eastAsia="Calibri" w:hAnsi="Tahoma" w:cs="Tahoma"/>
        </w:rPr>
        <w:t>;</w:t>
      </w:r>
      <w:r w:rsidRPr="001F446E">
        <w:rPr>
          <w:rFonts w:ascii="Tahoma" w:eastAsia="Calibri" w:hAnsi="Tahoma" w:cs="Tahoma"/>
        </w:rPr>
        <w:t xml:space="preserve"> sin embargo, Colpensiones solo totalizó 8 días</w:t>
      </w:r>
      <w:r w:rsidR="00F96EF8" w:rsidRPr="001F446E">
        <w:rPr>
          <w:rFonts w:ascii="Tahoma" w:eastAsia="Calibri" w:hAnsi="Tahoma" w:cs="Tahoma"/>
        </w:rPr>
        <w:t>,</w:t>
      </w:r>
      <w:r w:rsidRPr="001F446E">
        <w:rPr>
          <w:rFonts w:ascii="Tahoma" w:eastAsia="Calibri" w:hAnsi="Tahoma" w:cs="Tahoma"/>
        </w:rPr>
        <w:t xml:space="preserve"> </w:t>
      </w:r>
      <w:r w:rsidR="00F96EF8" w:rsidRPr="001F446E">
        <w:rPr>
          <w:rFonts w:ascii="Tahoma" w:eastAsia="Calibri" w:hAnsi="Tahoma" w:cs="Tahoma"/>
        </w:rPr>
        <w:t>de</w:t>
      </w:r>
      <w:r w:rsidRPr="001F446E">
        <w:rPr>
          <w:rFonts w:ascii="Tahoma" w:eastAsia="Calibri" w:hAnsi="Tahoma" w:cs="Tahoma"/>
        </w:rPr>
        <w:t>jando de lado lo equivalente a 3.14 semanas</w:t>
      </w:r>
      <w:r w:rsidR="00F96EF8" w:rsidRPr="001F446E">
        <w:rPr>
          <w:rFonts w:ascii="Tahoma" w:eastAsia="Calibri" w:hAnsi="Tahoma" w:cs="Tahoma"/>
        </w:rPr>
        <w:t>;</w:t>
      </w:r>
      <w:r w:rsidR="00754779" w:rsidRPr="001F446E">
        <w:rPr>
          <w:rFonts w:ascii="Tahoma" w:eastAsia="Calibri" w:hAnsi="Tahoma" w:cs="Tahoma"/>
        </w:rPr>
        <w:t xml:space="preserve"> </w:t>
      </w:r>
      <w:r w:rsidR="00F96EF8" w:rsidRPr="001F446E">
        <w:rPr>
          <w:rFonts w:ascii="Tahoma" w:eastAsia="Calibri" w:hAnsi="Tahoma" w:cs="Tahoma"/>
        </w:rPr>
        <w:t>indica que t</w:t>
      </w:r>
      <w:r w:rsidRPr="001F446E">
        <w:rPr>
          <w:rFonts w:ascii="Tahoma" w:eastAsia="Calibri" w:hAnsi="Tahoma" w:cs="Tahoma"/>
        </w:rPr>
        <w:t>ambién</w:t>
      </w:r>
      <w:r w:rsidR="00754779" w:rsidRPr="001F446E">
        <w:rPr>
          <w:rFonts w:ascii="Tahoma" w:eastAsia="Calibri" w:hAnsi="Tahoma" w:cs="Tahoma"/>
        </w:rPr>
        <w:t>,</w:t>
      </w:r>
      <w:r w:rsidRPr="001F446E">
        <w:rPr>
          <w:rFonts w:ascii="Tahoma" w:eastAsia="Calibri" w:hAnsi="Tahoma" w:cs="Tahoma"/>
        </w:rPr>
        <w:t xml:space="preserve"> laboró para </w:t>
      </w:r>
      <w:r w:rsidRPr="001F446E">
        <w:rPr>
          <w:rFonts w:ascii="Tahoma" w:eastAsia="Calibri" w:hAnsi="Tahoma" w:cs="Tahoma"/>
        </w:rPr>
        <w:lastRenderedPageBreak/>
        <w:t xml:space="preserve">TURAGUADAS, </w:t>
      </w:r>
      <w:r w:rsidR="00F23B1E" w:rsidRPr="001F446E">
        <w:rPr>
          <w:rFonts w:ascii="Tahoma" w:eastAsia="Calibri" w:hAnsi="Tahoma" w:cs="Tahoma"/>
        </w:rPr>
        <w:t>quien</w:t>
      </w:r>
      <w:r w:rsidR="00754779" w:rsidRPr="001F446E">
        <w:rPr>
          <w:rFonts w:ascii="Tahoma" w:eastAsia="Calibri" w:hAnsi="Tahoma" w:cs="Tahoma"/>
        </w:rPr>
        <w:t xml:space="preserve"> </w:t>
      </w:r>
      <w:r w:rsidRPr="001F446E">
        <w:rPr>
          <w:rFonts w:ascii="Tahoma" w:eastAsia="Calibri" w:hAnsi="Tahoma" w:cs="Tahoma"/>
        </w:rPr>
        <w:t>incurr</w:t>
      </w:r>
      <w:r w:rsidR="00F23B1E" w:rsidRPr="001F446E">
        <w:rPr>
          <w:rFonts w:ascii="Tahoma" w:eastAsia="Calibri" w:hAnsi="Tahoma" w:cs="Tahoma"/>
        </w:rPr>
        <w:t>ió</w:t>
      </w:r>
      <w:r w:rsidRPr="001F446E">
        <w:rPr>
          <w:rFonts w:ascii="Tahoma" w:eastAsia="Calibri" w:hAnsi="Tahoma" w:cs="Tahoma"/>
        </w:rPr>
        <w:t xml:space="preserve"> en mora de los </w:t>
      </w:r>
      <w:r w:rsidR="00EB53EE" w:rsidRPr="001F446E">
        <w:rPr>
          <w:rFonts w:ascii="Tahoma" w:eastAsia="Calibri" w:hAnsi="Tahoma" w:cs="Tahoma"/>
        </w:rPr>
        <w:t>c</w:t>
      </w:r>
      <w:r w:rsidRPr="001F446E">
        <w:rPr>
          <w:rFonts w:ascii="Tahoma" w:eastAsia="Calibri" w:hAnsi="Tahoma" w:cs="Tahoma"/>
        </w:rPr>
        <w:t>iclos 1997-07 y 1997-10</w:t>
      </w:r>
      <w:r w:rsidR="00F23B1E" w:rsidRPr="001F446E">
        <w:rPr>
          <w:rFonts w:ascii="Tahoma" w:eastAsia="Calibri" w:hAnsi="Tahoma" w:cs="Tahoma"/>
        </w:rPr>
        <w:t>, frente a los cuales</w:t>
      </w:r>
      <w:r w:rsidRPr="001F446E">
        <w:rPr>
          <w:rFonts w:ascii="Tahoma" w:eastAsia="Calibri" w:hAnsi="Tahoma" w:cs="Tahoma"/>
        </w:rPr>
        <w:t xml:space="preserve"> Colpensiones aplicó la figura de imputación de pagos</w:t>
      </w:r>
      <w:r w:rsidR="00134CDA" w:rsidRPr="001F446E">
        <w:rPr>
          <w:rFonts w:ascii="Tahoma" w:eastAsia="Calibri" w:hAnsi="Tahoma" w:cs="Tahoma"/>
        </w:rPr>
        <w:t xml:space="preserve"> </w:t>
      </w:r>
      <w:r w:rsidR="00EB53EE" w:rsidRPr="001F446E">
        <w:rPr>
          <w:rFonts w:ascii="Tahoma" w:eastAsia="Calibri" w:hAnsi="Tahoma" w:cs="Tahoma"/>
          <w:i/>
        </w:rPr>
        <w:t>“</w:t>
      </w:r>
      <w:r w:rsidR="00134CDA" w:rsidRPr="00531A31">
        <w:rPr>
          <w:rFonts w:ascii="Tahoma" w:eastAsia="Calibri" w:hAnsi="Tahoma" w:cs="Tahoma"/>
          <w:i/>
          <w:sz w:val="22"/>
        </w:rPr>
        <w:t>pago aplicado a periodos anteriores</w:t>
      </w:r>
      <w:r w:rsidR="00531A31">
        <w:rPr>
          <w:rFonts w:ascii="Tahoma" w:eastAsia="Calibri" w:hAnsi="Tahoma" w:cs="Tahoma"/>
          <w:i/>
          <w:sz w:val="22"/>
        </w:rPr>
        <w:t>”</w:t>
      </w:r>
      <w:r w:rsidR="000161D4">
        <w:rPr>
          <w:rFonts w:ascii="Tahoma" w:eastAsia="Calibri" w:hAnsi="Tahoma" w:cs="Tahoma"/>
          <w:i/>
          <w:sz w:val="22"/>
        </w:rPr>
        <w:t xml:space="preserve"> </w:t>
      </w:r>
      <w:r w:rsidR="00134CDA" w:rsidRPr="00531A31">
        <w:rPr>
          <w:rFonts w:ascii="Tahoma" w:eastAsia="Calibri" w:hAnsi="Tahoma" w:cs="Tahoma"/>
          <w:sz w:val="22"/>
        </w:rPr>
        <w:t>’</w:t>
      </w:r>
      <w:r w:rsidRPr="001F446E">
        <w:rPr>
          <w:rFonts w:ascii="Tahoma" w:eastAsia="Calibri" w:hAnsi="Tahoma" w:cs="Tahoma"/>
        </w:rPr>
        <w:t xml:space="preserve">haciendo la </w:t>
      </w:r>
      <w:r w:rsidR="00134CDA" w:rsidRPr="001F446E">
        <w:rPr>
          <w:rFonts w:ascii="Tahoma" w:eastAsia="Calibri" w:hAnsi="Tahoma" w:cs="Tahoma"/>
        </w:rPr>
        <w:t>respectiva anotación</w:t>
      </w:r>
      <w:r w:rsidR="00896809" w:rsidRPr="001F446E">
        <w:rPr>
          <w:rFonts w:ascii="Tahoma" w:eastAsia="Calibri" w:hAnsi="Tahoma" w:cs="Tahoma"/>
        </w:rPr>
        <w:t>, con lo que</w:t>
      </w:r>
      <w:r w:rsidR="00134CDA" w:rsidRPr="001F446E">
        <w:rPr>
          <w:rFonts w:ascii="Tahoma" w:eastAsia="Calibri" w:hAnsi="Tahoma" w:cs="Tahoma"/>
        </w:rPr>
        <w:t xml:space="preserve"> afect</w:t>
      </w:r>
      <w:r w:rsidR="00896809" w:rsidRPr="001F446E">
        <w:rPr>
          <w:rFonts w:ascii="Tahoma" w:eastAsia="Calibri" w:hAnsi="Tahoma" w:cs="Tahoma"/>
        </w:rPr>
        <w:t>ó</w:t>
      </w:r>
      <w:r w:rsidR="00134CDA" w:rsidRPr="001F446E">
        <w:rPr>
          <w:rFonts w:ascii="Tahoma" w:eastAsia="Calibri" w:hAnsi="Tahoma" w:cs="Tahoma"/>
        </w:rPr>
        <w:t xml:space="preserve"> otros ciclos</w:t>
      </w:r>
      <w:r w:rsidR="00896809" w:rsidRPr="001F446E">
        <w:rPr>
          <w:rFonts w:ascii="Tahoma" w:eastAsia="Calibri" w:hAnsi="Tahoma" w:cs="Tahoma"/>
        </w:rPr>
        <w:t xml:space="preserve">, pues de los </w:t>
      </w:r>
      <w:r w:rsidR="00134CDA" w:rsidRPr="001F446E">
        <w:rPr>
          <w:rFonts w:ascii="Tahoma" w:eastAsia="Calibri" w:hAnsi="Tahoma" w:cs="Tahoma"/>
        </w:rPr>
        <w:t>ciclos 1999-08 y 1999-09 descontó 43 días</w:t>
      </w:r>
      <w:r w:rsidR="00EF7B8A" w:rsidRPr="001F446E">
        <w:rPr>
          <w:rFonts w:ascii="Tahoma" w:eastAsia="Calibri" w:hAnsi="Tahoma" w:cs="Tahoma"/>
        </w:rPr>
        <w:t>,</w:t>
      </w:r>
      <w:r w:rsidR="00134CDA" w:rsidRPr="001F446E">
        <w:rPr>
          <w:rFonts w:ascii="Tahoma" w:eastAsia="Calibri" w:hAnsi="Tahoma" w:cs="Tahoma"/>
        </w:rPr>
        <w:t xml:space="preserve"> equivalentes a 6 semanas</w:t>
      </w:r>
      <w:r w:rsidR="00896809" w:rsidRPr="001F446E">
        <w:rPr>
          <w:rFonts w:ascii="Tahoma" w:eastAsia="Calibri" w:hAnsi="Tahoma" w:cs="Tahoma"/>
        </w:rPr>
        <w:t>,</w:t>
      </w:r>
      <w:r w:rsidR="00754779" w:rsidRPr="001F446E">
        <w:rPr>
          <w:rFonts w:ascii="Tahoma" w:eastAsia="Calibri" w:hAnsi="Tahoma" w:cs="Tahoma"/>
        </w:rPr>
        <w:t xml:space="preserve"> </w:t>
      </w:r>
      <w:r w:rsidR="00896809" w:rsidRPr="001F446E">
        <w:rPr>
          <w:rFonts w:ascii="Tahoma" w:eastAsia="Calibri" w:hAnsi="Tahoma" w:cs="Tahoma"/>
        </w:rPr>
        <w:t>r</w:t>
      </w:r>
      <w:r w:rsidR="00754779" w:rsidRPr="001F446E">
        <w:rPr>
          <w:rFonts w:ascii="Tahoma" w:eastAsia="Calibri" w:hAnsi="Tahoma" w:cs="Tahoma"/>
        </w:rPr>
        <w:t xml:space="preserve">esaltando que Colpensiones no realizó acciones de cobro mediante </w:t>
      </w:r>
      <w:r w:rsidR="00896809" w:rsidRPr="001F446E">
        <w:rPr>
          <w:rFonts w:ascii="Tahoma" w:eastAsia="Calibri" w:hAnsi="Tahoma" w:cs="Tahoma"/>
        </w:rPr>
        <w:t xml:space="preserve">de </w:t>
      </w:r>
      <w:r w:rsidR="00754779" w:rsidRPr="001F446E">
        <w:rPr>
          <w:rFonts w:ascii="Tahoma" w:eastAsia="Calibri" w:hAnsi="Tahoma" w:cs="Tahoma"/>
        </w:rPr>
        <w:t>las mencionadas cuotas adeudadas.</w:t>
      </w:r>
      <w:r w:rsidR="00F23B1E" w:rsidRPr="001F446E">
        <w:rPr>
          <w:rFonts w:ascii="Tahoma" w:eastAsia="Calibri" w:hAnsi="Tahoma" w:cs="Tahoma"/>
        </w:rPr>
        <w:t xml:space="preserve"> </w:t>
      </w:r>
      <w:r w:rsidR="00754779" w:rsidRPr="001F446E">
        <w:rPr>
          <w:rFonts w:ascii="Tahoma" w:eastAsia="Calibri" w:hAnsi="Tahoma" w:cs="Tahoma"/>
        </w:rPr>
        <w:t>Finalmente</w:t>
      </w:r>
      <w:r w:rsidR="00EF7B8A" w:rsidRPr="001F446E">
        <w:rPr>
          <w:rFonts w:ascii="Tahoma" w:eastAsia="Calibri" w:hAnsi="Tahoma" w:cs="Tahoma"/>
        </w:rPr>
        <w:t>,</w:t>
      </w:r>
      <w:r w:rsidR="00754779" w:rsidRPr="001F446E">
        <w:rPr>
          <w:rFonts w:ascii="Tahoma" w:eastAsia="Calibri" w:hAnsi="Tahoma" w:cs="Tahoma"/>
        </w:rPr>
        <w:t xml:space="preserve"> añade que</w:t>
      </w:r>
      <w:r w:rsidR="00134CDA" w:rsidRPr="001F446E">
        <w:rPr>
          <w:rFonts w:ascii="Tahoma" w:eastAsia="Calibri" w:hAnsi="Tahoma" w:cs="Tahoma"/>
        </w:rPr>
        <w:t xml:space="preserve"> su cotización por labores asciende a 1.002 semanas</w:t>
      </w:r>
      <w:r w:rsidR="00754779" w:rsidRPr="001F446E">
        <w:rPr>
          <w:rFonts w:ascii="Tahoma" w:eastAsia="Calibri" w:hAnsi="Tahoma" w:cs="Tahoma"/>
        </w:rPr>
        <w:t xml:space="preserve">, dejando de cotizar como trabajador dependiente el 1 de septiembre de 2003 </w:t>
      </w:r>
      <w:r w:rsidR="00134CDA" w:rsidRPr="001F446E">
        <w:rPr>
          <w:rFonts w:ascii="Tahoma" w:eastAsia="Calibri" w:hAnsi="Tahoma" w:cs="Tahoma"/>
        </w:rPr>
        <w:t>y que también es beneficiario del régimen de transición</w:t>
      </w:r>
      <w:r w:rsidR="00EB53EE" w:rsidRPr="001F446E">
        <w:rPr>
          <w:rFonts w:ascii="Tahoma" w:eastAsia="Calibri" w:hAnsi="Tahoma" w:cs="Tahoma"/>
        </w:rPr>
        <w:t>.</w:t>
      </w:r>
      <w:r w:rsidR="00F23B1E" w:rsidRPr="001F446E">
        <w:rPr>
          <w:rFonts w:ascii="Tahoma" w:eastAsia="Calibri" w:hAnsi="Tahoma" w:cs="Tahoma"/>
        </w:rPr>
        <w:t xml:space="preserve"> </w:t>
      </w:r>
      <w:r w:rsidR="008A08DB" w:rsidRPr="001F446E">
        <w:rPr>
          <w:rFonts w:ascii="Tahoma" w:eastAsia="Calibri" w:hAnsi="Tahoma" w:cs="Tahoma"/>
        </w:rPr>
        <w:t>Concluye entonces que c</w:t>
      </w:r>
      <w:r w:rsidR="00134CDA" w:rsidRPr="001F446E">
        <w:rPr>
          <w:rFonts w:ascii="Tahoma" w:eastAsia="Calibri" w:hAnsi="Tahoma" w:cs="Tahoma"/>
        </w:rPr>
        <w:t xml:space="preserve">umple con los requisitos para acceder a la pensión de jubilación </w:t>
      </w:r>
      <w:r w:rsidR="00754779" w:rsidRPr="001F446E">
        <w:rPr>
          <w:rFonts w:ascii="Tahoma" w:eastAsia="Calibri" w:hAnsi="Tahoma" w:cs="Tahoma"/>
        </w:rPr>
        <w:t>por aportes</w:t>
      </w:r>
      <w:r w:rsidR="008A08DB" w:rsidRPr="001F446E">
        <w:rPr>
          <w:rFonts w:ascii="Tahoma" w:eastAsia="Calibri" w:hAnsi="Tahoma" w:cs="Tahoma"/>
        </w:rPr>
        <w:t xml:space="preserve"> y</w:t>
      </w:r>
      <w:r w:rsidR="00EF7B8A" w:rsidRPr="001F446E">
        <w:rPr>
          <w:rFonts w:ascii="Tahoma" w:eastAsia="Calibri" w:hAnsi="Tahoma" w:cs="Tahoma"/>
        </w:rPr>
        <w:t xml:space="preserve"> que</w:t>
      </w:r>
      <w:r w:rsidR="008A08DB" w:rsidRPr="001F446E">
        <w:rPr>
          <w:rFonts w:ascii="Tahoma" w:eastAsia="Calibri" w:hAnsi="Tahoma" w:cs="Tahoma"/>
        </w:rPr>
        <w:t xml:space="preserve"> p</w:t>
      </w:r>
      <w:r w:rsidR="00754779" w:rsidRPr="001F446E">
        <w:rPr>
          <w:rFonts w:ascii="Tahoma" w:eastAsia="Calibri" w:hAnsi="Tahoma" w:cs="Tahoma"/>
        </w:rPr>
        <w:t>resentó solicitud de esta a Colpensiones, la cual respond</w:t>
      </w:r>
      <w:r w:rsidR="00EF7B8A" w:rsidRPr="001F446E">
        <w:rPr>
          <w:rFonts w:ascii="Tahoma" w:eastAsia="Calibri" w:hAnsi="Tahoma" w:cs="Tahoma"/>
        </w:rPr>
        <w:t>ió</w:t>
      </w:r>
      <w:r w:rsidR="00754779" w:rsidRPr="001F446E">
        <w:rPr>
          <w:rFonts w:ascii="Tahoma" w:eastAsia="Calibri" w:hAnsi="Tahoma" w:cs="Tahoma"/>
        </w:rPr>
        <w:t xml:space="preserve"> de manera negativa el 17 de enero de 2019. </w:t>
      </w:r>
    </w:p>
    <w:p w14:paraId="4E3EFDC0" w14:textId="7C2B4294" w:rsidR="00171926" w:rsidRPr="001F446E" w:rsidRDefault="00171926" w:rsidP="001F446E">
      <w:pPr>
        <w:spacing w:before="0" w:beforeAutospacing="0" w:after="0" w:afterAutospacing="0" w:line="276" w:lineRule="auto"/>
        <w:contextualSpacing/>
        <w:rPr>
          <w:rFonts w:ascii="Tahoma" w:eastAsia="Calibri" w:hAnsi="Tahoma" w:cs="Tahoma"/>
        </w:rPr>
      </w:pPr>
      <w:r w:rsidRPr="001F446E">
        <w:rPr>
          <w:rFonts w:ascii="Tahoma" w:eastAsia="Calibri" w:hAnsi="Tahoma" w:cs="Tahoma"/>
        </w:rPr>
        <w:t xml:space="preserve"> </w:t>
      </w:r>
    </w:p>
    <w:p w14:paraId="55795340" w14:textId="7675B29D" w:rsidR="00957A0C" w:rsidRPr="001F446E" w:rsidRDefault="00F23B1E" w:rsidP="001F446E">
      <w:pPr>
        <w:spacing w:before="0" w:beforeAutospacing="0" w:after="0" w:afterAutospacing="0" w:line="276" w:lineRule="auto"/>
        <w:contextualSpacing/>
        <w:rPr>
          <w:rFonts w:ascii="Tahoma" w:eastAsia="Calibri" w:hAnsi="Tahoma" w:cs="Tahoma"/>
          <w:i/>
          <w:iCs/>
        </w:rPr>
      </w:pPr>
      <w:r w:rsidRPr="001F446E">
        <w:rPr>
          <w:rFonts w:ascii="Tahoma" w:eastAsia="Calibri" w:hAnsi="Tahoma" w:cs="Tahoma"/>
        </w:rPr>
        <w:t xml:space="preserve">En respuesta a la demanda, </w:t>
      </w:r>
      <w:r w:rsidR="00896809" w:rsidRPr="001F446E">
        <w:rPr>
          <w:rFonts w:ascii="Tahoma" w:eastAsia="Calibri" w:hAnsi="Tahoma" w:cs="Tahoma"/>
        </w:rPr>
        <w:t>la Administradora Colombiana de Pensiones -</w:t>
      </w:r>
      <w:r w:rsidR="00C92B5B" w:rsidRPr="001F446E">
        <w:rPr>
          <w:rFonts w:ascii="Tahoma" w:eastAsia="Calibri" w:hAnsi="Tahoma" w:cs="Tahoma"/>
        </w:rPr>
        <w:t>C</w:t>
      </w:r>
      <w:r w:rsidR="00171926" w:rsidRPr="001F446E">
        <w:rPr>
          <w:rFonts w:ascii="Tahoma" w:eastAsia="Calibri" w:hAnsi="Tahoma" w:cs="Tahoma"/>
        </w:rPr>
        <w:t>olpensiones</w:t>
      </w:r>
      <w:r w:rsidR="00896809" w:rsidRPr="001F446E">
        <w:rPr>
          <w:rFonts w:ascii="Tahoma" w:eastAsia="Calibri" w:hAnsi="Tahoma" w:cs="Tahoma"/>
        </w:rPr>
        <w:t>-</w:t>
      </w:r>
      <w:r w:rsidR="00171926" w:rsidRPr="001F446E">
        <w:rPr>
          <w:rFonts w:ascii="Tahoma" w:eastAsia="Calibri" w:hAnsi="Tahoma" w:cs="Tahoma"/>
        </w:rPr>
        <w:t xml:space="preserve"> se opuso a lo pretendido por </w:t>
      </w:r>
      <w:r w:rsidR="008A08DB" w:rsidRPr="001F446E">
        <w:rPr>
          <w:rFonts w:ascii="Tahoma" w:eastAsia="Calibri" w:hAnsi="Tahoma" w:cs="Tahoma"/>
        </w:rPr>
        <w:t>el demandante</w:t>
      </w:r>
      <w:r w:rsidR="00C92B5B" w:rsidRPr="001F446E">
        <w:rPr>
          <w:rFonts w:ascii="Tahoma" w:eastAsia="Calibri" w:hAnsi="Tahoma" w:cs="Tahoma"/>
        </w:rPr>
        <w:t>,</w:t>
      </w:r>
      <w:r w:rsidR="008A08DB" w:rsidRPr="001F446E">
        <w:rPr>
          <w:rFonts w:ascii="Tahoma" w:eastAsia="Calibri" w:hAnsi="Tahoma" w:cs="Tahoma"/>
        </w:rPr>
        <w:t xml:space="preserve"> porque si bien es beneficiario del régimen de transición, no acreditó las semanas requeridas para acceder a la pensión de jubilación por aportes</w:t>
      </w:r>
      <w:r w:rsidR="00957A0C" w:rsidRPr="001F446E">
        <w:rPr>
          <w:rFonts w:ascii="Tahoma" w:eastAsia="Calibri" w:hAnsi="Tahoma" w:cs="Tahoma"/>
        </w:rPr>
        <w:t xml:space="preserve"> en virtud </w:t>
      </w:r>
      <w:r w:rsidR="00EF7B8A" w:rsidRPr="001F446E">
        <w:rPr>
          <w:rFonts w:ascii="Tahoma" w:eastAsia="Calibri" w:hAnsi="Tahoma" w:cs="Tahoma"/>
        </w:rPr>
        <w:t xml:space="preserve">de la </w:t>
      </w:r>
      <w:r w:rsidR="008B095B" w:rsidRPr="001F446E">
        <w:rPr>
          <w:rFonts w:ascii="Tahoma" w:eastAsia="Calibri" w:hAnsi="Tahoma" w:cs="Tahoma"/>
        </w:rPr>
        <w:t xml:space="preserve">Ley </w:t>
      </w:r>
      <w:r w:rsidR="00957A0C" w:rsidRPr="001F446E">
        <w:rPr>
          <w:rFonts w:ascii="Tahoma" w:eastAsia="Calibri" w:hAnsi="Tahoma" w:cs="Tahoma"/>
        </w:rPr>
        <w:t>71 de 1988</w:t>
      </w:r>
      <w:r w:rsidR="00C92B5B" w:rsidRPr="001F446E">
        <w:rPr>
          <w:rFonts w:ascii="Tahoma" w:eastAsia="Calibri" w:hAnsi="Tahoma" w:cs="Tahoma"/>
        </w:rPr>
        <w:t>,</w:t>
      </w:r>
      <w:r w:rsidR="00957A0C" w:rsidRPr="001F446E">
        <w:rPr>
          <w:rFonts w:ascii="Tahoma" w:eastAsia="Calibri" w:hAnsi="Tahoma" w:cs="Tahoma"/>
        </w:rPr>
        <w:t xml:space="preserve"> </w:t>
      </w:r>
      <w:r w:rsidR="00C92B5B" w:rsidRPr="001F446E">
        <w:rPr>
          <w:rFonts w:ascii="Tahoma" w:eastAsia="Calibri" w:hAnsi="Tahoma" w:cs="Tahoma"/>
        </w:rPr>
        <w:t>p</w:t>
      </w:r>
      <w:r w:rsidR="00957A0C" w:rsidRPr="001F446E">
        <w:rPr>
          <w:rFonts w:ascii="Tahoma" w:eastAsia="Calibri" w:hAnsi="Tahoma" w:cs="Tahoma"/>
        </w:rPr>
        <w:t>or lo que tampoco hay cifras adeudadas por mora de mesadas pensionales.</w:t>
      </w:r>
      <w:r w:rsidRPr="001F446E">
        <w:rPr>
          <w:rFonts w:ascii="Tahoma" w:eastAsia="Calibri" w:hAnsi="Tahoma" w:cs="Tahoma"/>
        </w:rPr>
        <w:t xml:space="preserve"> </w:t>
      </w:r>
      <w:r w:rsidR="00C53563" w:rsidRPr="001F446E">
        <w:rPr>
          <w:rFonts w:ascii="Tahoma" w:eastAsia="Calibri" w:hAnsi="Tahoma" w:cs="Tahoma"/>
        </w:rPr>
        <w:t>Finalmente,</w:t>
      </w:r>
      <w:r w:rsidR="00957A0C" w:rsidRPr="001F446E">
        <w:rPr>
          <w:rFonts w:ascii="Tahoma" w:eastAsia="Calibri" w:hAnsi="Tahoma" w:cs="Tahoma"/>
        </w:rPr>
        <w:t xml:space="preserve"> se opone a que se le impongan condenas a partir de la facultad ultra y extra petit</w:t>
      </w:r>
      <w:r w:rsidR="00C53563" w:rsidRPr="001F446E">
        <w:rPr>
          <w:rFonts w:ascii="Tahoma" w:eastAsia="Calibri" w:hAnsi="Tahoma" w:cs="Tahoma"/>
        </w:rPr>
        <w:t>a y a la condena en</w:t>
      </w:r>
      <w:r w:rsidR="00957A0C" w:rsidRPr="001F446E">
        <w:rPr>
          <w:rFonts w:ascii="Tahoma" w:eastAsia="Calibri" w:hAnsi="Tahoma" w:cs="Tahoma"/>
        </w:rPr>
        <w:t xml:space="preserve"> costas procesales y agencias en derecho en virtud de que las condenas mencionadas no deben prosperar.</w:t>
      </w:r>
      <w:r w:rsidRPr="001F446E">
        <w:rPr>
          <w:rFonts w:ascii="Tahoma" w:eastAsia="Calibri" w:hAnsi="Tahoma" w:cs="Tahoma"/>
        </w:rPr>
        <w:t xml:space="preserve"> </w:t>
      </w:r>
      <w:r w:rsidR="00C53563" w:rsidRPr="001F446E">
        <w:rPr>
          <w:rFonts w:ascii="Tahoma" w:eastAsia="Calibri" w:hAnsi="Tahoma" w:cs="Tahoma"/>
        </w:rPr>
        <w:t xml:space="preserve">Formula las excepciones </w:t>
      </w:r>
      <w:r w:rsidR="00C53563" w:rsidRPr="001F446E">
        <w:rPr>
          <w:rFonts w:ascii="Tahoma" w:eastAsia="Calibri" w:hAnsi="Tahoma" w:cs="Tahoma"/>
          <w:i/>
          <w:iCs/>
        </w:rPr>
        <w:t>“inexistencia de la obligación’’, “buena fe’’, “</w:t>
      </w:r>
      <w:r w:rsidR="00EB53EE" w:rsidRPr="001F446E">
        <w:rPr>
          <w:rFonts w:ascii="Tahoma" w:eastAsia="Calibri" w:hAnsi="Tahoma" w:cs="Tahoma"/>
          <w:i/>
          <w:iCs/>
        </w:rPr>
        <w:t>prescripción</w:t>
      </w:r>
      <w:r w:rsidR="00C53563" w:rsidRPr="001F446E">
        <w:rPr>
          <w:rFonts w:ascii="Tahoma" w:eastAsia="Calibri" w:hAnsi="Tahoma" w:cs="Tahoma"/>
          <w:i/>
          <w:iCs/>
        </w:rPr>
        <w:t>’’, “imposibilidad de condena en costas’’ y “genérica’’.</w:t>
      </w:r>
    </w:p>
    <w:p w14:paraId="2EE7479B" w14:textId="1A065BB2" w:rsidR="00171926" w:rsidRPr="001F446E" w:rsidRDefault="00171926" w:rsidP="001F446E">
      <w:pPr>
        <w:spacing w:before="0" w:beforeAutospacing="0" w:after="0" w:afterAutospacing="0" w:line="276" w:lineRule="auto"/>
        <w:contextualSpacing/>
        <w:rPr>
          <w:rFonts w:ascii="Tahoma" w:eastAsia="Calibri" w:hAnsi="Tahoma" w:cs="Tahoma"/>
          <w:i/>
          <w:iCs/>
        </w:rPr>
      </w:pPr>
      <w:r w:rsidRPr="001F446E">
        <w:rPr>
          <w:rFonts w:ascii="Tahoma" w:eastAsia="Calibri" w:hAnsi="Tahoma" w:cs="Tahoma"/>
          <w:i/>
          <w:iCs/>
        </w:rPr>
        <w:t xml:space="preserve"> </w:t>
      </w:r>
    </w:p>
    <w:p w14:paraId="1A2E19F7" w14:textId="32626918" w:rsidR="006B0525" w:rsidRPr="001F446E" w:rsidRDefault="0067289E" w:rsidP="001F446E">
      <w:pPr>
        <w:pStyle w:val="Prrafodelista"/>
        <w:numPr>
          <w:ilvl w:val="0"/>
          <w:numId w:val="1"/>
        </w:numPr>
        <w:spacing w:line="276" w:lineRule="auto"/>
        <w:ind w:left="426" w:hanging="426"/>
        <w:jc w:val="center"/>
        <w:rPr>
          <w:rFonts w:cs="Tahoma"/>
          <w:b/>
          <w:bCs/>
          <w:szCs w:val="24"/>
        </w:rPr>
      </w:pPr>
      <w:r w:rsidRPr="001F446E">
        <w:rPr>
          <w:rFonts w:cs="Tahoma"/>
          <w:b/>
          <w:bCs/>
          <w:szCs w:val="24"/>
        </w:rPr>
        <w:t>SENTENCIA DE PRIMERA INSTANCIA</w:t>
      </w:r>
    </w:p>
    <w:p w14:paraId="0D7E6606" w14:textId="77777777" w:rsidR="006B0525" w:rsidRPr="001F446E" w:rsidRDefault="006B0525" w:rsidP="001F446E">
      <w:pPr>
        <w:pStyle w:val="Prrafodelista"/>
        <w:spacing w:line="276" w:lineRule="auto"/>
        <w:ind w:left="426"/>
        <w:rPr>
          <w:rFonts w:eastAsia="Calibri" w:cs="Tahoma"/>
          <w:szCs w:val="24"/>
          <w:lang w:val="es-ES"/>
        </w:rPr>
      </w:pPr>
    </w:p>
    <w:p w14:paraId="187049F1" w14:textId="309B9AF5" w:rsidR="00400466" w:rsidRPr="001F446E" w:rsidRDefault="006B0525" w:rsidP="001F446E">
      <w:pPr>
        <w:spacing w:before="0" w:beforeAutospacing="0" w:after="0" w:afterAutospacing="0" w:line="276" w:lineRule="auto"/>
        <w:rPr>
          <w:rFonts w:ascii="Tahoma" w:eastAsia="Calibri" w:hAnsi="Tahoma" w:cs="Tahoma"/>
          <w:lang w:val="es-ES"/>
        </w:rPr>
      </w:pPr>
      <w:r w:rsidRPr="001F446E">
        <w:rPr>
          <w:rFonts w:ascii="Tahoma" w:eastAsia="Calibri" w:hAnsi="Tahoma" w:cs="Tahoma"/>
          <w:lang w:val="es-ES"/>
        </w:rPr>
        <w:t>La Juez</w:t>
      </w:r>
      <w:r w:rsidR="00C92B5B" w:rsidRPr="001F446E">
        <w:rPr>
          <w:rFonts w:ascii="Tahoma" w:eastAsia="Calibri" w:hAnsi="Tahoma" w:cs="Tahoma"/>
          <w:lang w:val="es-ES"/>
        </w:rPr>
        <w:t>a</w:t>
      </w:r>
      <w:r w:rsidRPr="001F446E">
        <w:rPr>
          <w:rFonts w:ascii="Tahoma" w:eastAsia="Calibri" w:hAnsi="Tahoma" w:cs="Tahoma"/>
          <w:lang w:val="es-ES"/>
        </w:rPr>
        <w:t xml:space="preserve"> de primera instancia declar</w:t>
      </w:r>
      <w:r w:rsidR="00C92B5B" w:rsidRPr="001F446E">
        <w:rPr>
          <w:rFonts w:ascii="Tahoma" w:eastAsia="Calibri" w:hAnsi="Tahoma" w:cs="Tahoma"/>
          <w:lang w:val="es-ES"/>
        </w:rPr>
        <w:t>ó</w:t>
      </w:r>
      <w:r w:rsidRPr="001F446E">
        <w:rPr>
          <w:rFonts w:ascii="Tahoma" w:eastAsia="Calibri" w:hAnsi="Tahoma" w:cs="Tahoma"/>
          <w:lang w:val="es-ES"/>
        </w:rPr>
        <w:t xml:space="preserve"> que el actor </w:t>
      </w:r>
      <w:r w:rsidR="00EF7B8A" w:rsidRPr="001F446E">
        <w:rPr>
          <w:rFonts w:ascii="Tahoma" w:eastAsia="Calibri" w:hAnsi="Tahoma" w:cs="Tahoma"/>
          <w:lang w:val="es-ES"/>
        </w:rPr>
        <w:t>tiene</w:t>
      </w:r>
      <w:r w:rsidRPr="001F446E">
        <w:rPr>
          <w:rFonts w:ascii="Tahoma" w:eastAsia="Calibri" w:hAnsi="Tahoma" w:cs="Tahoma"/>
          <w:lang w:val="es-ES"/>
        </w:rPr>
        <w:t xml:space="preserve"> derecho a </w:t>
      </w:r>
      <w:r w:rsidR="00931302" w:rsidRPr="001F446E">
        <w:rPr>
          <w:rFonts w:ascii="Tahoma" w:eastAsia="Calibri" w:hAnsi="Tahoma" w:cs="Tahoma"/>
          <w:lang w:val="es-ES"/>
        </w:rPr>
        <w:t>la</w:t>
      </w:r>
      <w:r w:rsidRPr="001F446E">
        <w:rPr>
          <w:rFonts w:ascii="Tahoma" w:eastAsia="Calibri" w:hAnsi="Tahoma" w:cs="Tahoma"/>
          <w:lang w:val="es-ES"/>
        </w:rPr>
        <w:t xml:space="preserve"> pensión de vejez desde el día </w:t>
      </w:r>
      <w:r w:rsidR="00931302" w:rsidRPr="001F446E">
        <w:rPr>
          <w:rFonts w:ascii="Tahoma" w:eastAsia="Calibri" w:hAnsi="Tahoma" w:cs="Tahoma"/>
          <w:lang w:val="es-ES"/>
        </w:rPr>
        <w:t>0</w:t>
      </w:r>
      <w:r w:rsidRPr="001F446E">
        <w:rPr>
          <w:rFonts w:ascii="Tahoma" w:eastAsia="Calibri" w:hAnsi="Tahoma" w:cs="Tahoma"/>
          <w:lang w:val="es-ES"/>
        </w:rPr>
        <w:t>2 de febrero de 2006</w:t>
      </w:r>
      <w:r w:rsidR="00C92B5B" w:rsidRPr="001F446E">
        <w:rPr>
          <w:rFonts w:ascii="Tahoma" w:eastAsia="Calibri" w:hAnsi="Tahoma" w:cs="Tahoma"/>
          <w:lang w:val="es-ES"/>
        </w:rPr>
        <w:t xml:space="preserve"> y</w:t>
      </w:r>
      <w:r w:rsidRPr="001F446E">
        <w:rPr>
          <w:rFonts w:ascii="Tahoma" w:eastAsia="Calibri" w:hAnsi="Tahoma" w:cs="Tahoma"/>
          <w:lang w:val="es-ES"/>
        </w:rPr>
        <w:t xml:space="preserve"> conde</w:t>
      </w:r>
      <w:r w:rsidR="00C92B5B" w:rsidRPr="001F446E">
        <w:rPr>
          <w:rFonts w:ascii="Tahoma" w:eastAsia="Calibri" w:hAnsi="Tahoma" w:cs="Tahoma"/>
          <w:lang w:val="es-ES"/>
        </w:rPr>
        <w:t>nó</w:t>
      </w:r>
      <w:r w:rsidRPr="001F446E">
        <w:rPr>
          <w:rFonts w:ascii="Tahoma" w:eastAsia="Calibri" w:hAnsi="Tahoma" w:cs="Tahoma"/>
          <w:lang w:val="es-ES"/>
        </w:rPr>
        <w:t xml:space="preserve"> a </w:t>
      </w:r>
      <w:r w:rsidR="00931302" w:rsidRPr="001F446E">
        <w:rPr>
          <w:rFonts w:ascii="Tahoma" w:eastAsia="Calibri" w:hAnsi="Tahoma" w:cs="Tahoma"/>
          <w:lang w:val="es-ES"/>
        </w:rPr>
        <w:t>la Administrador</w:t>
      </w:r>
      <w:r w:rsidR="00EF7B8A" w:rsidRPr="001F446E">
        <w:rPr>
          <w:rFonts w:ascii="Tahoma" w:eastAsia="Calibri" w:hAnsi="Tahoma" w:cs="Tahoma"/>
          <w:lang w:val="es-ES"/>
        </w:rPr>
        <w:t>a</w:t>
      </w:r>
      <w:r w:rsidR="00931302" w:rsidRPr="001F446E">
        <w:rPr>
          <w:rFonts w:ascii="Tahoma" w:eastAsia="Calibri" w:hAnsi="Tahoma" w:cs="Tahoma"/>
          <w:lang w:val="es-ES"/>
        </w:rPr>
        <w:t xml:space="preserve"> Colombiana de Pensiones </w:t>
      </w:r>
      <w:r w:rsidR="008B095B">
        <w:rPr>
          <w:rFonts w:ascii="Tahoma" w:eastAsia="Calibri" w:hAnsi="Tahoma" w:cs="Tahoma"/>
          <w:lang w:val="es-ES"/>
        </w:rPr>
        <w:t xml:space="preserve">– </w:t>
      </w:r>
      <w:r w:rsidRPr="001F446E">
        <w:rPr>
          <w:rFonts w:ascii="Tahoma" w:eastAsia="Calibri" w:hAnsi="Tahoma" w:cs="Tahoma"/>
          <w:lang w:val="es-ES"/>
        </w:rPr>
        <w:t>Colpensiones a reconocer y pagar</w:t>
      </w:r>
      <w:r w:rsidR="00931302" w:rsidRPr="001F446E">
        <w:rPr>
          <w:rFonts w:ascii="Tahoma" w:eastAsia="Calibri" w:hAnsi="Tahoma" w:cs="Tahoma"/>
          <w:lang w:val="es-ES"/>
        </w:rPr>
        <w:t>le</w:t>
      </w:r>
      <w:r w:rsidRPr="001F446E">
        <w:rPr>
          <w:rFonts w:ascii="Tahoma" w:eastAsia="Calibri" w:hAnsi="Tahoma" w:cs="Tahoma"/>
          <w:lang w:val="es-ES"/>
        </w:rPr>
        <w:t xml:space="preserve"> </w:t>
      </w:r>
      <w:r w:rsidR="00931302" w:rsidRPr="001F446E">
        <w:rPr>
          <w:rFonts w:ascii="Tahoma" w:eastAsia="Calibri" w:hAnsi="Tahoma" w:cs="Tahoma"/>
          <w:lang w:val="es-ES"/>
        </w:rPr>
        <w:t>tal prestación</w:t>
      </w:r>
      <w:r w:rsidRPr="001F446E">
        <w:rPr>
          <w:rFonts w:ascii="Tahoma" w:eastAsia="Calibri" w:hAnsi="Tahoma" w:cs="Tahoma"/>
          <w:lang w:val="es-ES"/>
        </w:rPr>
        <w:t xml:space="preserve"> a partir de</w:t>
      </w:r>
      <w:r w:rsidR="00931302" w:rsidRPr="001F446E">
        <w:rPr>
          <w:rFonts w:ascii="Tahoma" w:eastAsia="Calibri" w:hAnsi="Tahoma" w:cs="Tahoma"/>
          <w:lang w:val="es-ES"/>
        </w:rPr>
        <w:t>l</w:t>
      </w:r>
      <w:r w:rsidRPr="001F446E">
        <w:rPr>
          <w:rFonts w:ascii="Tahoma" w:eastAsia="Calibri" w:hAnsi="Tahoma" w:cs="Tahoma"/>
          <w:lang w:val="es-ES"/>
        </w:rPr>
        <w:t xml:space="preserve"> 16 de noviembre de 2015</w:t>
      </w:r>
      <w:r w:rsidR="00C92B5B" w:rsidRPr="001F446E">
        <w:rPr>
          <w:rFonts w:ascii="Tahoma" w:eastAsia="Calibri" w:hAnsi="Tahoma" w:cs="Tahoma"/>
          <w:lang w:val="es-ES"/>
        </w:rPr>
        <w:t>,</w:t>
      </w:r>
      <w:r w:rsidR="00EF7B8A" w:rsidRPr="001F446E">
        <w:rPr>
          <w:rFonts w:ascii="Tahoma" w:eastAsia="Calibri" w:hAnsi="Tahoma" w:cs="Tahoma"/>
          <w:lang w:val="es-ES"/>
        </w:rPr>
        <w:t xml:space="preserve"> por 14 mesadas al año y</w:t>
      </w:r>
      <w:r w:rsidRPr="001F446E">
        <w:rPr>
          <w:rFonts w:ascii="Tahoma" w:eastAsia="Calibri" w:hAnsi="Tahoma" w:cs="Tahoma"/>
          <w:lang w:val="es-ES"/>
        </w:rPr>
        <w:t xml:space="preserve"> en cuantía</w:t>
      </w:r>
      <w:r w:rsidR="00931302" w:rsidRPr="001F446E">
        <w:rPr>
          <w:rFonts w:ascii="Tahoma" w:eastAsia="Calibri" w:hAnsi="Tahoma" w:cs="Tahoma"/>
          <w:lang w:val="es-ES"/>
        </w:rPr>
        <w:t xml:space="preserve"> </w:t>
      </w:r>
      <w:r w:rsidR="00C92B5B" w:rsidRPr="001F446E">
        <w:rPr>
          <w:rFonts w:ascii="Tahoma" w:eastAsia="Calibri" w:hAnsi="Tahoma" w:cs="Tahoma"/>
          <w:lang w:val="es-ES"/>
        </w:rPr>
        <w:t xml:space="preserve">de un </w:t>
      </w:r>
      <w:r w:rsidRPr="001F446E">
        <w:rPr>
          <w:rFonts w:ascii="Tahoma" w:eastAsia="Calibri" w:hAnsi="Tahoma" w:cs="Tahoma"/>
          <w:lang w:val="es-ES"/>
        </w:rPr>
        <w:t>SMLMV</w:t>
      </w:r>
      <w:r w:rsidR="00C92B5B" w:rsidRPr="001F446E">
        <w:rPr>
          <w:rFonts w:ascii="Tahoma" w:eastAsia="Calibri" w:hAnsi="Tahoma" w:cs="Tahoma"/>
          <w:lang w:val="es-ES"/>
        </w:rPr>
        <w:t>,</w:t>
      </w:r>
      <w:r w:rsidR="00AF3A29" w:rsidRPr="001F446E">
        <w:rPr>
          <w:rFonts w:ascii="Tahoma" w:eastAsia="Calibri" w:hAnsi="Tahoma" w:cs="Tahoma"/>
          <w:lang w:val="es-ES"/>
        </w:rPr>
        <w:t xml:space="preserve"> ya que </w:t>
      </w:r>
      <w:r w:rsidR="00931302" w:rsidRPr="001F446E">
        <w:rPr>
          <w:rFonts w:ascii="Tahoma" w:eastAsia="Calibri" w:hAnsi="Tahoma" w:cs="Tahoma"/>
          <w:lang w:val="es-ES"/>
        </w:rPr>
        <w:t>su IBC anual siempre fue por ese monto</w:t>
      </w:r>
      <w:r w:rsidR="00EF7B8A" w:rsidRPr="001F446E">
        <w:rPr>
          <w:rFonts w:ascii="Tahoma" w:eastAsia="Calibri" w:hAnsi="Tahoma" w:cs="Tahoma"/>
          <w:lang w:val="es-ES"/>
        </w:rPr>
        <w:t xml:space="preserve">. </w:t>
      </w:r>
      <w:r w:rsidR="00931302" w:rsidRPr="001F446E">
        <w:rPr>
          <w:rFonts w:ascii="Tahoma" w:eastAsia="Calibri" w:hAnsi="Tahoma" w:cs="Tahoma"/>
          <w:lang w:val="es-ES"/>
        </w:rPr>
        <w:t xml:space="preserve">En consecuencia, concretó la </w:t>
      </w:r>
      <w:r w:rsidRPr="001F446E">
        <w:rPr>
          <w:rFonts w:ascii="Tahoma" w:eastAsia="Calibri" w:hAnsi="Tahoma" w:cs="Tahoma"/>
          <w:lang w:val="es-ES"/>
        </w:rPr>
        <w:t xml:space="preserve">condena </w:t>
      </w:r>
      <w:r w:rsidR="00931302" w:rsidRPr="001F446E">
        <w:rPr>
          <w:rFonts w:ascii="Tahoma" w:eastAsia="Calibri" w:hAnsi="Tahoma" w:cs="Tahoma"/>
          <w:lang w:val="es-ES"/>
        </w:rPr>
        <w:t xml:space="preserve">en la suma </w:t>
      </w:r>
      <w:r w:rsidRPr="001F446E">
        <w:rPr>
          <w:rFonts w:ascii="Tahoma" w:eastAsia="Calibri" w:hAnsi="Tahoma" w:cs="Tahoma"/>
          <w:lang w:val="es-ES"/>
        </w:rPr>
        <w:t xml:space="preserve">de </w:t>
      </w:r>
      <w:r w:rsidR="00C92B5B" w:rsidRPr="001F446E">
        <w:rPr>
          <w:rFonts w:ascii="Tahoma" w:eastAsia="Calibri" w:hAnsi="Tahoma" w:cs="Tahoma"/>
          <w:lang w:val="es-ES"/>
        </w:rPr>
        <w:t>$</w:t>
      </w:r>
      <w:r w:rsidRPr="001F446E">
        <w:rPr>
          <w:rFonts w:ascii="Tahoma" w:eastAsia="Calibri" w:hAnsi="Tahoma" w:cs="Tahoma"/>
          <w:lang w:val="es-ES"/>
        </w:rPr>
        <w:t>68</w:t>
      </w:r>
      <w:r w:rsidR="00C92B5B" w:rsidRPr="001F446E">
        <w:rPr>
          <w:rFonts w:ascii="Tahoma" w:eastAsia="Calibri" w:hAnsi="Tahoma" w:cs="Tahoma"/>
          <w:lang w:val="es-ES"/>
        </w:rPr>
        <w:t>.</w:t>
      </w:r>
      <w:r w:rsidRPr="001F446E">
        <w:rPr>
          <w:rFonts w:ascii="Tahoma" w:eastAsia="Calibri" w:hAnsi="Tahoma" w:cs="Tahoma"/>
          <w:lang w:val="es-ES"/>
        </w:rPr>
        <w:t xml:space="preserve">544.550, </w:t>
      </w:r>
      <w:r w:rsidR="00931302" w:rsidRPr="001F446E">
        <w:rPr>
          <w:rFonts w:ascii="Tahoma" w:eastAsia="Calibri" w:hAnsi="Tahoma" w:cs="Tahoma"/>
          <w:lang w:val="es-ES"/>
        </w:rPr>
        <w:t xml:space="preserve">correspondiente a las mesadas causadas entre el 16 </w:t>
      </w:r>
      <w:r w:rsidRPr="001F446E">
        <w:rPr>
          <w:rFonts w:ascii="Tahoma" w:eastAsia="Calibri" w:hAnsi="Tahoma" w:cs="Tahoma"/>
          <w:lang w:val="es-ES"/>
        </w:rPr>
        <w:t xml:space="preserve">noviembre de 2015 </w:t>
      </w:r>
      <w:r w:rsidR="00931302" w:rsidRPr="001F446E">
        <w:rPr>
          <w:rFonts w:ascii="Tahoma" w:eastAsia="Calibri" w:hAnsi="Tahoma" w:cs="Tahoma"/>
          <w:lang w:val="es-ES"/>
        </w:rPr>
        <w:t xml:space="preserve">y el </w:t>
      </w:r>
      <w:r w:rsidRPr="001F446E">
        <w:rPr>
          <w:rFonts w:ascii="Tahoma" w:eastAsia="Calibri" w:hAnsi="Tahoma" w:cs="Tahoma"/>
          <w:lang w:val="es-ES"/>
        </w:rPr>
        <w:t xml:space="preserve">30 de noviembre de </w:t>
      </w:r>
      <w:r w:rsidR="0082579A" w:rsidRPr="001F446E">
        <w:rPr>
          <w:rFonts w:ascii="Tahoma" w:eastAsia="Calibri" w:hAnsi="Tahoma" w:cs="Tahoma"/>
          <w:lang w:val="es-ES"/>
        </w:rPr>
        <w:t>2021</w:t>
      </w:r>
      <w:r w:rsidR="00931302" w:rsidRPr="001F446E">
        <w:rPr>
          <w:rFonts w:ascii="Tahoma" w:eastAsia="Calibri" w:hAnsi="Tahoma" w:cs="Tahoma"/>
          <w:lang w:val="es-ES"/>
        </w:rPr>
        <w:t xml:space="preserve">, sobre el que </w:t>
      </w:r>
      <w:r w:rsidR="0082579A" w:rsidRPr="001F446E">
        <w:rPr>
          <w:rFonts w:ascii="Tahoma" w:eastAsia="Calibri" w:hAnsi="Tahoma" w:cs="Tahoma"/>
          <w:lang w:val="es-ES"/>
        </w:rPr>
        <w:t>autoriz</w:t>
      </w:r>
      <w:r w:rsidR="00931302" w:rsidRPr="001F446E">
        <w:rPr>
          <w:rFonts w:ascii="Tahoma" w:eastAsia="Calibri" w:hAnsi="Tahoma" w:cs="Tahoma"/>
          <w:lang w:val="es-ES"/>
        </w:rPr>
        <w:t xml:space="preserve">ó el descuento </w:t>
      </w:r>
      <w:r w:rsidR="00806C93" w:rsidRPr="001F446E">
        <w:rPr>
          <w:rFonts w:ascii="Tahoma" w:eastAsia="Calibri" w:hAnsi="Tahoma" w:cs="Tahoma"/>
          <w:lang w:val="es-ES"/>
        </w:rPr>
        <w:t xml:space="preserve">del porcentaje correspondiente a </w:t>
      </w:r>
      <w:r w:rsidR="0082579A" w:rsidRPr="001F446E">
        <w:rPr>
          <w:rFonts w:ascii="Tahoma" w:eastAsia="Calibri" w:hAnsi="Tahoma" w:cs="Tahoma"/>
          <w:lang w:val="es-ES"/>
        </w:rPr>
        <w:t>los aportes a la seguridad social</w:t>
      </w:r>
      <w:r w:rsidR="00806C93" w:rsidRPr="001F446E">
        <w:rPr>
          <w:rFonts w:ascii="Tahoma" w:eastAsia="Calibri" w:hAnsi="Tahoma" w:cs="Tahoma"/>
          <w:lang w:val="es-ES"/>
        </w:rPr>
        <w:t xml:space="preserve"> en salud.</w:t>
      </w:r>
    </w:p>
    <w:p w14:paraId="47E254D2" w14:textId="38C54719" w:rsidR="412E01A1" w:rsidRPr="001F446E" w:rsidRDefault="412E01A1" w:rsidP="001F446E">
      <w:pPr>
        <w:spacing w:before="0" w:beforeAutospacing="0" w:after="0" w:afterAutospacing="0" w:line="276" w:lineRule="auto"/>
        <w:rPr>
          <w:rFonts w:ascii="Tahoma" w:eastAsia="Calibri" w:hAnsi="Tahoma" w:cs="Tahoma"/>
          <w:lang w:val="es-ES"/>
        </w:rPr>
      </w:pPr>
    </w:p>
    <w:p w14:paraId="569FC804" w14:textId="7C4D32CB" w:rsidR="008C6C03" w:rsidRPr="001F446E" w:rsidRDefault="00806C93" w:rsidP="001F446E">
      <w:pPr>
        <w:spacing w:before="0" w:beforeAutospacing="0" w:after="0" w:afterAutospacing="0" w:line="276" w:lineRule="auto"/>
        <w:rPr>
          <w:rFonts w:ascii="Tahoma" w:eastAsia="Calibri" w:hAnsi="Tahoma" w:cs="Tahoma"/>
          <w:lang w:val="es-ES"/>
        </w:rPr>
      </w:pPr>
      <w:r w:rsidRPr="001F446E">
        <w:rPr>
          <w:rFonts w:ascii="Tahoma" w:eastAsia="Calibri" w:hAnsi="Tahoma" w:cs="Tahoma"/>
          <w:lang w:val="es-ES"/>
        </w:rPr>
        <w:t>Parra arribar a tal determinación, empezó por señalar que acudía al</w:t>
      </w:r>
      <w:r w:rsidR="00F66762" w:rsidRPr="001F446E">
        <w:rPr>
          <w:rFonts w:ascii="Tahoma" w:eastAsia="Calibri" w:hAnsi="Tahoma" w:cs="Tahoma"/>
          <w:lang w:val="es-ES"/>
        </w:rPr>
        <w:t xml:space="preserve"> principio de </w:t>
      </w:r>
      <w:proofErr w:type="spellStart"/>
      <w:r w:rsidR="00AF3A29" w:rsidRPr="001F446E">
        <w:rPr>
          <w:rFonts w:ascii="Tahoma" w:eastAsia="Calibri" w:hAnsi="Tahoma" w:cs="Tahoma"/>
          <w:i/>
          <w:iCs/>
          <w:lang w:val="es-ES"/>
        </w:rPr>
        <w:t>iura</w:t>
      </w:r>
      <w:proofErr w:type="spellEnd"/>
      <w:r w:rsidR="00F66762" w:rsidRPr="001F446E">
        <w:rPr>
          <w:rFonts w:ascii="Tahoma" w:eastAsia="Calibri" w:hAnsi="Tahoma" w:cs="Tahoma"/>
          <w:i/>
          <w:iCs/>
          <w:lang w:val="es-ES"/>
        </w:rPr>
        <w:t xml:space="preserve"> </w:t>
      </w:r>
      <w:proofErr w:type="spellStart"/>
      <w:r w:rsidR="00F66762" w:rsidRPr="001F446E">
        <w:rPr>
          <w:rFonts w:ascii="Tahoma" w:eastAsia="Calibri" w:hAnsi="Tahoma" w:cs="Tahoma"/>
          <w:i/>
          <w:iCs/>
          <w:lang w:val="es-ES"/>
        </w:rPr>
        <w:t>novit</w:t>
      </w:r>
      <w:proofErr w:type="spellEnd"/>
      <w:r w:rsidR="00F66762" w:rsidRPr="001F446E">
        <w:rPr>
          <w:rFonts w:ascii="Tahoma" w:eastAsia="Calibri" w:hAnsi="Tahoma" w:cs="Tahoma"/>
          <w:i/>
          <w:iCs/>
          <w:lang w:val="es-ES"/>
        </w:rPr>
        <w:t xml:space="preserve"> curia</w:t>
      </w:r>
      <w:r w:rsidR="00F66762" w:rsidRPr="001F446E">
        <w:rPr>
          <w:rFonts w:ascii="Tahoma" w:eastAsia="Calibri" w:hAnsi="Tahoma" w:cs="Tahoma"/>
          <w:lang w:val="es-ES"/>
        </w:rPr>
        <w:t xml:space="preserve">, </w:t>
      </w:r>
      <w:r w:rsidRPr="001F446E">
        <w:rPr>
          <w:rFonts w:ascii="Tahoma" w:eastAsia="Calibri" w:hAnsi="Tahoma" w:cs="Tahoma"/>
          <w:lang w:val="es-ES"/>
        </w:rPr>
        <w:t xml:space="preserve">para aplicar </w:t>
      </w:r>
      <w:r w:rsidR="003B2D79" w:rsidRPr="001F446E">
        <w:rPr>
          <w:rFonts w:ascii="Tahoma" w:eastAsia="Calibri" w:hAnsi="Tahoma" w:cs="Tahoma"/>
          <w:lang w:val="es-ES"/>
        </w:rPr>
        <w:t xml:space="preserve">el </w:t>
      </w:r>
      <w:r w:rsidRPr="001F446E">
        <w:rPr>
          <w:rFonts w:ascii="Tahoma" w:eastAsia="Calibri" w:hAnsi="Tahoma" w:cs="Tahoma"/>
          <w:lang w:val="es-ES"/>
        </w:rPr>
        <w:t>A</w:t>
      </w:r>
      <w:r w:rsidR="00F66762" w:rsidRPr="001F446E">
        <w:rPr>
          <w:rFonts w:ascii="Tahoma" w:eastAsia="Calibri" w:hAnsi="Tahoma" w:cs="Tahoma"/>
          <w:lang w:val="es-ES"/>
        </w:rPr>
        <w:t xml:space="preserve">cuerdo 049 de 1990 y </w:t>
      </w:r>
      <w:r w:rsidR="003B2D79" w:rsidRPr="001F446E">
        <w:rPr>
          <w:rFonts w:ascii="Tahoma" w:eastAsia="Calibri" w:hAnsi="Tahoma" w:cs="Tahoma"/>
          <w:lang w:val="es-ES"/>
        </w:rPr>
        <w:t>acoger</w:t>
      </w:r>
      <w:r w:rsidRPr="001F446E">
        <w:rPr>
          <w:rFonts w:ascii="Tahoma" w:eastAsia="Calibri" w:hAnsi="Tahoma" w:cs="Tahoma"/>
          <w:lang w:val="es-ES"/>
        </w:rPr>
        <w:t xml:space="preserve"> el nuevo precedente jurisprudencial, apoyado, entre otras sentencias, en la</w:t>
      </w:r>
      <w:r w:rsidR="00E10E47" w:rsidRPr="001F446E">
        <w:rPr>
          <w:rFonts w:ascii="Tahoma" w:eastAsia="Calibri" w:hAnsi="Tahoma" w:cs="Tahoma"/>
          <w:lang w:val="es-ES"/>
        </w:rPr>
        <w:t xml:space="preserve"> SL 2557, 2590, 3719, 3110, 3657, 3838, 4480, y la 4529 todas del 2020</w:t>
      </w:r>
      <w:r w:rsidRPr="001F446E">
        <w:rPr>
          <w:rFonts w:ascii="Tahoma" w:eastAsia="Calibri" w:hAnsi="Tahoma" w:cs="Tahoma"/>
          <w:lang w:val="es-ES"/>
        </w:rPr>
        <w:t>,</w:t>
      </w:r>
      <w:r w:rsidR="00E10E47" w:rsidRPr="001F446E">
        <w:rPr>
          <w:rFonts w:ascii="Tahoma" w:eastAsia="Calibri" w:hAnsi="Tahoma" w:cs="Tahoma"/>
          <w:lang w:val="es-ES"/>
        </w:rPr>
        <w:t xml:space="preserve"> con ponencia de la </w:t>
      </w:r>
      <w:r w:rsidR="00322E2F" w:rsidRPr="001F446E">
        <w:rPr>
          <w:rFonts w:ascii="Tahoma" w:eastAsia="Calibri" w:hAnsi="Tahoma" w:cs="Tahoma"/>
          <w:lang w:val="es-ES"/>
        </w:rPr>
        <w:t xml:space="preserve">Magistrada Dra. </w:t>
      </w:r>
      <w:r w:rsidR="00E10E47" w:rsidRPr="001F446E">
        <w:rPr>
          <w:rFonts w:ascii="Tahoma" w:eastAsia="Calibri" w:hAnsi="Tahoma" w:cs="Tahoma"/>
          <w:lang w:val="es-ES"/>
        </w:rPr>
        <w:t>Clara Cecilia Dueñas Quevedo</w:t>
      </w:r>
      <w:r w:rsidRPr="001F446E">
        <w:rPr>
          <w:rFonts w:ascii="Tahoma" w:eastAsia="Calibri" w:hAnsi="Tahoma" w:cs="Tahoma"/>
          <w:lang w:val="es-ES"/>
        </w:rPr>
        <w:t>, en virtud del cual</w:t>
      </w:r>
      <w:r w:rsidR="00E10E47" w:rsidRPr="001F446E">
        <w:rPr>
          <w:rFonts w:ascii="Tahoma" w:eastAsia="Calibri" w:hAnsi="Tahoma" w:cs="Tahoma"/>
          <w:lang w:val="es-ES"/>
        </w:rPr>
        <w:t xml:space="preserve"> los tiempos servidos a entidades estatales pueden ser acumulados a los cotizados al ISS</w:t>
      </w:r>
      <w:r w:rsidRPr="001F446E">
        <w:rPr>
          <w:rFonts w:ascii="Tahoma" w:eastAsia="Calibri" w:hAnsi="Tahoma" w:cs="Tahoma"/>
          <w:lang w:val="es-ES"/>
        </w:rPr>
        <w:t>,</w:t>
      </w:r>
      <w:r w:rsidR="00E10E47" w:rsidRPr="001F446E">
        <w:rPr>
          <w:rFonts w:ascii="Tahoma" w:eastAsia="Calibri" w:hAnsi="Tahoma" w:cs="Tahoma"/>
          <w:lang w:val="es-ES"/>
        </w:rPr>
        <w:t xml:space="preserve"> incluso si los mismos no fueron objeto de cotización o previsión para ninguna entidad</w:t>
      </w:r>
      <w:r w:rsidRPr="001F446E">
        <w:rPr>
          <w:rFonts w:ascii="Tahoma" w:eastAsia="Calibri" w:hAnsi="Tahoma" w:cs="Tahoma"/>
          <w:lang w:val="es-ES"/>
        </w:rPr>
        <w:t xml:space="preserve"> y añade que dicho precedente, en el orden local, fue adoptado por este Tribunal en sentencia del 20 de enero de 2021, con ponencia de quien aquí cumple igual encargo, donde se reitera la posibilidad de</w:t>
      </w:r>
      <w:r w:rsidR="00E10E47" w:rsidRPr="001F446E">
        <w:rPr>
          <w:rFonts w:ascii="Tahoma" w:eastAsia="Calibri" w:hAnsi="Tahoma" w:cs="Tahoma"/>
          <w:lang w:val="es-ES"/>
        </w:rPr>
        <w:t xml:space="preserve"> acumular tiempos de servicios en el sector público con los cotizados en Colpensiones.</w:t>
      </w:r>
    </w:p>
    <w:p w14:paraId="520A8D8F" w14:textId="5BF4FBBA" w:rsidR="412E01A1" w:rsidRPr="001F446E" w:rsidRDefault="412E01A1" w:rsidP="001F446E">
      <w:pPr>
        <w:spacing w:before="0" w:beforeAutospacing="0" w:after="0" w:afterAutospacing="0" w:line="276" w:lineRule="auto"/>
        <w:rPr>
          <w:rFonts w:ascii="Tahoma" w:eastAsia="Calibri" w:hAnsi="Tahoma" w:cs="Tahoma"/>
          <w:lang w:val="es-ES"/>
        </w:rPr>
      </w:pPr>
    </w:p>
    <w:p w14:paraId="35A6F837" w14:textId="354A42BD" w:rsidR="008C6C03" w:rsidRPr="001F446E" w:rsidRDefault="00651326" w:rsidP="001F446E">
      <w:pPr>
        <w:spacing w:before="0" w:beforeAutospacing="0" w:after="0" w:afterAutospacing="0" w:line="276" w:lineRule="auto"/>
        <w:rPr>
          <w:rFonts w:ascii="Tahoma" w:eastAsia="Calibri" w:hAnsi="Tahoma" w:cs="Tahoma"/>
          <w:lang w:val="es-ES"/>
        </w:rPr>
      </w:pPr>
      <w:r w:rsidRPr="001F446E">
        <w:rPr>
          <w:rFonts w:ascii="Tahoma" w:eastAsia="Calibri" w:hAnsi="Tahoma" w:cs="Tahoma"/>
          <w:lang w:val="es-ES"/>
        </w:rPr>
        <w:lastRenderedPageBreak/>
        <w:t>Resuelto lo anterior, indicó</w:t>
      </w:r>
      <w:r w:rsidR="00E10E47" w:rsidRPr="001F446E">
        <w:rPr>
          <w:rFonts w:ascii="Tahoma" w:eastAsia="Calibri" w:hAnsi="Tahoma" w:cs="Tahoma"/>
          <w:lang w:val="es-ES"/>
        </w:rPr>
        <w:t xml:space="preserve"> que el acuerdo 049 de 1990</w:t>
      </w:r>
      <w:r w:rsidRPr="001F446E">
        <w:rPr>
          <w:rFonts w:ascii="Tahoma" w:eastAsia="Calibri" w:hAnsi="Tahoma" w:cs="Tahoma"/>
          <w:lang w:val="es-ES"/>
        </w:rPr>
        <w:t>, en su</w:t>
      </w:r>
      <w:r w:rsidR="00E10E47" w:rsidRPr="001F446E">
        <w:rPr>
          <w:rFonts w:ascii="Tahoma" w:eastAsia="Calibri" w:hAnsi="Tahoma" w:cs="Tahoma"/>
          <w:lang w:val="es-ES"/>
        </w:rPr>
        <w:t xml:space="preserve"> artículo 12 refiere que los requisitos para acceder al derecho son</w:t>
      </w:r>
      <w:r w:rsidR="009711A2" w:rsidRPr="001F446E">
        <w:rPr>
          <w:rFonts w:ascii="Tahoma" w:eastAsia="Calibri" w:hAnsi="Tahoma" w:cs="Tahoma"/>
          <w:lang w:val="es-ES"/>
        </w:rPr>
        <w:t xml:space="preserve">: </w:t>
      </w:r>
      <w:r w:rsidR="00E10E47" w:rsidRPr="001F446E">
        <w:rPr>
          <w:rFonts w:ascii="Tahoma" w:eastAsia="Calibri" w:hAnsi="Tahoma" w:cs="Tahoma"/>
          <w:lang w:val="es-ES"/>
        </w:rPr>
        <w:t>60 años de edad y mínimo 50</w:t>
      </w:r>
      <w:r w:rsidR="009711A2" w:rsidRPr="001F446E">
        <w:rPr>
          <w:rFonts w:ascii="Tahoma" w:eastAsia="Calibri" w:hAnsi="Tahoma" w:cs="Tahoma"/>
          <w:lang w:val="es-ES"/>
        </w:rPr>
        <w:t>0</w:t>
      </w:r>
      <w:r w:rsidR="00E10E47" w:rsidRPr="001F446E">
        <w:rPr>
          <w:rFonts w:ascii="Tahoma" w:eastAsia="Calibri" w:hAnsi="Tahoma" w:cs="Tahoma"/>
          <w:lang w:val="es-ES"/>
        </w:rPr>
        <w:t xml:space="preserve"> semanas en los 20 años anteriores al cumplimiento de la edad, o 1000 semanas en cualquier tiempo</w:t>
      </w:r>
      <w:r w:rsidR="009711A2" w:rsidRPr="001F446E">
        <w:rPr>
          <w:rFonts w:ascii="Tahoma" w:eastAsia="Calibri" w:hAnsi="Tahoma" w:cs="Tahoma"/>
          <w:lang w:val="es-ES"/>
        </w:rPr>
        <w:t>; r</w:t>
      </w:r>
      <w:r w:rsidR="00E10E47" w:rsidRPr="001F446E">
        <w:rPr>
          <w:rFonts w:ascii="Tahoma" w:eastAsia="Calibri" w:hAnsi="Tahoma" w:cs="Tahoma"/>
          <w:lang w:val="es-ES"/>
        </w:rPr>
        <w:t xml:space="preserve">equisitos que el demandante cumple a cabalidad, ya que alcanzó la edad mínima el </w:t>
      </w:r>
      <w:r w:rsidRPr="001F446E">
        <w:rPr>
          <w:rFonts w:ascii="Tahoma" w:eastAsia="Calibri" w:hAnsi="Tahoma" w:cs="Tahoma"/>
          <w:lang w:val="es-ES"/>
        </w:rPr>
        <w:t>0</w:t>
      </w:r>
      <w:r w:rsidR="00E10E47" w:rsidRPr="001F446E">
        <w:rPr>
          <w:rFonts w:ascii="Tahoma" w:eastAsia="Calibri" w:hAnsi="Tahoma" w:cs="Tahoma"/>
          <w:lang w:val="es-ES"/>
        </w:rPr>
        <w:t>2 de febrero de 2006 y reunió un total de 1006.58 semanas en su vida laboral</w:t>
      </w:r>
      <w:r w:rsidR="009711A2" w:rsidRPr="001F446E">
        <w:rPr>
          <w:rFonts w:ascii="Tahoma" w:eastAsia="Calibri" w:hAnsi="Tahoma" w:cs="Tahoma"/>
          <w:lang w:val="es-ES"/>
        </w:rPr>
        <w:t>, las cuales resultan</w:t>
      </w:r>
      <w:r w:rsidR="00E10E47" w:rsidRPr="001F446E">
        <w:rPr>
          <w:rFonts w:ascii="Tahoma" w:eastAsia="Calibri" w:hAnsi="Tahoma" w:cs="Tahoma"/>
          <w:lang w:val="es-ES"/>
        </w:rPr>
        <w:t xml:space="preserve"> suficientes para causar el derecho pensional.</w:t>
      </w:r>
    </w:p>
    <w:p w14:paraId="3A527AD3" w14:textId="53ABF7AF" w:rsidR="412E01A1" w:rsidRPr="001F446E" w:rsidRDefault="412E01A1" w:rsidP="001F446E">
      <w:pPr>
        <w:spacing w:before="0" w:beforeAutospacing="0" w:after="0" w:afterAutospacing="0" w:line="276" w:lineRule="auto"/>
        <w:rPr>
          <w:rFonts w:ascii="Tahoma" w:eastAsia="Calibri" w:hAnsi="Tahoma" w:cs="Tahoma"/>
          <w:lang w:val="es-ES"/>
        </w:rPr>
      </w:pPr>
    </w:p>
    <w:p w14:paraId="069DC25B" w14:textId="77777777" w:rsidR="008C6C03" w:rsidRPr="001F446E" w:rsidRDefault="00651326" w:rsidP="001F446E">
      <w:pPr>
        <w:spacing w:before="0" w:beforeAutospacing="0" w:after="0" w:afterAutospacing="0" w:line="276" w:lineRule="auto"/>
        <w:rPr>
          <w:rFonts w:ascii="Tahoma" w:eastAsia="Calibri" w:hAnsi="Tahoma" w:cs="Tahoma"/>
          <w:lang w:val="es-ES"/>
        </w:rPr>
      </w:pPr>
      <w:r w:rsidRPr="001F446E">
        <w:rPr>
          <w:rFonts w:ascii="Tahoma" w:eastAsia="Calibri" w:hAnsi="Tahoma" w:cs="Tahoma"/>
          <w:lang w:val="es-ES"/>
        </w:rPr>
        <w:t>En cuanto a la fecha de disfrute, aclaró que e</w:t>
      </w:r>
      <w:r w:rsidR="00E10E47" w:rsidRPr="001F446E">
        <w:rPr>
          <w:rFonts w:ascii="Tahoma" w:eastAsia="Calibri" w:hAnsi="Tahoma" w:cs="Tahoma"/>
          <w:lang w:val="es-ES"/>
        </w:rPr>
        <w:t>l reconocimiento de la citada prestación se hac</w:t>
      </w:r>
      <w:r w:rsidRPr="001F446E">
        <w:rPr>
          <w:rFonts w:ascii="Tahoma" w:eastAsia="Calibri" w:hAnsi="Tahoma" w:cs="Tahoma"/>
          <w:lang w:val="es-ES"/>
        </w:rPr>
        <w:t>ía</w:t>
      </w:r>
      <w:r w:rsidR="00E10E47" w:rsidRPr="001F446E">
        <w:rPr>
          <w:rFonts w:ascii="Tahoma" w:eastAsia="Calibri" w:hAnsi="Tahoma" w:cs="Tahoma"/>
          <w:lang w:val="es-ES"/>
        </w:rPr>
        <w:t xml:space="preserve"> a partir del </w:t>
      </w:r>
      <w:r w:rsidRPr="001F446E">
        <w:rPr>
          <w:rFonts w:ascii="Tahoma" w:eastAsia="Calibri" w:hAnsi="Tahoma" w:cs="Tahoma"/>
          <w:lang w:val="es-ES"/>
        </w:rPr>
        <w:t>0</w:t>
      </w:r>
      <w:r w:rsidR="00E10E47" w:rsidRPr="001F446E">
        <w:rPr>
          <w:rFonts w:ascii="Tahoma" w:eastAsia="Calibri" w:hAnsi="Tahoma" w:cs="Tahoma"/>
          <w:lang w:val="es-ES"/>
        </w:rPr>
        <w:t>2 de febrero de 2006</w:t>
      </w:r>
      <w:r w:rsidR="009711A2" w:rsidRPr="001F446E">
        <w:rPr>
          <w:rFonts w:ascii="Tahoma" w:eastAsia="Calibri" w:hAnsi="Tahoma" w:cs="Tahoma"/>
          <w:lang w:val="es-ES"/>
        </w:rPr>
        <w:t>,</w:t>
      </w:r>
      <w:r w:rsidR="00E10E47" w:rsidRPr="001F446E">
        <w:rPr>
          <w:rFonts w:ascii="Tahoma" w:eastAsia="Calibri" w:hAnsi="Tahoma" w:cs="Tahoma"/>
          <w:lang w:val="es-ES"/>
        </w:rPr>
        <w:t xml:space="preserve"> fecha en la que el actor cumplió la </w:t>
      </w:r>
      <w:r w:rsidR="00F66762" w:rsidRPr="001F446E">
        <w:rPr>
          <w:rFonts w:ascii="Tahoma" w:eastAsia="Calibri" w:hAnsi="Tahoma" w:cs="Tahoma"/>
          <w:lang w:val="es-ES"/>
        </w:rPr>
        <w:t>edad mínima</w:t>
      </w:r>
      <w:r w:rsidR="00E10E47" w:rsidRPr="001F446E">
        <w:rPr>
          <w:rFonts w:ascii="Tahoma" w:eastAsia="Calibri" w:hAnsi="Tahoma" w:cs="Tahoma"/>
          <w:lang w:val="es-ES"/>
        </w:rPr>
        <w:t xml:space="preserve"> y había cumplido el </w:t>
      </w:r>
      <w:r w:rsidR="00F66762" w:rsidRPr="001F446E">
        <w:rPr>
          <w:rFonts w:ascii="Tahoma" w:eastAsia="Calibri" w:hAnsi="Tahoma" w:cs="Tahoma"/>
          <w:lang w:val="es-ES"/>
        </w:rPr>
        <w:t>requisito</w:t>
      </w:r>
      <w:r w:rsidR="00E10E47" w:rsidRPr="001F446E">
        <w:rPr>
          <w:rFonts w:ascii="Tahoma" w:eastAsia="Calibri" w:hAnsi="Tahoma" w:cs="Tahoma"/>
          <w:lang w:val="es-ES"/>
        </w:rPr>
        <w:t xml:space="preserve"> de semanas cotizadas</w:t>
      </w:r>
      <w:r w:rsidRPr="001F446E">
        <w:rPr>
          <w:rFonts w:ascii="Tahoma" w:eastAsia="Calibri" w:hAnsi="Tahoma" w:cs="Tahoma"/>
          <w:lang w:val="es-ES"/>
        </w:rPr>
        <w:t xml:space="preserve">, empero, al resolver la excepción de </w:t>
      </w:r>
      <w:r w:rsidR="00F66762" w:rsidRPr="001F446E">
        <w:rPr>
          <w:rFonts w:ascii="Tahoma" w:eastAsia="Calibri" w:hAnsi="Tahoma" w:cs="Tahoma"/>
          <w:lang w:val="es-ES"/>
        </w:rPr>
        <w:t xml:space="preserve">prescripción, </w:t>
      </w:r>
      <w:r w:rsidRPr="001F446E">
        <w:rPr>
          <w:rFonts w:ascii="Tahoma" w:eastAsia="Calibri" w:hAnsi="Tahoma" w:cs="Tahoma"/>
          <w:lang w:val="es-ES"/>
        </w:rPr>
        <w:t xml:space="preserve">señaló que pese a que </w:t>
      </w:r>
      <w:r w:rsidR="00F66762" w:rsidRPr="001F446E">
        <w:rPr>
          <w:rFonts w:ascii="Tahoma" w:eastAsia="Calibri" w:hAnsi="Tahoma" w:cs="Tahoma"/>
          <w:lang w:val="es-ES"/>
        </w:rPr>
        <w:t>el actor</w:t>
      </w:r>
      <w:r w:rsidR="00E10E47" w:rsidRPr="001F446E">
        <w:rPr>
          <w:rFonts w:ascii="Tahoma" w:eastAsia="Calibri" w:hAnsi="Tahoma" w:cs="Tahoma"/>
          <w:lang w:val="es-ES"/>
        </w:rPr>
        <w:t xml:space="preserve"> cotizó hasta septiembre de 2003</w:t>
      </w:r>
      <w:r w:rsidRPr="001F446E">
        <w:rPr>
          <w:rFonts w:ascii="Tahoma" w:eastAsia="Calibri" w:hAnsi="Tahoma" w:cs="Tahoma"/>
          <w:lang w:val="es-ES"/>
        </w:rPr>
        <w:t xml:space="preserve"> </w:t>
      </w:r>
      <w:r w:rsidR="00E10E47" w:rsidRPr="001F446E">
        <w:rPr>
          <w:rFonts w:ascii="Tahoma" w:eastAsia="Calibri" w:hAnsi="Tahoma" w:cs="Tahoma"/>
          <w:lang w:val="es-ES"/>
        </w:rPr>
        <w:t xml:space="preserve">y </w:t>
      </w:r>
      <w:r w:rsidR="00F66762" w:rsidRPr="001F446E">
        <w:rPr>
          <w:rFonts w:ascii="Tahoma" w:eastAsia="Calibri" w:hAnsi="Tahoma" w:cs="Tahoma"/>
          <w:lang w:val="es-ES"/>
        </w:rPr>
        <w:t>p</w:t>
      </w:r>
      <w:r w:rsidR="00E10E47" w:rsidRPr="001F446E">
        <w:rPr>
          <w:rFonts w:ascii="Tahoma" w:eastAsia="Calibri" w:hAnsi="Tahoma" w:cs="Tahoma"/>
          <w:lang w:val="es-ES"/>
        </w:rPr>
        <w:t>resent</w:t>
      </w:r>
      <w:r w:rsidR="009711A2" w:rsidRPr="001F446E">
        <w:rPr>
          <w:rFonts w:ascii="Tahoma" w:eastAsia="Calibri" w:hAnsi="Tahoma" w:cs="Tahoma"/>
          <w:lang w:val="es-ES"/>
        </w:rPr>
        <w:t>ó</w:t>
      </w:r>
      <w:r w:rsidR="00E10E47" w:rsidRPr="001F446E">
        <w:rPr>
          <w:rFonts w:ascii="Tahoma" w:eastAsia="Calibri" w:hAnsi="Tahoma" w:cs="Tahoma"/>
          <w:lang w:val="es-ES"/>
        </w:rPr>
        <w:t xml:space="preserve"> el reclamo el </w:t>
      </w:r>
      <w:r w:rsidR="00E10E47" w:rsidRPr="001F446E">
        <w:rPr>
          <w:rFonts w:ascii="Tahoma" w:eastAsia="Calibri" w:hAnsi="Tahoma" w:cs="Tahoma"/>
          <w:u w:val="single"/>
          <w:lang w:val="es-ES"/>
        </w:rPr>
        <w:t>16 de noviembre de 2018</w:t>
      </w:r>
      <w:r w:rsidR="00E10E47" w:rsidRPr="001F446E">
        <w:rPr>
          <w:rFonts w:ascii="Tahoma" w:eastAsia="Calibri" w:hAnsi="Tahoma" w:cs="Tahoma"/>
          <w:lang w:val="es-ES"/>
        </w:rPr>
        <w:t xml:space="preserve">, </w:t>
      </w:r>
      <w:r w:rsidRPr="001F446E">
        <w:rPr>
          <w:rFonts w:ascii="Tahoma" w:eastAsia="Calibri" w:hAnsi="Tahoma" w:cs="Tahoma"/>
          <w:lang w:val="es-ES"/>
        </w:rPr>
        <w:t>se encuentran afectadas de prescripción las mesadas anterior al 16 de noviembre de 2015, es decir, por fuera de los tres (3) años anteriores a la reclamación.</w:t>
      </w:r>
    </w:p>
    <w:p w14:paraId="040D53F1" w14:textId="47BD1DD6" w:rsidR="412E01A1" w:rsidRPr="001F446E" w:rsidRDefault="412E01A1" w:rsidP="001F446E">
      <w:pPr>
        <w:spacing w:before="0" w:beforeAutospacing="0" w:after="0" w:afterAutospacing="0" w:line="276" w:lineRule="auto"/>
        <w:rPr>
          <w:rFonts w:ascii="Tahoma" w:eastAsia="Calibri" w:hAnsi="Tahoma" w:cs="Tahoma"/>
          <w:lang w:val="es-ES"/>
        </w:rPr>
      </w:pPr>
    </w:p>
    <w:p w14:paraId="6EE427A3" w14:textId="62ADCF2D" w:rsidR="00E16F9E" w:rsidRPr="001F446E" w:rsidRDefault="003B2D79" w:rsidP="001F446E">
      <w:pPr>
        <w:spacing w:before="0" w:beforeAutospacing="0" w:after="0" w:afterAutospacing="0" w:line="276" w:lineRule="auto"/>
        <w:rPr>
          <w:rFonts w:ascii="Tahoma" w:eastAsia="Calibri" w:hAnsi="Tahoma" w:cs="Tahoma"/>
          <w:lang w:val="es-ES"/>
        </w:rPr>
      </w:pPr>
      <w:r w:rsidRPr="001F446E">
        <w:rPr>
          <w:rFonts w:ascii="Tahoma" w:eastAsia="Calibri" w:hAnsi="Tahoma" w:cs="Tahoma"/>
          <w:lang w:val="es-ES"/>
        </w:rPr>
        <w:t>Finalmente, respecto</w:t>
      </w:r>
      <w:r w:rsidR="00AF3A29" w:rsidRPr="001F446E">
        <w:rPr>
          <w:rFonts w:ascii="Tahoma" w:eastAsia="Calibri" w:hAnsi="Tahoma" w:cs="Tahoma"/>
          <w:lang w:val="es-ES"/>
        </w:rPr>
        <w:t xml:space="preserve"> a los i</w:t>
      </w:r>
      <w:r w:rsidR="00E10E47" w:rsidRPr="001F446E">
        <w:rPr>
          <w:rFonts w:ascii="Tahoma" w:eastAsia="Calibri" w:hAnsi="Tahoma" w:cs="Tahoma"/>
          <w:lang w:val="es-ES"/>
        </w:rPr>
        <w:t>ntereses moratorios</w:t>
      </w:r>
      <w:r w:rsidR="009711A2" w:rsidRPr="001F446E">
        <w:rPr>
          <w:rFonts w:ascii="Tahoma" w:eastAsia="Calibri" w:hAnsi="Tahoma" w:cs="Tahoma"/>
          <w:lang w:val="es-ES"/>
        </w:rPr>
        <w:t>, concluyó que</w:t>
      </w:r>
      <w:r w:rsidR="00E10E47" w:rsidRPr="001F446E">
        <w:rPr>
          <w:rFonts w:ascii="Tahoma" w:eastAsia="Calibri" w:hAnsi="Tahoma" w:cs="Tahoma"/>
          <w:lang w:val="es-ES"/>
        </w:rPr>
        <w:t xml:space="preserve"> no hay lugar </w:t>
      </w:r>
      <w:r w:rsidR="009711A2" w:rsidRPr="001F446E">
        <w:rPr>
          <w:rFonts w:ascii="Tahoma" w:eastAsia="Calibri" w:hAnsi="Tahoma" w:cs="Tahoma"/>
          <w:lang w:val="es-ES"/>
        </w:rPr>
        <w:t xml:space="preserve">a ellos como quiera que </w:t>
      </w:r>
      <w:r w:rsidR="00E10E47" w:rsidRPr="001F446E">
        <w:rPr>
          <w:rFonts w:ascii="Tahoma" w:eastAsia="Calibri" w:hAnsi="Tahoma" w:cs="Tahoma"/>
          <w:lang w:val="es-ES"/>
        </w:rPr>
        <w:t xml:space="preserve">el derecho en </w:t>
      </w:r>
      <w:r w:rsidR="00AF3A29" w:rsidRPr="001F446E">
        <w:rPr>
          <w:rFonts w:ascii="Tahoma" w:eastAsia="Calibri" w:hAnsi="Tahoma" w:cs="Tahoma"/>
          <w:lang w:val="es-ES"/>
        </w:rPr>
        <w:t>vía</w:t>
      </w:r>
      <w:r w:rsidR="00E10E47" w:rsidRPr="001F446E">
        <w:rPr>
          <w:rFonts w:ascii="Tahoma" w:eastAsia="Calibri" w:hAnsi="Tahoma" w:cs="Tahoma"/>
          <w:lang w:val="es-ES"/>
        </w:rPr>
        <w:t xml:space="preserve"> administrativa se </w:t>
      </w:r>
      <w:r w:rsidR="009711A2" w:rsidRPr="001F446E">
        <w:rPr>
          <w:rFonts w:ascii="Tahoma" w:eastAsia="Calibri" w:hAnsi="Tahoma" w:cs="Tahoma"/>
          <w:lang w:val="es-ES"/>
        </w:rPr>
        <w:t>reclamó</w:t>
      </w:r>
      <w:r w:rsidR="00E10E47" w:rsidRPr="001F446E">
        <w:rPr>
          <w:rFonts w:ascii="Tahoma" w:eastAsia="Calibri" w:hAnsi="Tahoma" w:cs="Tahoma"/>
          <w:lang w:val="es-ES"/>
        </w:rPr>
        <w:t xml:space="preserve"> con fundamento en la </w:t>
      </w:r>
      <w:r w:rsidR="00EC4503" w:rsidRPr="001F446E">
        <w:rPr>
          <w:rFonts w:ascii="Tahoma" w:eastAsia="Calibri" w:hAnsi="Tahoma" w:cs="Tahoma"/>
          <w:lang w:val="es-ES"/>
        </w:rPr>
        <w:t xml:space="preserve">Ley </w:t>
      </w:r>
      <w:r w:rsidR="00E10E47" w:rsidRPr="001F446E">
        <w:rPr>
          <w:rFonts w:ascii="Tahoma" w:eastAsia="Calibri" w:hAnsi="Tahoma" w:cs="Tahoma"/>
          <w:lang w:val="es-ES"/>
        </w:rPr>
        <w:t xml:space="preserve">71 de </w:t>
      </w:r>
      <w:r w:rsidR="00230701" w:rsidRPr="001F446E">
        <w:rPr>
          <w:rFonts w:ascii="Tahoma" w:eastAsia="Calibri" w:hAnsi="Tahoma" w:cs="Tahoma"/>
          <w:lang w:val="es-ES"/>
        </w:rPr>
        <w:t>1</w:t>
      </w:r>
      <w:r w:rsidR="00E10E47" w:rsidRPr="001F446E">
        <w:rPr>
          <w:rFonts w:ascii="Tahoma" w:eastAsia="Calibri" w:hAnsi="Tahoma" w:cs="Tahoma"/>
          <w:lang w:val="es-ES"/>
        </w:rPr>
        <w:t>988</w:t>
      </w:r>
      <w:r w:rsidR="00AF3A29" w:rsidRPr="001F446E">
        <w:rPr>
          <w:rFonts w:ascii="Tahoma" w:eastAsia="Calibri" w:hAnsi="Tahoma" w:cs="Tahoma"/>
          <w:lang w:val="es-ES"/>
        </w:rPr>
        <w:t>,</w:t>
      </w:r>
      <w:r w:rsidR="00E10E47" w:rsidRPr="001F446E">
        <w:rPr>
          <w:rFonts w:ascii="Tahoma" w:eastAsia="Calibri" w:hAnsi="Tahoma" w:cs="Tahoma"/>
          <w:lang w:val="es-ES"/>
        </w:rPr>
        <w:t xml:space="preserve"> por lo que</w:t>
      </w:r>
      <w:r w:rsidR="00AF3A29" w:rsidRPr="001F446E">
        <w:rPr>
          <w:rFonts w:ascii="Tahoma" w:eastAsia="Calibri" w:hAnsi="Tahoma" w:cs="Tahoma"/>
          <w:lang w:val="es-ES"/>
        </w:rPr>
        <w:t>,</w:t>
      </w:r>
      <w:r w:rsidR="00E10E47" w:rsidRPr="001F446E">
        <w:rPr>
          <w:rFonts w:ascii="Tahoma" w:eastAsia="Calibri" w:hAnsi="Tahoma" w:cs="Tahoma"/>
          <w:lang w:val="es-ES"/>
        </w:rPr>
        <w:t xml:space="preserve"> le </w:t>
      </w:r>
      <w:r w:rsidR="00AF3A29" w:rsidRPr="001F446E">
        <w:rPr>
          <w:rFonts w:ascii="Tahoma" w:eastAsia="Calibri" w:hAnsi="Tahoma" w:cs="Tahoma"/>
          <w:lang w:val="es-ES"/>
        </w:rPr>
        <w:t>asistía</w:t>
      </w:r>
      <w:r w:rsidR="00E10E47" w:rsidRPr="001F446E">
        <w:rPr>
          <w:rFonts w:ascii="Tahoma" w:eastAsia="Calibri" w:hAnsi="Tahoma" w:cs="Tahoma"/>
          <w:lang w:val="es-ES"/>
        </w:rPr>
        <w:t xml:space="preserve"> a razón a Colpensiones </w:t>
      </w:r>
      <w:r w:rsidR="006806E3" w:rsidRPr="001F446E">
        <w:rPr>
          <w:rFonts w:ascii="Tahoma" w:eastAsia="Calibri" w:hAnsi="Tahoma" w:cs="Tahoma"/>
          <w:lang w:val="es-ES"/>
        </w:rPr>
        <w:t>en</w:t>
      </w:r>
      <w:r w:rsidR="009711A2" w:rsidRPr="001F446E">
        <w:rPr>
          <w:rFonts w:ascii="Tahoma" w:eastAsia="Calibri" w:hAnsi="Tahoma" w:cs="Tahoma"/>
          <w:lang w:val="es-ES"/>
        </w:rPr>
        <w:t xml:space="preserve"> negarlo, pues en esa fecha todavía no </w:t>
      </w:r>
      <w:r w:rsidR="006806E3" w:rsidRPr="001F446E">
        <w:rPr>
          <w:rFonts w:ascii="Tahoma" w:eastAsia="Calibri" w:hAnsi="Tahoma" w:cs="Tahoma"/>
          <w:lang w:val="es-ES"/>
        </w:rPr>
        <w:t>había un precedente vinculante que permitiera la acumulación de tiempos de servicios y semanas cotizadas en pensiones reconocidas bajo el Acuerdo 049 de 1990.</w:t>
      </w:r>
    </w:p>
    <w:p w14:paraId="77416808" w14:textId="49545C93" w:rsidR="412E01A1" w:rsidRPr="001F446E" w:rsidRDefault="412E01A1" w:rsidP="001F446E">
      <w:pPr>
        <w:widowControl w:val="0"/>
        <w:spacing w:before="0" w:beforeAutospacing="0" w:after="0" w:afterAutospacing="0" w:line="276" w:lineRule="auto"/>
        <w:contextualSpacing/>
        <w:rPr>
          <w:rFonts w:ascii="Tahoma" w:eastAsia="Calibri" w:hAnsi="Tahoma" w:cs="Tahoma"/>
          <w:lang w:val="es-ES"/>
        </w:rPr>
      </w:pPr>
    </w:p>
    <w:p w14:paraId="32A225D8" w14:textId="6A9E0AFD" w:rsidR="009D1D6D" w:rsidRPr="001F446E" w:rsidRDefault="0067289E" w:rsidP="001F446E">
      <w:pPr>
        <w:pStyle w:val="Prrafodelista"/>
        <w:widowControl w:val="0"/>
        <w:numPr>
          <w:ilvl w:val="0"/>
          <w:numId w:val="1"/>
        </w:numPr>
        <w:autoSpaceDE w:val="0"/>
        <w:autoSpaceDN w:val="0"/>
        <w:spacing w:line="276" w:lineRule="auto"/>
        <w:jc w:val="center"/>
        <w:rPr>
          <w:rFonts w:eastAsia="Calibri" w:cs="Tahoma"/>
          <w:b/>
          <w:szCs w:val="24"/>
          <w:lang w:val="es-ES"/>
        </w:rPr>
      </w:pPr>
      <w:r w:rsidRPr="001F446E">
        <w:rPr>
          <w:rFonts w:eastAsia="Calibri" w:cs="Tahoma"/>
          <w:b/>
          <w:szCs w:val="24"/>
          <w:lang w:val="es-ES"/>
        </w:rPr>
        <w:t>GRADO JURISDICCIONAL DE CONSULTA</w:t>
      </w:r>
    </w:p>
    <w:p w14:paraId="7D6F0F9D" w14:textId="77777777" w:rsidR="006806E3" w:rsidRPr="001F446E" w:rsidRDefault="006806E3" w:rsidP="001F446E">
      <w:pPr>
        <w:widowControl w:val="0"/>
        <w:autoSpaceDE w:val="0"/>
        <w:autoSpaceDN w:val="0"/>
        <w:spacing w:before="0" w:beforeAutospacing="0" w:after="0" w:afterAutospacing="0" w:line="276" w:lineRule="auto"/>
        <w:ind w:firstLine="708"/>
        <w:rPr>
          <w:rFonts w:ascii="Tahoma" w:eastAsia="Calibri" w:hAnsi="Tahoma" w:cs="Tahoma"/>
          <w:lang w:val="es-ES"/>
        </w:rPr>
      </w:pPr>
    </w:p>
    <w:p w14:paraId="46E0EEAC" w14:textId="72EA8A02" w:rsidR="008C6C03" w:rsidRPr="001F446E" w:rsidRDefault="00230701" w:rsidP="001F446E">
      <w:pPr>
        <w:widowControl w:val="0"/>
        <w:autoSpaceDE w:val="0"/>
        <w:autoSpaceDN w:val="0"/>
        <w:spacing w:before="0" w:beforeAutospacing="0" w:after="0" w:afterAutospacing="0" w:line="276" w:lineRule="auto"/>
        <w:ind w:firstLine="709"/>
        <w:rPr>
          <w:rFonts w:ascii="Tahoma" w:eastAsia="Calibri" w:hAnsi="Tahoma" w:cs="Tahoma"/>
          <w:lang w:val="es-ES"/>
        </w:rPr>
      </w:pPr>
      <w:r w:rsidRPr="001F446E">
        <w:rPr>
          <w:rFonts w:ascii="Tahoma" w:eastAsia="Calibri" w:hAnsi="Tahoma" w:cs="Tahoma"/>
          <w:lang w:val="es-ES"/>
        </w:rPr>
        <w:t xml:space="preserve">Teniendo en cuenta que </w:t>
      </w:r>
      <w:r w:rsidR="001735D6" w:rsidRPr="001F446E">
        <w:rPr>
          <w:rFonts w:ascii="Tahoma" w:eastAsia="Calibri" w:hAnsi="Tahoma" w:cs="Tahoma"/>
          <w:lang w:val="es-ES"/>
        </w:rPr>
        <w:t>la Nación es garante del pago de las pensiones del Régimen de Prima Media, tal como lo explicó la Sala de Casación Laboral de la Corte Suprema de Justicia en sentencia STL-738</w:t>
      </w:r>
      <w:r w:rsidR="009E21B2" w:rsidRPr="001F446E">
        <w:rPr>
          <w:rFonts w:ascii="Tahoma" w:eastAsia="Calibri" w:hAnsi="Tahoma" w:cs="Tahoma"/>
          <w:lang w:val="es-ES"/>
        </w:rPr>
        <w:t>2-2015</w:t>
      </w:r>
      <w:r w:rsidR="001735D6" w:rsidRPr="001F446E">
        <w:rPr>
          <w:rFonts w:ascii="Tahoma" w:eastAsia="Calibri" w:hAnsi="Tahoma" w:cs="Tahoma"/>
          <w:lang w:val="es-ES"/>
        </w:rPr>
        <w:t xml:space="preserve"> Rad. 40200, M.P. Clara Cecilia Dueñas, y que en este caso se dictó sentencia</w:t>
      </w:r>
      <w:r w:rsidRPr="001F446E">
        <w:rPr>
          <w:rFonts w:ascii="Tahoma" w:eastAsia="Calibri" w:hAnsi="Tahoma" w:cs="Tahoma"/>
          <w:lang w:val="es-ES"/>
        </w:rPr>
        <w:t xml:space="preserve"> condena</w:t>
      </w:r>
      <w:r w:rsidR="001735D6" w:rsidRPr="001F446E">
        <w:rPr>
          <w:rFonts w:ascii="Tahoma" w:eastAsia="Calibri" w:hAnsi="Tahoma" w:cs="Tahoma"/>
          <w:lang w:val="es-ES"/>
        </w:rPr>
        <w:t>toria</w:t>
      </w:r>
      <w:r w:rsidRPr="001F446E">
        <w:rPr>
          <w:rFonts w:ascii="Tahoma" w:eastAsia="Calibri" w:hAnsi="Tahoma" w:cs="Tahoma"/>
          <w:lang w:val="es-ES"/>
        </w:rPr>
        <w:t xml:space="preserve"> en contra de COLPENSIONES</w:t>
      </w:r>
      <w:r w:rsidR="00EF7B8A" w:rsidRPr="001F446E">
        <w:rPr>
          <w:rFonts w:ascii="Tahoma" w:eastAsia="Calibri" w:hAnsi="Tahoma" w:cs="Tahoma"/>
          <w:lang w:val="es-ES"/>
        </w:rPr>
        <w:t>, actual administradora del RPM</w:t>
      </w:r>
      <w:r w:rsidR="001735D6" w:rsidRPr="001F446E">
        <w:rPr>
          <w:rFonts w:ascii="Tahoma" w:eastAsia="Calibri" w:hAnsi="Tahoma" w:cs="Tahoma"/>
          <w:lang w:val="es-ES"/>
        </w:rPr>
        <w:t xml:space="preserve">, en cumplimiento del artículo 69 del C.P.T. y de la S.S., la Sala </w:t>
      </w:r>
      <w:r w:rsidR="00CE701B" w:rsidRPr="001F446E">
        <w:rPr>
          <w:rFonts w:ascii="Tahoma" w:eastAsia="Calibri" w:hAnsi="Tahoma" w:cs="Tahoma"/>
          <w:lang w:val="es-ES"/>
        </w:rPr>
        <w:t>admitió conocer el presente asunto en</w:t>
      </w:r>
      <w:r w:rsidR="001735D6" w:rsidRPr="001F446E">
        <w:rPr>
          <w:rFonts w:ascii="Tahoma" w:eastAsia="Calibri" w:hAnsi="Tahoma" w:cs="Tahoma"/>
          <w:lang w:val="es-ES"/>
        </w:rPr>
        <w:t xml:space="preserve"> grado jurisdiccional de consulta en favor de dicha entidad.</w:t>
      </w:r>
    </w:p>
    <w:p w14:paraId="0D081A08" w14:textId="77777777" w:rsidR="008C6C03" w:rsidRPr="001F446E" w:rsidRDefault="008C6C03" w:rsidP="001F446E">
      <w:pPr>
        <w:widowControl w:val="0"/>
        <w:autoSpaceDE w:val="0"/>
        <w:autoSpaceDN w:val="0"/>
        <w:spacing w:before="0" w:beforeAutospacing="0" w:after="0" w:afterAutospacing="0" w:line="276" w:lineRule="auto"/>
        <w:ind w:firstLine="709"/>
        <w:rPr>
          <w:rFonts w:ascii="Tahoma" w:eastAsia="Calibri" w:hAnsi="Tahoma" w:cs="Tahoma"/>
          <w:lang w:val="es-ES"/>
        </w:rPr>
      </w:pPr>
    </w:p>
    <w:p w14:paraId="0340E810" w14:textId="09E2C8A4" w:rsidR="00DA0270" w:rsidRPr="001F446E" w:rsidRDefault="00DA0270" w:rsidP="001F446E">
      <w:pPr>
        <w:pStyle w:val="Prrafodelista"/>
        <w:widowControl w:val="0"/>
        <w:numPr>
          <w:ilvl w:val="0"/>
          <w:numId w:val="1"/>
        </w:numPr>
        <w:autoSpaceDE w:val="0"/>
        <w:autoSpaceDN w:val="0"/>
        <w:spacing w:line="276" w:lineRule="auto"/>
        <w:rPr>
          <w:rFonts w:eastAsia="Calibri" w:cs="Tahoma"/>
          <w:b/>
          <w:bCs/>
          <w:szCs w:val="24"/>
        </w:rPr>
      </w:pPr>
      <w:r w:rsidRPr="001F446E">
        <w:rPr>
          <w:rFonts w:eastAsia="Calibri" w:cs="Tahoma"/>
          <w:b/>
          <w:bCs/>
          <w:szCs w:val="24"/>
        </w:rPr>
        <w:t>ALEGATOS DE CONCLUSIÓN/CONCEPTO DEL MINISTERIO PÚBLICO</w:t>
      </w:r>
    </w:p>
    <w:p w14:paraId="5A458E2B" w14:textId="77777777" w:rsidR="008C6C03" w:rsidRPr="001F446E" w:rsidRDefault="008C6C03" w:rsidP="001F446E">
      <w:pPr>
        <w:pStyle w:val="Prrafodelista"/>
        <w:widowControl w:val="0"/>
        <w:autoSpaceDE w:val="0"/>
        <w:autoSpaceDN w:val="0"/>
        <w:spacing w:line="276" w:lineRule="auto"/>
        <w:ind w:left="0"/>
        <w:rPr>
          <w:rFonts w:eastAsia="Calibri" w:cs="Tahoma"/>
          <w:b/>
          <w:szCs w:val="24"/>
        </w:rPr>
      </w:pPr>
    </w:p>
    <w:p w14:paraId="7625C1BF" w14:textId="2F1704FC" w:rsidR="00DA0270" w:rsidRPr="001F446E" w:rsidRDefault="001735D6" w:rsidP="001F446E">
      <w:pPr>
        <w:widowControl w:val="0"/>
        <w:autoSpaceDE w:val="0"/>
        <w:autoSpaceDN w:val="0"/>
        <w:spacing w:before="0" w:beforeAutospacing="0" w:after="0" w:afterAutospacing="0" w:line="276" w:lineRule="auto"/>
        <w:rPr>
          <w:rFonts w:ascii="Tahoma" w:hAnsi="Tahoma" w:cs="Tahoma"/>
          <w:color w:val="000000"/>
        </w:rPr>
      </w:pPr>
      <w:r w:rsidRPr="001F446E">
        <w:rPr>
          <w:rStyle w:val="normaltextrun"/>
          <w:rFonts w:ascii="Tahoma" w:hAnsi="Tahoma" w:cs="Tahoma"/>
          <w:color w:val="000000" w:themeColor="text1"/>
          <w:lang w:val="es-ES"/>
        </w:rPr>
        <w:t xml:space="preserve">Analizados los alegatos presentados </w:t>
      </w:r>
      <w:r w:rsidR="00E72639" w:rsidRPr="001F446E">
        <w:rPr>
          <w:rStyle w:val="normaltextrun"/>
          <w:rFonts w:ascii="Tahoma" w:hAnsi="Tahoma" w:cs="Tahoma"/>
          <w:color w:val="000000" w:themeColor="text1"/>
          <w:lang w:val="es-ES"/>
        </w:rPr>
        <w:t xml:space="preserve">por </w:t>
      </w:r>
      <w:r w:rsidRPr="001F446E">
        <w:rPr>
          <w:rStyle w:val="normaltextrun"/>
          <w:rFonts w:ascii="Tahoma" w:hAnsi="Tahoma" w:cs="Tahoma"/>
          <w:color w:val="000000" w:themeColor="text1"/>
          <w:lang w:val="es-ES"/>
        </w:rPr>
        <w:t>C</w:t>
      </w:r>
      <w:r w:rsidR="00E72639" w:rsidRPr="001F446E">
        <w:rPr>
          <w:rStyle w:val="normaltextrun"/>
          <w:rFonts w:ascii="Tahoma" w:hAnsi="Tahoma" w:cs="Tahoma"/>
          <w:color w:val="000000" w:themeColor="text1"/>
          <w:lang w:val="es-ES"/>
        </w:rPr>
        <w:t>olpensiones</w:t>
      </w:r>
      <w:r w:rsidRPr="001F446E">
        <w:rPr>
          <w:rStyle w:val="normaltextrun"/>
          <w:rFonts w:ascii="Tahoma" w:hAnsi="Tahoma" w:cs="Tahoma"/>
          <w:color w:val="000000" w:themeColor="text1"/>
          <w:lang w:val="es-ES"/>
        </w:rPr>
        <w:t>, mismos que obran en el expediente digital y a los cuales nos remitimos por economía procesal en virtud del artículo 280 del C.G.P., la Sala encuentra que los argumentos fácticos y jurídicos expresados en él, concuerdan con los puntos objeto de discusión en esta instancia y se relacionan con el problema jurídico que se expresa a continuación.  </w:t>
      </w:r>
      <w:r w:rsidRPr="001F446E">
        <w:rPr>
          <w:rStyle w:val="eop"/>
          <w:rFonts w:ascii="Tahoma" w:hAnsi="Tahoma" w:cs="Tahoma"/>
          <w:color w:val="000000" w:themeColor="text1"/>
        </w:rPr>
        <w:t> El</w:t>
      </w:r>
      <w:r w:rsidR="00DA0270" w:rsidRPr="001F446E">
        <w:rPr>
          <w:rFonts w:ascii="Tahoma" w:hAnsi="Tahoma" w:cs="Tahoma"/>
          <w:color w:val="000000" w:themeColor="text1"/>
        </w:rPr>
        <w:t xml:space="preserve"> demandante no presentó alegatos de conclusión y el Ministerio Público no conceptuó en este asunto.</w:t>
      </w:r>
    </w:p>
    <w:p w14:paraId="68C059EC" w14:textId="77777777" w:rsidR="009E21B2" w:rsidRPr="001F446E" w:rsidRDefault="009E21B2"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435C0306" w14:textId="3506A329" w:rsidR="009D1D6D" w:rsidRPr="001F446E" w:rsidRDefault="009E21B2" w:rsidP="001F446E">
      <w:pPr>
        <w:pStyle w:val="Prrafodelista"/>
        <w:widowControl w:val="0"/>
        <w:numPr>
          <w:ilvl w:val="0"/>
          <w:numId w:val="1"/>
        </w:numPr>
        <w:autoSpaceDE w:val="0"/>
        <w:autoSpaceDN w:val="0"/>
        <w:spacing w:line="276" w:lineRule="auto"/>
        <w:ind w:left="0" w:firstLine="0"/>
        <w:jc w:val="center"/>
        <w:rPr>
          <w:rFonts w:eastAsia="Calibri" w:cs="Tahoma"/>
          <w:b/>
          <w:szCs w:val="24"/>
          <w:lang w:val="es-ES"/>
        </w:rPr>
      </w:pPr>
      <w:r w:rsidRPr="001F446E">
        <w:rPr>
          <w:rFonts w:eastAsia="Calibri" w:cs="Tahoma"/>
          <w:b/>
          <w:szCs w:val="24"/>
          <w:lang w:val="es-ES"/>
        </w:rPr>
        <w:t xml:space="preserve">PROBLEMA JURÍDICO </w:t>
      </w:r>
    </w:p>
    <w:p w14:paraId="5B5458C2" w14:textId="77777777" w:rsidR="001735D6" w:rsidRPr="001F446E" w:rsidRDefault="001735D6" w:rsidP="001F446E">
      <w:pPr>
        <w:widowControl w:val="0"/>
        <w:autoSpaceDE w:val="0"/>
        <w:autoSpaceDN w:val="0"/>
        <w:spacing w:before="0" w:beforeAutospacing="0" w:after="0" w:afterAutospacing="0" w:line="276" w:lineRule="auto"/>
        <w:ind w:firstLine="0"/>
        <w:contextualSpacing/>
        <w:rPr>
          <w:rFonts w:ascii="Tahoma" w:hAnsi="Tahoma" w:cs="Tahoma"/>
          <w:u w:val="single"/>
        </w:rPr>
      </w:pPr>
    </w:p>
    <w:p w14:paraId="0A69FBE7" w14:textId="3635E664" w:rsidR="009D1D6D" w:rsidRPr="001F446E" w:rsidRDefault="001735D6" w:rsidP="001F446E">
      <w:pPr>
        <w:widowControl w:val="0"/>
        <w:autoSpaceDE w:val="0"/>
        <w:autoSpaceDN w:val="0"/>
        <w:spacing w:before="0" w:beforeAutospacing="0" w:after="0" w:afterAutospacing="0" w:line="276" w:lineRule="auto"/>
        <w:contextualSpacing/>
        <w:rPr>
          <w:rFonts w:ascii="Tahoma" w:hAnsi="Tahoma" w:cs="Tahoma"/>
        </w:rPr>
      </w:pPr>
      <w:r w:rsidRPr="001F446E">
        <w:rPr>
          <w:rFonts w:ascii="Tahoma" w:hAnsi="Tahoma" w:cs="Tahoma"/>
        </w:rPr>
        <w:t>El problema jurídico en est</w:t>
      </w:r>
      <w:r w:rsidR="006806E3" w:rsidRPr="001F446E">
        <w:rPr>
          <w:rFonts w:ascii="Tahoma" w:hAnsi="Tahoma" w:cs="Tahoma"/>
        </w:rPr>
        <w:t xml:space="preserve">a sede de consulta, se circunscribe a la resolución del siguiente interrogante: </w:t>
      </w:r>
      <w:r w:rsidR="009D1D6D" w:rsidRPr="001F446E">
        <w:rPr>
          <w:rFonts w:ascii="Tahoma" w:hAnsi="Tahoma" w:cs="Tahoma"/>
        </w:rPr>
        <w:t xml:space="preserve">¿puede un afiliado beneficiario del régimen de transición </w:t>
      </w:r>
      <w:r w:rsidR="009D1D6D" w:rsidRPr="001F446E">
        <w:rPr>
          <w:rFonts w:ascii="Tahoma" w:hAnsi="Tahoma" w:cs="Tahoma"/>
        </w:rPr>
        <w:lastRenderedPageBreak/>
        <w:t>del artículo 36 de la Ley de 1993 sumar tiempos públicos y privados para acceder a la pensión de vejez bajo los postulados del acuerdo 049 de 199</w:t>
      </w:r>
      <w:r w:rsidR="00CE701B" w:rsidRPr="001F446E">
        <w:rPr>
          <w:rFonts w:ascii="Tahoma" w:hAnsi="Tahoma" w:cs="Tahoma"/>
        </w:rPr>
        <w:t>0</w:t>
      </w:r>
      <w:r w:rsidR="009D1D6D" w:rsidRPr="001F446E">
        <w:rPr>
          <w:rFonts w:ascii="Tahoma" w:hAnsi="Tahoma" w:cs="Tahoma"/>
        </w:rPr>
        <w:t>?</w:t>
      </w:r>
    </w:p>
    <w:p w14:paraId="53FDB6D0" w14:textId="77777777" w:rsidR="006806E3" w:rsidRPr="001F446E" w:rsidRDefault="006806E3" w:rsidP="001F446E">
      <w:pPr>
        <w:widowControl w:val="0"/>
        <w:autoSpaceDE w:val="0"/>
        <w:autoSpaceDN w:val="0"/>
        <w:spacing w:before="0" w:beforeAutospacing="0" w:after="0" w:afterAutospacing="0" w:line="276" w:lineRule="auto"/>
        <w:contextualSpacing/>
        <w:rPr>
          <w:rFonts w:ascii="Tahoma" w:eastAsia="Calibri" w:hAnsi="Tahoma" w:cs="Tahoma"/>
          <w:lang w:val="es-ES"/>
        </w:rPr>
      </w:pPr>
    </w:p>
    <w:p w14:paraId="3C934E13" w14:textId="0A7DFC7C" w:rsidR="00B5528D" w:rsidRPr="001F446E" w:rsidRDefault="009E21B2" w:rsidP="001F446E">
      <w:pPr>
        <w:pStyle w:val="Prrafodelista"/>
        <w:widowControl w:val="0"/>
        <w:numPr>
          <w:ilvl w:val="0"/>
          <w:numId w:val="1"/>
        </w:numPr>
        <w:autoSpaceDE w:val="0"/>
        <w:autoSpaceDN w:val="0"/>
        <w:spacing w:line="276" w:lineRule="auto"/>
        <w:jc w:val="center"/>
        <w:rPr>
          <w:rFonts w:eastAsia="Calibri" w:cs="Tahoma"/>
          <w:b/>
          <w:szCs w:val="24"/>
          <w:lang w:val="es-ES"/>
        </w:rPr>
      </w:pPr>
      <w:r w:rsidRPr="001F446E">
        <w:rPr>
          <w:rFonts w:eastAsia="Calibri" w:cs="Tahoma"/>
          <w:b/>
          <w:szCs w:val="24"/>
          <w:lang w:val="es-ES"/>
        </w:rPr>
        <w:t>CONSIDERACIONES</w:t>
      </w:r>
    </w:p>
    <w:p w14:paraId="5853BC6D" w14:textId="1F7077FE"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40B71D95" w14:textId="5857849B" w:rsidR="009D1D6D" w:rsidRPr="001F446E" w:rsidRDefault="00322E2F" w:rsidP="001F446E">
      <w:pPr>
        <w:pStyle w:val="Prrafodelista"/>
        <w:widowControl w:val="0"/>
        <w:numPr>
          <w:ilvl w:val="1"/>
          <w:numId w:val="1"/>
        </w:numPr>
        <w:autoSpaceDE w:val="0"/>
        <w:autoSpaceDN w:val="0"/>
        <w:spacing w:line="276" w:lineRule="auto"/>
        <w:rPr>
          <w:rFonts w:eastAsia="Calibri" w:cs="Tahoma"/>
          <w:b/>
          <w:szCs w:val="24"/>
          <w:lang w:val="es-ES"/>
        </w:rPr>
      </w:pPr>
      <w:r w:rsidRPr="001F446E">
        <w:rPr>
          <w:rFonts w:eastAsia="Calibri" w:cs="Tahoma"/>
          <w:b/>
          <w:szCs w:val="24"/>
          <w:lang w:val="es-ES"/>
        </w:rPr>
        <w:t>R</w:t>
      </w:r>
      <w:r w:rsidR="006806E3" w:rsidRPr="001F446E">
        <w:rPr>
          <w:rFonts w:eastAsia="Calibri" w:cs="Tahoma"/>
          <w:b/>
          <w:szCs w:val="24"/>
          <w:lang w:val="es-ES"/>
        </w:rPr>
        <w:t xml:space="preserve">econocimiento de la pensión de vejez bajo el </w:t>
      </w:r>
      <w:r w:rsidR="00EC4503" w:rsidRPr="001F446E">
        <w:rPr>
          <w:rFonts w:eastAsia="Calibri" w:cs="Tahoma"/>
          <w:b/>
          <w:szCs w:val="24"/>
          <w:lang w:val="es-ES"/>
        </w:rPr>
        <w:t xml:space="preserve">Acuerdo </w:t>
      </w:r>
      <w:r w:rsidR="006806E3" w:rsidRPr="001F446E">
        <w:rPr>
          <w:rFonts w:eastAsia="Calibri" w:cs="Tahoma"/>
          <w:b/>
          <w:szCs w:val="24"/>
          <w:lang w:val="es-ES"/>
        </w:rPr>
        <w:t xml:space="preserve">049 de 1990, en aplicación del régimen de transición instituido en el artículo 36 de la </w:t>
      </w:r>
      <w:r w:rsidR="00EC4503" w:rsidRPr="001F446E">
        <w:rPr>
          <w:rFonts w:eastAsia="Calibri" w:cs="Tahoma"/>
          <w:b/>
          <w:szCs w:val="24"/>
          <w:lang w:val="es-ES"/>
        </w:rPr>
        <w:t xml:space="preserve">Ley </w:t>
      </w:r>
      <w:r w:rsidR="006806E3" w:rsidRPr="001F446E">
        <w:rPr>
          <w:rFonts w:eastAsia="Calibri" w:cs="Tahoma"/>
          <w:b/>
          <w:szCs w:val="24"/>
          <w:lang w:val="es-ES"/>
        </w:rPr>
        <w:t>100 de 1993</w:t>
      </w:r>
    </w:p>
    <w:p w14:paraId="528E3CFF" w14:textId="77777777"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35C6F654" w14:textId="77777777" w:rsidR="009D1D6D" w:rsidRPr="001F446E" w:rsidRDefault="009D1D6D"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bookmarkStart w:id="5" w:name="_Hlk113355488"/>
      <w:r w:rsidRPr="001F446E">
        <w:rPr>
          <w:rFonts w:ascii="Tahoma" w:eastAsia="Calibri" w:hAnsi="Tahoma" w:cs="Tahoma"/>
          <w:lang w:val="es-ES"/>
        </w:rPr>
        <w:t xml:space="preserve">La Ley 100 de 1993 instituyó en su artículo 36 un régimen de transición establecido para proteger las expectativas legitimas de aquel segmento de la población que a la entrada en vigencia de la nueva regla pensional prevista en la Ley 100 de 1993, estuvieran próximas a pensionarse -por edad o tiempo de servicios- </w:t>
      </w:r>
      <w:bookmarkEnd w:id="5"/>
      <w:r w:rsidRPr="001F446E">
        <w:rPr>
          <w:rFonts w:ascii="Tahoma" w:eastAsia="Calibri" w:hAnsi="Tahoma" w:cs="Tahoma"/>
          <w:lang w:val="es-ES"/>
        </w:rPr>
        <w:t>de acuerdo con las reglas del régimen anterior al cual se encontraban afiliados.</w:t>
      </w:r>
    </w:p>
    <w:p w14:paraId="5DA86EF1" w14:textId="77777777"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21B4EFF1" w14:textId="46D7C5F6" w:rsidR="009D1D6D" w:rsidRPr="001F446E" w:rsidRDefault="009D1D6D"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1F446E">
        <w:rPr>
          <w:rFonts w:ascii="Tahoma" w:eastAsia="Calibri" w:hAnsi="Tahoma" w:cs="Tahoma"/>
          <w:lang w:val="es-ES"/>
        </w:rPr>
        <w:t xml:space="preserve">Este régimen, modificado por el </w:t>
      </w:r>
      <w:r w:rsidR="00EC4503" w:rsidRPr="001F446E">
        <w:rPr>
          <w:rFonts w:ascii="Tahoma" w:eastAsia="Calibri" w:hAnsi="Tahoma" w:cs="Tahoma"/>
          <w:lang w:val="es-ES"/>
        </w:rPr>
        <w:t xml:space="preserve">Acto Legislativo </w:t>
      </w:r>
      <w:r w:rsidRPr="001F446E">
        <w:rPr>
          <w:rFonts w:ascii="Tahoma" w:eastAsia="Calibri" w:hAnsi="Tahoma" w:cs="Tahoma"/>
          <w:lang w:val="es-ES"/>
        </w:rPr>
        <w:t>01 de 2005, mientras estuvo vigente, permitía a sus beneficiarios pensionarse con los requisitos de edad, tiempo de servicios o semanas de cotización, y monto de la pensión previstos en el régimen al que venían afiliados a la entrada en vigencia de la precitada Ley 100 de 1993, sin perjuicio de que las demás condiciones y requisitos aplicable a estas personas para acceder a la pensión se rijan por las disposiciones contenidas en la Ley 100 de 1993.</w:t>
      </w:r>
    </w:p>
    <w:p w14:paraId="171BD4AD" w14:textId="77777777"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21BAA573" w14:textId="77777777" w:rsidR="009D1D6D" w:rsidRPr="001F446E" w:rsidRDefault="009D1D6D"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1F446E">
        <w:rPr>
          <w:rFonts w:ascii="Tahoma" w:eastAsia="Calibri" w:hAnsi="Tahoma" w:cs="Tahoma"/>
          <w:lang w:val="es-ES"/>
        </w:rPr>
        <w:t>En este sentido, el artículo 15 del citado estatuto de seguridad social prescribe que son afiliados obligatorios todas las personas vinculadas mediante contrato de trabajo y los servidores públicos, sea que se incorporen por primera vez a la fuerza laboral o que estuvieran laborando con anterioridad.</w:t>
      </w:r>
    </w:p>
    <w:p w14:paraId="4BBE0D67" w14:textId="77777777"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5514FC43" w14:textId="77777777" w:rsidR="009D1D6D" w:rsidRPr="001F446E" w:rsidRDefault="009D1D6D"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1F446E">
        <w:rPr>
          <w:rFonts w:ascii="Tahoma" w:eastAsia="Calibri" w:hAnsi="Tahoma" w:cs="Tahoma"/>
          <w:lang w:val="es-ES"/>
        </w:rPr>
        <w:t xml:space="preserve">Al respecto, la Corte Suprema de Justicia, tiene instituido que </w:t>
      </w:r>
      <w:r w:rsidRPr="001F446E">
        <w:rPr>
          <w:rFonts w:ascii="Tahoma" w:eastAsia="Calibri" w:hAnsi="Tahoma" w:cs="Tahoma"/>
          <w:i/>
          <w:lang w:val="es-ES"/>
        </w:rPr>
        <w:t>“l</w:t>
      </w:r>
      <w:r w:rsidRPr="00956F70">
        <w:rPr>
          <w:rFonts w:ascii="Tahoma" w:eastAsia="Calibri" w:hAnsi="Tahoma" w:cs="Tahoma"/>
          <w:i/>
          <w:sz w:val="22"/>
          <w:lang w:val="es-ES"/>
        </w:rPr>
        <w:t>as pensiones del régimen de transición hacen parte del sistema general de pensiones de la Ley 100 de 1993, el cual tuvo como eje central la necesidad de unificar la pluralidad de regímenes pensionales preexistentes, en un sistema único y universal denominado «sistema general de pensiones», que permitiera la construcción de sus prestaciones a partir del concepto de trabajo</w:t>
      </w:r>
      <w:r w:rsidRPr="001F446E">
        <w:rPr>
          <w:rFonts w:ascii="Tahoma" w:eastAsia="Calibri" w:hAnsi="Tahoma" w:cs="Tahoma"/>
          <w:i/>
          <w:lang w:val="es-ES"/>
        </w:rPr>
        <w:t xml:space="preserve">”. </w:t>
      </w:r>
      <w:r w:rsidRPr="001F446E">
        <w:rPr>
          <w:rFonts w:ascii="Tahoma" w:eastAsia="Calibri" w:hAnsi="Tahoma" w:cs="Tahoma"/>
          <w:lang w:val="es-ES"/>
        </w:rPr>
        <w:t>(Sentencia SL 1981 de 2020, M.P. Clara Cecilia Dueñas Quevedo).</w:t>
      </w:r>
    </w:p>
    <w:p w14:paraId="0B849005" w14:textId="77777777" w:rsidR="00322E2F" w:rsidRPr="001F446E" w:rsidRDefault="00322E2F"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55E6C6AB" w14:textId="177C74E5" w:rsidR="009D1D6D" w:rsidRPr="001F446E" w:rsidRDefault="006806E3" w:rsidP="001F446E">
      <w:pPr>
        <w:pStyle w:val="Prrafodelista"/>
        <w:widowControl w:val="0"/>
        <w:numPr>
          <w:ilvl w:val="1"/>
          <w:numId w:val="1"/>
        </w:numPr>
        <w:autoSpaceDE w:val="0"/>
        <w:autoSpaceDN w:val="0"/>
        <w:spacing w:line="276" w:lineRule="auto"/>
        <w:rPr>
          <w:rFonts w:eastAsia="Calibri" w:cs="Tahoma"/>
          <w:b/>
          <w:szCs w:val="24"/>
          <w:lang w:val="es-ES"/>
        </w:rPr>
      </w:pPr>
      <w:r w:rsidRPr="001F446E">
        <w:rPr>
          <w:rFonts w:eastAsia="Calibri" w:cs="Tahoma"/>
          <w:b/>
          <w:szCs w:val="24"/>
          <w:lang w:val="es-ES"/>
        </w:rPr>
        <w:t>Derechos adquiridos en materia pensional – Pensiones reguladas íntegramente por las normas anteriores a la Ley 100 de 1993</w:t>
      </w:r>
    </w:p>
    <w:p w14:paraId="3A5E9B97" w14:textId="77777777"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0E75B0FA" w14:textId="42689414" w:rsidR="009D1D6D" w:rsidRPr="001F446E" w:rsidRDefault="009D1D6D"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1F446E">
        <w:rPr>
          <w:rFonts w:ascii="Tahoma" w:eastAsia="Calibri" w:hAnsi="Tahoma" w:cs="Tahoma"/>
          <w:lang w:val="es-ES"/>
        </w:rPr>
        <w:t xml:space="preserve">El artículo 11 de la Ley 100 de 1993, dispone que las pensiones reguladas integralmente por normas anteriores son aquellas adquiridas con antelación </w:t>
      </w:r>
      <w:r w:rsidRPr="001F446E">
        <w:rPr>
          <w:rFonts w:ascii="Tahoma" w:eastAsia="Calibri" w:hAnsi="Tahoma" w:cs="Tahoma"/>
          <w:i/>
          <w:lang w:val="es-ES"/>
        </w:rPr>
        <w:t>«a la fecha de vigencia de esta ley».</w:t>
      </w:r>
      <w:r w:rsidRPr="001F446E">
        <w:rPr>
          <w:rFonts w:ascii="Tahoma" w:eastAsia="Calibri" w:hAnsi="Tahoma" w:cs="Tahoma"/>
          <w:lang w:val="es-ES"/>
        </w:rPr>
        <w:t xml:space="preserve"> Ello así, las pensiones obtenidas después de la entrada en vigencia del sistema general de pensiones, sea en virtud del régimen de transición o según las reglas de la pensión ordinaria de vejez, se entienden incluidas en este sistema, con todo lo que ello implica en materia de convalidación de tiempos, instrumentos de financiación (cálculos actuariales, los bonos pensionales o las cuotas partes pensionales), topes pensionales, reajustes, ingreso base de liquidación, causación de intereses moratorios, entre otras materias, como también lo aclaró la </w:t>
      </w:r>
      <w:r w:rsidRPr="001F446E">
        <w:rPr>
          <w:rFonts w:ascii="Tahoma" w:eastAsia="Calibri" w:hAnsi="Tahoma" w:cs="Tahoma"/>
          <w:lang w:val="es-ES"/>
        </w:rPr>
        <w:lastRenderedPageBreak/>
        <w:t>Corte Suprema en la sentencia arriba mencionada.</w:t>
      </w:r>
    </w:p>
    <w:p w14:paraId="5413101B" w14:textId="7795C636"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7A5DB8DE" w14:textId="64842360" w:rsidR="009D1D6D" w:rsidRPr="001F446E" w:rsidRDefault="006806E3" w:rsidP="001F446E">
      <w:pPr>
        <w:pStyle w:val="Prrafodelista"/>
        <w:widowControl w:val="0"/>
        <w:numPr>
          <w:ilvl w:val="1"/>
          <w:numId w:val="1"/>
        </w:numPr>
        <w:autoSpaceDE w:val="0"/>
        <w:autoSpaceDN w:val="0"/>
        <w:spacing w:line="276" w:lineRule="auto"/>
        <w:rPr>
          <w:rFonts w:eastAsia="Calibri" w:cs="Tahoma"/>
          <w:b/>
          <w:szCs w:val="24"/>
          <w:lang w:val="es-ES"/>
        </w:rPr>
      </w:pPr>
      <w:r w:rsidRPr="001F446E">
        <w:rPr>
          <w:rFonts w:eastAsia="Calibri" w:cs="Tahoma"/>
          <w:b/>
          <w:szCs w:val="24"/>
          <w:lang w:val="es-ES"/>
        </w:rPr>
        <w:t xml:space="preserve">Sumatoria de tiempos de servicios en el sector público y privado a efectos de conceder la pensión de vejez bajo el </w:t>
      </w:r>
      <w:r w:rsidR="00AB0190" w:rsidRPr="001F446E">
        <w:rPr>
          <w:rFonts w:eastAsia="Calibri" w:cs="Tahoma"/>
          <w:b/>
          <w:szCs w:val="24"/>
          <w:lang w:val="es-ES"/>
        </w:rPr>
        <w:t xml:space="preserve">Acuerdo </w:t>
      </w:r>
      <w:r w:rsidRPr="001F446E">
        <w:rPr>
          <w:rFonts w:eastAsia="Calibri" w:cs="Tahoma"/>
          <w:b/>
          <w:szCs w:val="24"/>
          <w:lang w:val="es-ES"/>
        </w:rPr>
        <w:t xml:space="preserve">049 de 1990, en aplicación del régimen de transición previsto en el artículo 36 de la </w:t>
      </w:r>
      <w:r w:rsidR="00AB0190" w:rsidRPr="001F446E">
        <w:rPr>
          <w:rFonts w:eastAsia="Calibri" w:cs="Tahoma"/>
          <w:b/>
          <w:szCs w:val="24"/>
          <w:lang w:val="es-ES"/>
        </w:rPr>
        <w:t xml:space="preserve">Ley </w:t>
      </w:r>
      <w:r w:rsidRPr="001F446E">
        <w:rPr>
          <w:rFonts w:eastAsia="Calibri" w:cs="Tahoma"/>
          <w:b/>
          <w:szCs w:val="24"/>
          <w:lang w:val="es-ES"/>
        </w:rPr>
        <w:t xml:space="preserve">100 de 1993. </w:t>
      </w:r>
    </w:p>
    <w:p w14:paraId="788A0D6A" w14:textId="77777777"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63318395" w14:textId="56A65D57" w:rsidR="009D1D6D" w:rsidRPr="001F446E" w:rsidRDefault="009D1D6D"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1F446E">
        <w:rPr>
          <w:rFonts w:ascii="Tahoma" w:eastAsia="Calibri" w:hAnsi="Tahoma" w:cs="Tahoma"/>
          <w:lang w:val="es-ES"/>
        </w:rPr>
        <w:t xml:space="preserve">Hasta expedición de la sentencia SL-1947 de 2020 (del 1° de julio de 2020, M.P. Iván Mauricio Lenis Gómez) </w:t>
      </w:r>
      <w:r w:rsidR="00322E2F" w:rsidRPr="001F446E">
        <w:rPr>
          <w:rFonts w:ascii="Tahoma" w:eastAsia="Calibri" w:hAnsi="Tahoma" w:cs="Tahoma"/>
          <w:lang w:val="es-ES"/>
        </w:rPr>
        <w:t>l</w:t>
      </w:r>
      <w:r w:rsidRPr="001F446E">
        <w:rPr>
          <w:rFonts w:ascii="Tahoma" w:eastAsia="Calibri" w:hAnsi="Tahoma" w:cs="Tahoma"/>
          <w:lang w:val="es-ES"/>
        </w:rPr>
        <w:t>a Sala Laboral de la Corte Suprema de Justicia tenía adoctrinada la improcedencia de la sumatoria de semanas cotizadas al Instituto de Seguros Sociales (ISS) con tiempos de servicios públicos a efectos de conceder la pensión de vejez contemplada en el Acuerdo 049 de 1990. Ello, bajo el entendido de que esta normativa no previó expresamente tal posibilidad, como sí lo hizo unos años atrás la Ley 71 de 1988.  En tal sentido, la pensión de vejez del Acuerdo 049 de 1990, solo podía configurarse con el cumplimiento de la edad y las semanas de cotización previstas en tal normativa y bajo el presupuesto de que estas fueran efectivamente aportadas al ISS y en los términos fijados por sus reglamentos (así lo indicó, entre otras sentencias en la SL032 de 2018, en la cual se ratifica la línea jurisprudencial expresada en las sentencias SL16104-2014, SL9088- 2015, SL9351- 2016, SL12701-2016, SL11447-2016, SL13153-2016, SL8439-2016, SL18427-2016, SL11256-2016, SL1073- 2017, SL4271-2017 y, más recientemente, en los fallos SL5514-2018, SL4541-2018, SL5614-2019, CSL5580-2019, SL5113-2019, CSL4753-2019, SL4740-2019, SL4739-2019, SL3266-2019, SL2415-2019 y SL507-2020.</w:t>
      </w:r>
    </w:p>
    <w:p w14:paraId="7D91D081" w14:textId="77777777"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203813AC" w14:textId="0B8A8B8D" w:rsidR="009D1D6D" w:rsidRPr="001F446E" w:rsidRDefault="00322E2F"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1F446E">
        <w:rPr>
          <w:rFonts w:ascii="Tahoma" w:eastAsia="Calibri" w:hAnsi="Tahoma" w:cs="Tahoma"/>
          <w:lang w:val="es-ES"/>
        </w:rPr>
        <w:t xml:space="preserve">Sin embargo, en la </w:t>
      </w:r>
      <w:r w:rsidR="009D1D6D" w:rsidRPr="001F446E">
        <w:rPr>
          <w:rFonts w:ascii="Tahoma" w:eastAsia="Calibri" w:hAnsi="Tahoma" w:cs="Tahoma"/>
          <w:lang w:val="es-ES"/>
        </w:rPr>
        <w:t xml:space="preserve">citada sentencia, SL-1947 de 2020, la Corte varió tal precedente, al considerar que si el artículo 36 de la Ley 100 de 1993,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tiempos públicos, así estos no hayan sido objeto de aportes a cajas, fondos o entidades de previsión social y concluyó que </w:t>
      </w:r>
      <w:r w:rsidR="009D1D6D" w:rsidRPr="001F446E">
        <w:rPr>
          <w:rFonts w:ascii="Tahoma" w:eastAsia="Calibri" w:hAnsi="Tahoma" w:cs="Tahoma"/>
          <w:i/>
          <w:lang w:val="es-ES"/>
        </w:rPr>
        <w:t>“</w:t>
      </w:r>
      <w:r w:rsidR="009D1D6D" w:rsidRPr="00956F70">
        <w:rPr>
          <w:rFonts w:ascii="Tahoma" w:eastAsia="Calibri" w:hAnsi="Tahoma" w:cs="Tahoma"/>
          <w:i/>
          <w:sz w:val="22"/>
          <w:lang w:val="es-ES"/>
        </w:rPr>
        <w:t>para establecer que las pensiones de vejez contempladas en el Acuerdo 049 de 1990, aprobado por el Decreto 758 de la misma anualidad, aplicable por vía del régimen de transición de la Ley 100 de 1993, pueden consolidarse con semanas efectivamente cotizadas al ISS, hoy Colpensiones, y los tiempos laborados a entidades públicas</w:t>
      </w:r>
      <w:r w:rsidR="009D1D6D" w:rsidRPr="001F446E">
        <w:rPr>
          <w:rFonts w:ascii="Tahoma" w:eastAsia="Calibri" w:hAnsi="Tahoma" w:cs="Tahoma"/>
          <w:i/>
          <w:lang w:val="es-ES"/>
        </w:rPr>
        <w:t>”.</w:t>
      </w:r>
    </w:p>
    <w:p w14:paraId="225773FE" w14:textId="77777777"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1009AE32" w14:textId="6C59E383"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r w:rsidRPr="001F446E">
        <w:rPr>
          <w:rFonts w:ascii="Tahoma" w:eastAsia="Calibri" w:hAnsi="Tahoma" w:cs="Tahoma"/>
          <w:lang w:val="es-ES"/>
        </w:rPr>
        <w:tab/>
        <w:t xml:space="preserve">Cabe agregar que la variación de la interpretación imperante en la Corte Suprema de Justicia también fue acogida por la Magistrada Clara Cecilia Dueñas Quevedo, en la sentencia SL1981 de 2020, también del 1° de julio de 2020, en la que señaló que </w:t>
      </w:r>
      <w:r w:rsidR="00322E2F" w:rsidRPr="001F446E">
        <w:rPr>
          <w:rFonts w:ascii="Tahoma" w:eastAsia="Calibri" w:hAnsi="Tahoma" w:cs="Tahoma"/>
          <w:lang w:val="es-ES"/>
        </w:rPr>
        <w:t xml:space="preserve">si </w:t>
      </w:r>
      <w:r w:rsidRPr="001F446E">
        <w:rPr>
          <w:rFonts w:ascii="Tahoma" w:eastAsia="Calibri" w:hAnsi="Tahoma" w:cs="Tahoma"/>
          <w:lang w:val="es-ES"/>
        </w:rPr>
        <w:t>el contexto histórico y social cambia, la jurisprudencia puede y debe reflexionar para dar paso a renovadas y contundentes soluciones acordes a dicha transformación</w:t>
      </w:r>
      <w:r w:rsidR="00322E2F" w:rsidRPr="001F446E">
        <w:rPr>
          <w:rFonts w:ascii="Tahoma" w:eastAsia="Calibri" w:hAnsi="Tahoma" w:cs="Tahoma"/>
          <w:lang w:val="es-ES"/>
        </w:rPr>
        <w:t xml:space="preserve">, </w:t>
      </w:r>
      <w:r w:rsidRPr="001F446E">
        <w:rPr>
          <w:rFonts w:ascii="Tahoma" w:eastAsia="Calibri" w:hAnsi="Tahoma" w:cs="Tahoma"/>
          <w:lang w:val="es-ES"/>
        </w:rPr>
        <w:t xml:space="preserve">con mayor razón cuando la nueva línea de pensamiento contribuye al desarrollo de los derechos fundamentales de los ciudadanos. En este sentido, la jurisprudencia es, esencialmente, dinámica, viva y siempre abierta a la reflexión y al cambio para evolucionar. Y añadió que, si bien en un preciso momento las razones que surgieron en favor de la postura que abogaba por la imposibilidad de acumular </w:t>
      </w:r>
      <w:r w:rsidRPr="001F446E">
        <w:rPr>
          <w:rFonts w:ascii="Tahoma" w:eastAsia="Calibri" w:hAnsi="Tahoma" w:cs="Tahoma"/>
          <w:lang w:val="es-ES"/>
        </w:rPr>
        <w:lastRenderedPageBreak/>
        <w:t>cotizaciones al ISS con tiempos laborados en el sector público no sufragados a esta entidad, eran relevantes y estaban fundamentas en raciocinios plausibles, en la actualidad, al ser contrastadas con otros argumentos han perdido peso, al punto de quedar totalmente eclipsadas.</w:t>
      </w:r>
    </w:p>
    <w:p w14:paraId="5E6C5C40" w14:textId="77777777"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7E1BE3E7" w14:textId="77777777" w:rsidR="009D1D6D" w:rsidRPr="001F446E" w:rsidRDefault="009D1D6D"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1F446E">
        <w:rPr>
          <w:rFonts w:ascii="Tahoma" w:eastAsia="Calibri" w:hAnsi="Tahoma" w:cs="Tahoma"/>
          <w:lang w:val="es-ES"/>
        </w:rPr>
        <w:t>Luego de ese preámbulo, explicó que la jurisprudencia de la Sala de Casación Laboral ha avanzado en una línea que aboga por darle efecto a todos los tiempos laborados para cubrir pensiones de la Ley 100 de 1993, dentro de las cuales se encuentran las del régimen de transición, pues no hay razón alguna que justifique inaplicar en estos casos el literal f) del artículo 13 y el parágrafo 1° del artículo 33 de la Ley 100 de 1993, disposiciones que, expresamente, consagran la suma de tiempos públicos, hayan sido o no objeto de aportes a cajas, fondos o entidades de previsión social, pues, en estricto rigor, los beneficiarios del régimen de transición se encuentran afiliados al Sistema General de Pensiones, conforme lo prevé el artículo 15 de la Ley 100 de 1993, luego les asiste el derecho a la portabilidad de las semanas efectivamente laboradas, independientemente de que su empleador público no las hubiera cotizado al ISS o a otra caja o entidad de previsión social.</w:t>
      </w:r>
    </w:p>
    <w:p w14:paraId="0F032143" w14:textId="77777777" w:rsidR="009D1D6D" w:rsidRPr="001F446E" w:rsidRDefault="009D1D6D" w:rsidP="001F446E">
      <w:pPr>
        <w:widowControl w:val="0"/>
        <w:autoSpaceDE w:val="0"/>
        <w:autoSpaceDN w:val="0"/>
        <w:spacing w:before="0" w:beforeAutospacing="0" w:after="0" w:afterAutospacing="0" w:line="276" w:lineRule="auto"/>
        <w:ind w:firstLine="0"/>
        <w:contextualSpacing/>
        <w:rPr>
          <w:rFonts w:ascii="Tahoma" w:eastAsia="Calibri" w:hAnsi="Tahoma" w:cs="Tahoma"/>
          <w:lang w:val="es-ES"/>
        </w:rPr>
      </w:pPr>
    </w:p>
    <w:p w14:paraId="38B80F4F" w14:textId="7E63EC71" w:rsidR="009D1D6D" w:rsidRPr="001F446E" w:rsidRDefault="009D1D6D"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1F446E">
        <w:rPr>
          <w:rFonts w:ascii="Tahoma" w:eastAsia="Calibri" w:hAnsi="Tahoma" w:cs="Tahoma"/>
          <w:lang w:val="es-ES"/>
        </w:rPr>
        <w:t xml:space="preserve">En consonancia con el cambio jurisprudencial esbozado, esta Sala </w:t>
      </w:r>
      <w:r w:rsidR="00322E2F" w:rsidRPr="001F446E">
        <w:rPr>
          <w:rFonts w:ascii="Tahoma" w:eastAsia="Calibri" w:hAnsi="Tahoma" w:cs="Tahoma"/>
          <w:lang w:val="es-ES"/>
        </w:rPr>
        <w:t xml:space="preserve">adoptó mayoritariamente este </w:t>
      </w:r>
      <w:r w:rsidRPr="001F446E">
        <w:rPr>
          <w:rFonts w:ascii="Tahoma" w:eastAsia="Calibri" w:hAnsi="Tahoma" w:cs="Tahoma"/>
          <w:lang w:val="es-ES"/>
        </w:rPr>
        <w:t>precedente</w:t>
      </w:r>
      <w:r w:rsidR="00980AC1" w:rsidRPr="001F446E">
        <w:rPr>
          <w:rFonts w:ascii="Tahoma" w:eastAsia="Calibri" w:hAnsi="Tahoma" w:cs="Tahoma"/>
          <w:lang w:val="es-ES"/>
        </w:rPr>
        <w:t xml:space="preserve">, </w:t>
      </w:r>
      <w:r w:rsidRPr="001F446E">
        <w:rPr>
          <w:rFonts w:ascii="Tahoma" w:eastAsia="Calibri" w:hAnsi="Tahoma" w:cs="Tahoma"/>
          <w:lang w:val="es-ES"/>
        </w:rPr>
        <w:t xml:space="preserve">según </w:t>
      </w:r>
      <w:r w:rsidR="00980AC1" w:rsidRPr="001F446E">
        <w:rPr>
          <w:rFonts w:ascii="Tahoma" w:eastAsia="Calibri" w:hAnsi="Tahoma" w:cs="Tahoma"/>
          <w:lang w:val="es-ES"/>
        </w:rPr>
        <w:t>el</w:t>
      </w:r>
      <w:r w:rsidRPr="001F446E">
        <w:rPr>
          <w:rFonts w:ascii="Tahoma" w:eastAsia="Calibri" w:hAnsi="Tahoma" w:cs="Tahoma"/>
          <w:lang w:val="es-ES"/>
        </w:rPr>
        <w:t xml:space="preserve"> cual los beneficiarios del régimen de transición, son afiliados del sistema general de seguridad social y, por consiguiente, salvo en lo que respecta a la edad, tiempo y monto de la pensión, las directrices, principios y reglas de la Ley 100 de 1993 les aplica en su integridad, lo que incluye la posibilidad de sumar todas las semanas laboradas en el sector público, sin importar si fueron o no cotizadas al ISS, hoy Colpensiones. </w:t>
      </w:r>
    </w:p>
    <w:p w14:paraId="53F5ADF6" w14:textId="131FAACF" w:rsidR="009A5088" w:rsidRPr="001F446E" w:rsidRDefault="009A5088"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p>
    <w:p w14:paraId="3343BEAC" w14:textId="3B95F3B3" w:rsidR="009A5088" w:rsidRPr="001F446E" w:rsidRDefault="009A5088"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r w:rsidRPr="001F446E">
        <w:rPr>
          <w:rFonts w:ascii="Tahoma" w:eastAsia="Calibri" w:hAnsi="Tahoma" w:cs="Tahoma"/>
          <w:lang w:val="es-ES"/>
        </w:rPr>
        <w:t>No sobra anotar, finalmente, que tal criterio ya había sido adoptado por la Corte Constitucional desde el año 2009, con la sentencia T-090 de 2009, ratificada en las sentencias T583 y T-760 de 2010, T-334 y T-559 de 2011, T-100 y T-360 de 2012, T-063 y T-596 de 2013, SU-769 de 2014 y SU-057 de 2018.</w:t>
      </w:r>
    </w:p>
    <w:p w14:paraId="226C4F16" w14:textId="77777777" w:rsidR="00980AC1" w:rsidRPr="001F446E" w:rsidRDefault="00980AC1" w:rsidP="001F446E">
      <w:pPr>
        <w:widowControl w:val="0"/>
        <w:autoSpaceDE w:val="0"/>
        <w:autoSpaceDN w:val="0"/>
        <w:spacing w:before="0" w:beforeAutospacing="0" w:after="0" w:afterAutospacing="0" w:line="276" w:lineRule="auto"/>
        <w:ind w:firstLine="708"/>
        <w:contextualSpacing/>
        <w:rPr>
          <w:rFonts w:ascii="Tahoma" w:eastAsia="Calibri" w:hAnsi="Tahoma" w:cs="Tahoma"/>
          <w:lang w:val="es-ES"/>
        </w:rPr>
      </w:pPr>
    </w:p>
    <w:p w14:paraId="52B9F378" w14:textId="474532B7" w:rsidR="009D1D6D" w:rsidRPr="001F446E" w:rsidRDefault="006806E3" w:rsidP="001F446E">
      <w:pPr>
        <w:pStyle w:val="Prrafodelista"/>
        <w:widowControl w:val="0"/>
        <w:numPr>
          <w:ilvl w:val="1"/>
          <w:numId w:val="1"/>
        </w:numPr>
        <w:autoSpaceDE w:val="0"/>
        <w:autoSpaceDN w:val="0"/>
        <w:spacing w:line="276" w:lineRule="auto"/>
        <w:rPr>
          <w:rFonts w:cs="Tahoma"/>
          <w:b/>
          <w:bCs/>
          <w:szCs w:val="24"/>
        </w:rPr>
      </w:pPr>
      <w:r w:rsidRPr="001F446E">
        <w:rPr>
          <w:rStyle w:val="normaltextrun"/>
          <w:rFonts w:cs="Tahoma"/>
          <w:b/>
          <w:bCs/>
          <w:szCs w:val="24"/>
        </w:rPr>
        <w:t>Mora patronal y falta de afiliación </w:t>
      </w:r>
      <w:r w:rsidRPr="001F446E">
        <w:rPr>
          <w:rStyle w:val="eop"/>
          <w:rFonts w:cs="Tahoma"/>
          <w:b/>
          <w:bCs/>
          <w:szCs w:val="24"/>
        </w:rPr>
        <w:t> </w:t>
      </w:r>
    </w:p>
    <w:p w14:paraId="149A45E0" w14:textId="1A51BEC7" w:rsidR="009D1D6D" w:rsidRPr="001F446E" w:rsidRDefault="009D1D6D" w:rsidP="0016481C">
      <w:pPr>
        <w:pStyle w:val="paragraph"/>
        <w:spacing w:before="0" w:beforeAutospacing="0" w:after="0" w:afterAutospacing="0" w:line="276" w:lineRule="auto"/>
        <w:ind w:left="720"/>
        <w:jc w:val="both"/>
        <w:textAlignment w:val="baseline"/>
        <w:rPr>
          <w:rFonts w:ascii="Tahoma" w:hAnsi="Tahoma" w:cs="Tahoma"/>
        </w:rPr>
      </w:pPr>
      <w:r w:rsidRPr="001F446E">
        <w:rPr>
          <w:rStyle w:val="eop"/>
          <w:rFonts w:ascii="Tahoma" w:hAnsi="Tahoma" w:cs="Tahoma"/>
        </w:rPr>
        <w:t> </w:t>
      </w:r>
      <w:r w:rsidRPr="001F446E">
        <w:rPr>
          <w:rStyle w:val="normaltextrun"/>
          <w:rFonts w:ascii="Tahoma" w:hAnsi="Tahoma" w:cs="Tahoma"/>
        </w:rPr>
        <w:t> </w:t>
      </w:r>
      <w:r w:rsidRPr="001F446E">
        <w:rPr>
          <w:rStyle w:val="eop"/>
          <w:rFonts w:ascii="Tahoma" w:hAnsi="Tahoma" w:cs="Tahoma"/>
        </w:rPr>
        <w:t> </w:t>
      </w:r>
    </w:p>
    <w:p w14:paraId="7D7760F0" w14:textId="77777777" w:rsidR="009D1D6D" w:rsidRPr="001F446E" w:rsidRDefault="009D1D6D" w:rsidP="001F446E">
      <w:pPr>
        <w:pStyle w:val="paragraph"/>
        <w:spacing w:before="0" w:beforeAutospacing="0" w:after="0" w:afterAutospacing="0" w:line="276" w:lineRule="auto"/>
        <w:ind w:firstLine="708"/>
        <w:jc w:val="both"/>
        <w:textAlignment w:val="baseline"/>
        <w:rPr>
          <w:rFonts w:ascii="Tahoma" w:hAnsi="Tahoma" w:cs="Tahoma"/>
        </w:rPr>
      </w:pPr>
      <w:bookmarkStart w:id="6" w:name="_Hlk106044079"/>
      <w:r w:rsidRPr="001F446E">
        <w:rPr>
          <w:rStyle w:val="normaltextrun"/>
          <w:rFonts w:ascii="Tahoma" w:hAnsi="Tahoma" w:cs="Tahoma"/>
        </w:rPr>
        <w:t>La jurisprudencia patria ha sido clara en determinar que ni la mora en el pago de los aportes ni la falta de afiliación por parte del empleador pueden perjudicar las aspiraciones del trabajador de obtener el reconocimiento pensional, sumándose los tiempos echados de menos por la omisión de las obligaciones del patrono, siempre que en el curso del proceso logre demostrar el vínculo contractual durante los periodos incumplidos. Esto por cuanto el trabajador que cumplió con sus obligaciones, en el entendido de prestar el servicio, no tiene por qué soportar la negligencia de los restantes actores del sistema.  </w:t>
      </w:r>
      <w:r w:rsidRPr="001F446E">
        <w:rPr>
          <w:rStyle w:val="eop"/>
          <w:rFonts w:ascii="Tahoma" w:hAnsi="Tahoma" w:cs="Tahoma"/>
        </w:rPr>
        <w:t> </w:t>
      </w:r>
    </w:p>
    <w:p w14:paraId="67CECABA" w14:textId="77777777" w:rsidR="009D1D6D" w:rsidRPr="001F446E" w:rsidRDefault="009D1D6D" w:rsidP="001F446E">
      <w:pPr>
        <w:pStyle w:val="paragraph"/>
        <w:spacing w:before="0" w:beforeAutospacing="0" w:after="0" w:afterAutospacing="0" w:line="276" w:lineRule="auto"/>
        <w:jc w:val="both"/>
        <w:textAlignment w:val="baseline"/>
        <w:rPr>
          <w:rFonts w:ascii="Tahoma" w:hAnsi="Tahoma" w:cs="Tahoma"/>
        </w:rPr>
      </w:pPr>
      <w:r w:rsidRPr="001F446E">
        <w:rPr>
          <w:rStyle w:val="normaltextrun"/>
          <w:rFonts w:ascii="Tahoma" w:hAnsi="Tahoma" w:cs="Tahoma"/>
        </w:rPr>
        <w:t> </w:t>
      </w:r>
      <w:r w:rsidRPr="001F446E">
        <w:rPr>
          <w:rStyle w:val="eop"/>
          <w:rFonts w:ascii="Tahoma" w:hAnsi="Tahoma" w:cs="Tahoma"/>
        </w:rPr>
        <w:t> </w:t>
      </w:r>
    </w:p>
    <w:p w14:paraId="03441F03" w14:textId="77777777" w:rsidR="009D1D6D" w:rsidRPr="001F446E" w:rsidRDefault="009D1D6D" w:rsidP="001F446E">
      <w:pPr>
        <w:pStyle w:val="paragraph"/>
        <w:spacing w:before="0" w:beforeAutospacing="0" w:after="0" w:afterAutospacing="0" w:line="276" w:lineRule="auto"/>
        <w:ind w:firstLine="705"/>
        <w:jc w:val="both"/>
        <w:textAlignment w:val="baseline"/>
        <w:rPr>
          <w:rStyle w:val="eop"/>
          <w:rFonts w:ascii="Tahoma" w:hAnsi="Tahoma" w:cs="Tahoma"/>
        </w:rPr>
      </w:pPr>
      <w:r w:rsidRPr="001F446E">
        <w:rPr>
          <w:rStyle w:val="normaltextrun"/>
          <w:rFonts w:ascii="Tahoma" w:hAnsi="Tahoma" w:cs="Tahoma"/>
        </w:rPr>
        <w:t xml:space="preserve">No obstante, </w:t>
      </w:r>
      <w:bookmarkStart w:id="7" w:name="_Hlk113356008"/>
      <w:r w:rsidRPr="001F446E">
        <w:rPr>
          <w:rStyle w:val="normaltextrun"/>
          <w:rFonts w:ascii="Tahoma" w:hAnsi="Tahoma" w:cs="Tahoma"/>
        </w:rPr>
        <w:t xml:space="preserve">si bien en ambos supuestos (mora y falta de afiliación), una vez acreditada la relación laboral, la obligación de reconocimiento de la prestación está a cargo de la administradora pensional; dependiendo de la situación que se presente, al empleador le compete o bien efectuar el pago de los aportes debidos con los </w:t>
      </w:r>
      <w:r w:rsidRPr="001F446E">
        <w:rPr>
          <w:rStyle w:val="normaltextrun"/>
          <w:rFonts w:ascii="Tahoma" w:hAnsi="Tahoma" w:cs="Tahoma"/>
        </w:rPr>
        <w:lastRenderedPageBreak/>
        <w:t>respectivos intereses moratorios, caso de la mora patronal o  tratándose de la falta de afiliación, cancelar el cálculo actuarial por los tiempos en que no hubo inscripción al sistema pensional</w:t>
      </w:r>
      <w:bookmarkEnd w:id="7"/>
      <w:r w:rsidRPr="001F446E">
        <w:rPr>
          <w:rStyle w:val="normaltextrun"/>
          <w:rFonts w:ascii="Tahoma" w:hAnsi="Tahoma" w:cs="Tahoma"/>
        </w:rPr>
        <w:t>, toda vez que en este último caso, no le era posible efectuar las acciones de cobro, que eran su responsabilidad en el caso de la mora. </w:t>
      </w:r>
      <w:r w:rsidRPr="001F446E">
        <w:rPr>
          <w:rStyle w:val="eop"/>
          <w:rFonts w:ascii="Tahoma" w:hAnsi="Tahoma" w:cs="Tahoma"/>
        </w:rPr>
        <w:t> Así lo explicó el máximo órgano de cierre en la sentencia SL 4336 de 2021</w:t>
      </w:r>
      <w:r w:rsidRPr="001F446E">
        <w:rPr>
          <w:rStyle w:val="Refdenotaalpie"/>
          <w:rFonts w:ascii="Tahoma" w:hAnsi="Tahoma" w:cs="Tahoma"/>
        </w:rPr>
        <w:footnoteReference w:id="2"/>
      </w:r>
      <w:r w:rsidRPr="001F446E">
        <w:rPr>
          <w:rStyle w:val="eop"/>
          <w:rFonts w:ascii="Tahoma" w:hAnsi="Tahoma" w:cs="Tahoma"/>
        </w:rPr>
        <w:t>:</w:t>
      </w:r>
    </w:p>
    <w:p w14:paraId="6766569B" w14:textId="77777777" w:rsidR="009D1D6D" w:rsidRPr="001F446E" w:rsidRDefault="009D1D6D" w:rsidP="001F446E">
      <w:pPr>
        <w:pStyle w:val="paragraph"/>
        <w:spacing w:before="0" w:beforeAutospacing="0" w:after="0" w:afterAutospacing="0" w:line="276" w:lineRule="auto"/>
        <w:ind w:firstLine="705"/>
        <w:jc w:val="both"/>
        <w:textAlignment w:val="baseline"/>
        <w:rPr>
          <w:rFonts w:ascii="Tahoma" w:hAnsi="Tahoma" w:cs="Tahoma"/>
        </w:rPr>
      </w:pPr>
    </w:p>
    <w:p w14:paraId="5C157211" w14:textId="117AF776" w:rsidR="009D1D6D" w:rsidRPr="0016481C" w:rsidRDefault="009D1D6D" w:rsidP="0016481C">
      <w:pPr>
        <w:pStyle w:val="paragraph"/>
        <w:spacing w:before="0" w:beforeAutospacing="0" w:after="0" w:afterAutospacing="0"/>
        <w:ind w:left="426" w:right="420"/>
        <w:jc w:val="both"/>
        <w:textAlignment w:val="baseline"/>
        <w:rPr>
          <w:rFonts w:ascii="Tahoma" w:eastAsia="Bookman Old Style" w:hAnsi="Tahoma" w:cs="Tahoma"/>
          <w:i/>
          <w:iCs/>
          <w:sz w:val="22"/>
          <w:lang w:val="es"/>
        </w:rPr>
      </w:pPr>
      <w:r w:rsidRPr="0016481C">
        <w:rPr>
          <w:rStyle w:val="normaltextrun"/>
          <w:rFonts w:ascii="Tahoma" w:hAnsi="Tahoma" w:cs="Tahoma"/>
          <w:i/>
          <w:iCs/>
          <w:sz w:val="22"/>
        </w:rPr>
        <w:t>“</w:t>
      </w:r>
      <w:r w:rsidR="0016481C" w:rsidRPr="0016481C">
        <w:rPr>
          <w:rStyle w:val="normaltextrun"/>
          <w:rFonts w:ascii="Tahoma" w:hAnsi="Tahoma" w:cs="Tahoma"/>
          <w:i/>
          <w:iCs/>
          <w:sz w:val="22"/>
        </w:rPr>
        <w:t>L</w:t>
      </w:r>
      <w:r w:rsidRPr="0016481C">
        <w:rPr>
          <w:rFonts w:ascii="Tahoma" w:eastAsia="Bookman Old Style" w:hAnsi="Tahoma" w:cs="Tahoma"/>
          <w:i/>
          <w:iCs/>
          <w:sz w:val="22"/>
          <w:lang w:val="es"/>
        </w:rPr>
        <w:t>la Sala ha adoctrinado que la administradora de pensiones debe asumir el pago de la pensión respectiva cuando no adelanta las acciones pertinentes para obtener el recaudo de los aportes que registran en mora en la historia laboral y estos son suficientes para alcanzar el derecho pensional (CSJ SL2074-2020, CSJ SL6030-2017, CSJ SL3399-2018</w:t>
      </w:r>
      <w:r w:rsidRPr="0016481C">
        <w:rPr>
          <w:rFonts w:ascii="Tahoma" w:eastAsia="Bookman Old Style" w:hAnsi="Tahoma" w:cs="Tahoma"/>
          <w:i/>
          <w:iCs/>
          <w:sz w:val="22"/>
          <w:lang w:val="es" w:eastAsia="es-ES"/>
        </w:rPr>
        <w:t xml:space="preserve"> </w:t>
      </w:r>
      <w:r w:rsidRPr="0016481C">
        <w:rPr>
          <w:rFonts w:ascii="Tahoma" w:eastAsia="Bookman Old Style" w:hAnsi="Tahoma" w:cs="Tahoma"/>
          <w:i/>
          <w:iCs/>
          <w:sz w:val="22"/>
          <w:lang w:val="es"/>
        </w:rPr>
        <w:t>y CSJ SL3550-2018), este criterio presupone que el trabajador dependiente estaba afiliado al sistema en los términos del artículo 15 de la Ley 100 de 1993, pues solo así puede predicarse su estado de cotizante, que no debe anularse por el hecho de que se presente mora en el pago de los periodos.</w:t>
      </w:r>
    </w:p>
    <w:p w14:paraId="3DC5ED63" w14:textId="77777777" w:rsidR="009D1D6D" w:rsidRPr="0016481C" w:rsidRDefault="009D1D6D" w:rsidP="0016481C">
      <w:pPr>
        <w:pStyle w:val="paragraph"/>
        <w:spacing w:before="0" w:beforeAutospacing="0" w:after="0" w:afterAutospacing="0"/>
        <w:ind w:left="426" w:right="420"/>
        <w:jc w:val="both"/>
        <w:textAlignment w:val="baseline"/>
        <w:rPr>
          <w:rFonts w:ascii="Tahoma" w:eastAsia="Bookman Old Style" w:hAnsi="Tahoma" w:cs="Tahoma"/>
          <w:i/>
          <w:iCs/>
          <w:sz w:val="22"/>
          <w:lang w:val="es"/>
        </w:rPr>
      </w:pPr>
    </w:p>
    <w:p w14:paraId="0385F929" w14:textId="07C9D06B" w:rsidR="009D1D6D" w:rsidRPr="0016481C" w:rsidRDefault="009D1D6D" w:rsidP="0016481C">
      <w:pPr>
        <w:spacing w:before="0" w:beforeAutospacing="0" w:after="0" w:afterAutospacing="0" w:line="240" w:lineRule="auto"/>
        <w:ind w:left="426" w:right="420" w:firstLine="0"/>
        <w:rPr>
          <w:rStyle w:val="eop"/>
          <w:rFonts w:ascii="Tahoma" w:hAnsi="Tahoma" w:cs="Tahoma"/>
          <w:i/>
          <w:iCs/>
          <w:sz w:val="22"/>
        </w:rPr>
      </w:pPr>
      <w:r w:rsidRPr="0016481C">
        <w:rPr>
          <w:rFonts w:ascii="Tahoma" w:eastAsia="Bookman Old Style" w:hAnsi="Tahoma" w:cs="Tahoma"/>
          <w:i/>
          <w:iCs/>
          <w:sz w:val="22"/>
          <w:lang w:val="es"/>
        </w:rPr>
        <w:t>En otros términos, no basta que se acredite razonablemente o se tenga una inferencia plausible sobre la relación laboral efectiva, condición también necesaria (</w:t>
      </w:r>
      <w:r w:rsidRPr="0016481C">
        <w:rPr>
          <w:rFonts w:ascii="Tahoma" w:eastAsia="Bookman Old Style" w:hAnsi="Tahoma" w:cs="Tahoma"/>
          <w:i/>
          <w:iCs/>
          <w:sz w:val="22"/>
        </w:rPr>
        <w:t xml:space="preserve">CSJ SL1355-2019 y CSJ SL3056-2019), </w:t>
      </w:r>
      <w:r w:rsidRPr="0016481C">
        <w:rPr>
          <w:rFonts w:ascii="Tahoma" w:eastAsia="Bookman Old Style" w:hAnsi="Tahoma" w:cs="Tahoma"/>
          <w:i/>
          <w:iCs/>
          <w:sz w:val="22"/>
          <w:lang w:val="es"/>
        </w:rPr>
        <w:t>sino además que el empleador cumplió con su obligación de afiliar al trabajador y reportar al ente pensional la vigencia del vínculo que genera la obligación de cotizar, de modo que en favor de este último se configure una deuda o crédito cobrable ante el incumplimiento en el pago del aporte</w:t>
      </w:r>
      <w:r w:rsidR="009A5088" w:rsidRPr="0016481C">
        <w:rPr>
          <w:rFonts w:ascii="Tahoma" w:eastAsia="Bookman Old Style" w:hAnsi="Tahoma" w:cs="Tahoma"/>
          <w:i/>
          <w:iCs/>
          <w:sz w:val="22"/>
          <w:lang w:val="es"/>
        </w:rPr>
        <w:t xml:space="preserve">s </w:t>
      </w:r>
      <w:r w:rsidRPr="0016481C">
        <w:rPr>
          <w:rStyle w:val="eop"/>
          <w:rFonts w:ascii="Tahoma" w:hAnsi="Tahoma" w:cs="Tahoma"/>
          <w:i/>
          <w:iCs/>
          <w:sz w:val="22"/>
        </w:rPr>
        <w:t xml:space="preserve">(…) </w:t>
      </w:r>
      <w:r w:rsidRPr="0016481C">
        <w:rPr>
          <w:rFonts w:ascii="Tahoma" w:hAnsi="Tahoma" w:cs="Tahoma"/>
          <w:i/>
          <w:iCs/>
          <w:sz w:val="22"/>
        </w:rPr>
        <w:t>Lo anterior por cuanto al no mediar afiliación o inscripción, no surge la cotización que permita hablar de mora en el cubrimiento de aportes, ni se abren paso las acciones de cobro que contemplan las normas referentes a la recaudación de cotizaciones.</w:t>
      </w:r>
    </w:p>
    <w:p w14:paraId="45B43B3D" w14:textId="77777777" w:rsidR="009D1D6D" w:rsidRPr="001F446E" w:rsidRDefault="009D1D6D" w:rsidP="001F446E">
      <w:pPr>
        <w:pStyle w:val="paragraph"/>
        <w:spacing w:before="0" w:beforeAutospacing="0" w:after="0" w:afterAutospacing="0" w:line="276" w:lineRule="auto"/>
        <w:jc w:val="both"/>
        <w:textAlignment w:val="baseline"/>
        <w:rPr>
          <w:rFonts w:ascii="Tahoma" w:hAnsi="Tahoma" w:cs="Tahoma"/>
        </w:rPr>
      </w:pPr>
    </w:p>
    <w:p w14:paraId="2E51667B" w14:textId="77777777" w:rsidR="009D1D6D" w:rsidRPr="001F446E" w:rsidRDefault="009D1D6D" w:rsidP="001F446E">
      <w:pPr>
        <w:pStyle w:val="paragraph"/>
        <w:spacing w:before="0" w:beforeAutospacing="0" w:after="0" w:afterAutospacing="0" w:line="276" w:lineRule="auto"/>
        <w:ind w:firstLine="705"/>
        <w:jc w:val="both"/>
        <w:textAlignment w:val="baseline"/>
        <w:rPr>
          <w:rFonts w:ascii="Tahoma" w:hAnsi="Tahoma" w:cs="Tahoma"/>
        </w:rPr>
      </w:pPr>
      <w:r w:rsidRPr="001F446E">
        <w:rPr>
          <w:rStyle w:val="normaltextrun"/>
          <w:rFonts w:ascii="Tahoma" w:hAnsi="Tahoma" w:cs="Tahoma"/>
        </w:rPr>
        <w:t xml:space="preserve">En ese entendido, en el caso de la mora o el pago tardío de aportes, cuando no hay gestión de cobro por parte de la entidad de seguridad social, no puede existir la declaratoria de </w:t>
      </w:r>
      <w:r w:rsidRPr="001F446E">
        <w:rPr>
          <w:rStyle w:val="normaltextrun"/>
          <w:rFonts w:ascii="Tahoma" w:hAnsi="Tahoma" w:cs="Tahoma"/>
          <w:i/>
          <w:iCs/>
        </w:rPr>
        <w:t>«deuda incobrable»</w:t>
      </w:r>
      <w:r w:rsidRPr="001F446E">
        <w:rPr>
          <w:rStyle w:val="normaltextrun"/>
          <w:rFonts w:ascii="Tahoma" w:hAnsi="Tahoma" w:cs="Tahoma"/>
        </w:rPr>
        <w:t xml:space="preserve"> sobre las cotizaciones que se registran en mora, por lo que no cabrían los efectos del artículo 75 del Decreto 2665 de 1988, cuáles son los de tener por inexistentes esas cotizaciones, por lo que, al cumplir el trabajador con la carga de probar que prestó el servicio por los periodos que echa de menos en su historia laboral, es procedente ordenar vía judicial el reconocimiento pensional, teniendo en cuenta tales periodos. Asimismo, ocurre en cuanto a la falta de afiliación del trabajador por parte de su empleador, pues si bien la entidad de seguridad social no tuvo la oportunidad de efectuar acciones cobro sobre unos periodos que no conoció, el derecho pensional del trabajador no puede ceder ante la negligencia del patrono y, por ende, en estos casos, judicialmente es viable ordenar el pago del cálculo actuarial al empleador con destino a la administradora pensional, y esta última, a su vez reconocer la pensión deprecada.  </w:t>
      </w:r>
      <w:r w:rsidRPr="001F446E">
        <w:rPr>
          <w:rStyle w:val="eop"/>
          <w:rFonts w:ascii="Tahoma" w:hAnsi="Tahoma" w:cs="Tahoma"/>
        </w:rPr>
        <w:t> </w:t>
      </w:r>
    </w:p>
    <w:p w14:paraId="03D555ED" w14:textId="77777777" w:rsidR="009D1D6D" w:rsidRPr="001F446E" w:rsidRDefault="009D1D6D" w:rsidP="001F446E">
      <w:pPr>
        <w:pStyle w:val="paragraph"/>
        <w:spacing w:before="0" w:beforeAutospacing="0" w:after="0" w:afterAutospacing="0" w:line="276" w:lineRule="auto"/>
        <w:ind w:firstLine="705"/>
        <w:jc w:val="both"/>
        <w:textAlignment w:val="baseline"/>
        <w:rPr>
          <w:rFonts w:ascii="Tahoma" w:hAnsi="Tahoma" w:cs="Tahoma"/>
        </w:rPr>
      </w:pPr>
      <w:r w:rsidRPr="001F446E">
        <w:rPr>
          <w:rStyle w:val="eop"/>
          <w:rFonts w:ascii="Tahoma" w:hAnsi="Tahoma" w:cs="Tahoma"/>
        </w:rPr>
        <w:t> </w:t>
      </w:r>
    </w:p>
    <w:p w14:paraId="12FD1AF6" w14:textId="08750126" w:rsidR="009D1D6D" w:rsidRPr="001F446E" w:rsidRDefault="009D1D6D" w:rsidP="001F446E">
      <w:pPr>
        <w:pStyle w:val="paragraph"/>
        <w:spacing w:before="0" w:beforeAutospacing="0" w:after="0" w:afterAutospacing="0" w:line="276" w:lineRule="auto"/>
        <w:ind w:firstLine="703"/>
        <w:jc w:val="both"/>
        <w:textAlignment w:val="baseline"/>
        <w:rPr>
          <w:rStyle w:val="eop"/>
          <w:rFonts w:ascii="Tahoma" w:hAnsi="Tahoma" w:cs="Tahoma"/>
        </w:rPr>
      </w:pPr>
      <w:r w:rsidRPr="001F446E">
        <w:rPr>
          <w:rStyle w:val="normaltextrun"/>
          <w:rFonts w:ascii="Tahoma" w:hAnsi="Tahoma" w:cs="Tahoma"/>
        </w:rPr>
        <w:t xml:space="preserve">En el último caso, para que los periodos sean tenidos en cuenta a efectos de contabilizar las semanas cotizadas, se requiere la cancelación previa y a satisfacción del cálculo actuarial ante el fondo de pensiones, aportes que deben ser imputados al periodo correspondiente, con independencia de que la deuda haya sido cancelada con posterioridad, permitiendo el reconocimiento de las prestaciones, sin resquebrajar la estabilidad financiera del sistema, conforme lo precisó la Corte, en sentencia CSJ SL 3070 del 19 de agosto de 2020, Magistrado Ponente Luis Benedicto Herrera Diaz, </w:t>
      </w:r>
      <w:r w:rsidRPr="001F446E">
        <w:rPr>
          <w:rStyle w:val="normaltextrun"/>
          <w:rFonts w:ascii="Tahoma" w:hAnsi="Tahoma" w:cs="Tahoma"/>
        </w:rPr>
        <w:lastRenderedPageBreak/>
        <w:t>memorada por esta Corporación en providencia del 09 de diciembre de 2020, radicado 66001-31-05-004-2018-00433-01, Magistrado Ponente Julio César Salazar Muñoz, en la que se expone:</w:t>
      </w:r>
      <w:r w:rsidRPr="001F446E">
        <w:rPr>
          <w:rStyle w:val="eop"/>
          <w:rFonts w:ascii="Tahoma" w:hAnsi="Tahoma" w:cs="Tahoma"/>
        </w:rPr>
        <w:t> </w:t>
      </w:r>
    </w:p>
    <w:p w14:paraId="0BB9D551" w14:textId="77777777" w:rsidR="009A5088" w:rsidRPr="001F446E" w:rsidRDefault="009A5088" w:rsidP="001F446E">
      <w:pPr>
        <w:pStyle w:val="paragraph"/>
        <w:spacing w:before="0" w:beforeAutospacing="0" w:after="0" w:afterAutospacing="0" w:line="276" w:lineRule="auto"/>
        <w:ind w:firstLine="703"/>
        <w:jc w:val="both"/>
        <w:textAlignment w:val="baseline"/>
        <w:rPr>
          <w:rStyle w:val="eop"/>
          <w:rFonts w:ascii="Tahoma" w:hAnsi="Tahoma" w:cs="Tahoma"/>
        </w:rPr>
      </w:pPr>
    </w:p>
    <w:p w14:paraId="5039F5A2" w14:textId="2BB2F681" w:rsidR="009A5088" w:rsidRPr="00531A31" w:rsidRDefault="009D1D6D" w:rsidP="00531A31">
      <w:pPr>
        <w:widowControl w:val="0"/>
        <w:spacing w:before="0" w:beforeAutospacing="0" w:after="0" w:afterAutospacing="0" w:line="240" w:lineRule="auto"/>
        <w:ind w:left="709" w:firstLine="0"/>
        <w:rPr>
          <w:rFonts w:ascii="Tahoma" w:hAnsi="Tahoma" w:cs="Tahoma"/>
          <w:i/>
          <w:iCs/>
          <w:sz w:val="22"/>
        </w:rPr>
      </w:pPr>
      <w:r w:rsidRPr="00531A31">
        <w:rPr>
          <w:rFonts w:ascii="Tahoma" w:hAnsi="Tahoma" w:cs="Tahoma"/>
          <w:i/>
          <w:iCs/>
          <w:sz w:val="22"/>
          <w:u w:val="single"/>
        </w:rPr>
        <w:t>“(…) Por otra parte, para la Corte la solución a situaciones de omisión en la afiliación que se ha venido reseñando resulta eficiente, pues reconoce prioritariamente el trabajo del afiliado, como base de la cotización, a la vez que garantiza el reconocimiento oportuno de las prestaciones, sin resquebrajar la estabilidad financiera del sistema, ya que se propende por la integración de los recursos por parte de los empleadores, con instrumentos como el cálculo actuarial y herramientas de coacción como las que tienen legalmente las entidades de seguridad social</w:t>
      </w:r>
      <w:r w:rsidRPr="00531A31">
        <w:rPr>
          <w:rFonts w:ascii="Tahoma" w:hAnsi="Tahoma" w:cs="Tahoma"/>
          <w:i/>
          <w:iCs/>
          <w:sz w:val="22"/>
        </w:rPr>
        <w:t>.</w:t>
      </w:r>
    </w:p>
    <w:p w14:paraId="0BA78F8E" w14:textId="77777777" w:rsidR="00CE701B" w:rsidRPr="00531A31" w:rsidRDefault="00CE701B" w:rsidP="00531A31">
      <w:pPr>
        <w:widowControl w:val="0"/>
        <w:spacing w:before="0" w:beforeAutospacing="0" w:after="0" w:afterAutospacing="0" w:line="240" w:lineRule="auto"/>
        <w:ind w:left="709" w:firstLine="0"/>
        <w:rPr>
          <w:rFonts w:ascii="Tahoma" w:hAnsi="Tahoma" w:cs="Tahoma"/>
          <w:i/>
          <w:iCs/>
          <w:sz w:val="22"/>
        </w:rPr>
      </w:pPr>
    </w:p>
    <w:p w14:paraId="74B24FA1" w14:textId="7E1ACECF" w:rsidR="009A5088" w:rsidRPr="00531A31" w:rsidRDefault="009D1D6D" w:rsidP="00531A31">
      <w:pPr>
        <w:widowControl w:val="0"/>
        <w:spacing w:before="0" w:beforeAutospacing="0" w:after="0" w:afterAutospacing="0" w:line="240" w:lineRule="auto"/>
        <w:ind w:left="709" w:firstLine="0"/>
        <w:rPr>
          <w:rFonts w:ascii="Tahoma" w:hAnsi="Tahoma" w:cs="Tahoma"/>
          <w:i/>
          <w:iCs/>
          <w:sz w:val="22"/>
        </w:rPr>
      </w:pPr>
      <w:r w:rsidRPr="00531A31">
        <w:rPr>
          <w:rFonts w:ascii="Tahoma" w:hAnsi="Tahoma" w:cs="Tahoma"/>
          <w:i/>
          <w:iCs/>
          <w:sz w:val="22"/>
          <w:u w:val="single"/>
        </w:rPr>
        <w:t xml:space="preserve">(…) Dicho ello, la Sala reitera que, ante hipótesis de omisión en la afiliación del trabajador al sistema de pensiones, es deber de las entidades de seguridad social tener en cuenta el tiempo servido, como tiempo efectivamente cotizado, y obligación del empleador pagar un cálculo actuarial, por los tiempos omitidos, a satisfacción de la respectiva entidad de seguridad social” </w:t>
      </w:r>
      <w:r w:rsidRPr="00531A31">
        <w:rPr>
          <w:rFonts w:ascii="Tahoma" w:hAnsi="Tahoma" w:cs="Tahoma"/>
          <w:i/>
          <w:iCs/>
          <w:sz w:val="22"/>
        </w:rPr>
        <w:t>(subrayado original).</w:t>
      </w:r>
    </w:p>
    <w:p w14:paraId="657CCCDD" w14:textId="77777777" w:rsidR="00725F48" w:rsidRPr="001F446E" w:rsidRDefault="00725F48" w:rsidP="001F446E">
      <w:pPr>
        <w:widowControl w:val="0"/>
        <w:spacing w:before="0" w:beforeAutospacing="0" w:after="0" w:afterAutospacing="0" w:line="276" w:lineRule="auto"/>
        <w:ind w:left="709" w:firstLine="0"/>
        <w:rPr>
          <w:rStyle w:val="eop"/>
          <w:rFonts w:ascii="Tahoma" w:hAnsi="Tahoma" w:cs="Tahoma"/>
          <w:i/>
          <w:iCs/>
        </w:rPr>
      </w:pPr>
    </w:p>
    <w:p w14:paraId="3BB15DBC" w14:textId="0FF5B54B" w:rsidR="009A5088" w:rsidRPr="001F446E" w:rsidRDefault="009D1D6D" w:rsidP="001F446E">
      <w:pPr>
        <w:pStyle w:val="paragraph"/>
        <w:spacing w:before="0" w:beforeAutospacing="0" w:after="0" w:afterAutospacing="0" w:line="276" w:lineRule="auto"/>
        <w:ind w:firstLine="708"/>
        <w:jc w:val="both"/>
        <w:textAlignment w:val="baseline"/>
        <w:rPr>
          <w:rStyle w:val="eop"/>
          <w:rFonts w:ascii="Tahoma" w:hAnsi="Tahoma" w:cs="Tahoma"/>
        </w:rPr>
      </w:pPr>
      <w:r w:rsidRPr="001F446E">
        <w:rPr>
          <w:rStyle w:val="eop"/>
          <w:rFonts w:ascii="Tahoma" w:hAnsi="Tahoma" w:cs="Tahoma"/>
        </w:rPr>
        <w:t>Del mismo modo, mediante la sentencia SL</w:t>
      </w:r>
      <w:r w:rsidR="00CE701B" w:rsidRPr="001F446E">
        <w:rPr>
          <w:rStyle w:val="eop"/>
          <w:rFonts w:ascii="Tahoma" w:hAnsi="Tahoma" w:cs="Tahoma"/>
        </w:rPr>
        <w:t>-</w:t>
      </w:r>
      <w:r w:rsidRPr="001F446E">
        <w:rPr>
          <w:rStyle w:val="eop"/>
          <w:rFonts w:ascii="Tahoma" w:hAnsi="Tahoma" w:cs="Tahoma"/>
        </w:rPr>
        <w:t>5702 de 2021</w:t>
      </w:r>
      <w:r w:rsidRPr="001F446E">
        <w:rPr>
          <w:rStyle w:val="Refdenotaalpie"/>
          <w:rFonts w:ascii="Tahoma" w:hAnsi="Tahoma" w:cs="Tahoma"/>
        </w:rPr>
        <w:footnoteReference w:id="3"/>
      </w:r>
      <w:r w:rsidRPr="001F446E">
        <w:rPr>
          <w:rStyle w:val="eop"/>
          <w:rFonts w:ascii="Tahoma" w:hAnsi="Tahoma" w:cs="Tahoma"/>
        </w:rPr>
        <w:t xml:space="preserve">, resaltó </w:t>
      </w:r>
      <w:r w:rsidRPr="00956F70">
        <w:rPr>
          <w:rStyle w:val="eop"/>
          <w:rFonts w:ascii="Tahoma" w:hAnsi="Tahoma" w:cs="Tahoma"/>
          <w:i/>
          <w:iCs/>
          <w:sz w:val="22"/>
        </w:rPr>
        <w:t>“en cualquier caso, debe aclararse que si es cierto que la accionante laboró continuamente en los extremos laborales referidos en la certificación laboral, queda a salvo la posibilidad de requerir a la empresa respectiva para que le reconozca el cálculo actuarial a fin de que se integren los periodos no cotizados, a satisfacción de la entidad de seguridad social conforme al precedente vigente de la Sala (CSJ SL197-2019, CSJ SL1356-2019, CSJ SL4334-2019, CSJ SL1140-2020, CSJ SL2584-2020 y CSJ SL2879-2020, entre muchas otras). Y una vez esto, eventualmente podría reestudiarse si a la actora le asiste o no alguna prestación económica acorde con su situación pensional</w:t>
      </w:r>
      <w:r w:rsidR="00956F70">
        <w:rPr>
          <w:rStyle w:val="eop"/>
          <w:rFonts w:ascii="Tahoma" w:hAnsi="Tahoma" w:cs="Tahoma"/>
          <w:i/>
          <w:iCs/>
        </w:rPr>
        <w:t>”</w:t>
      </w:r>
      <w:r w:rsidRPr="001F446E">
        <w:rPr>
          <w:rStyle w:val="eop"/>
          <w:rFonts w:ascii="Tahoma" w:hAnsi="Tahoma" w:cs="Tahoma"/>
          <w:i/>
          <w:iCs/>
        </w:rPr>
        <w:t>.</w:t>
      </w:r>
      <w:r w:rsidRPr="001F446E">
        <w:rPr>
          <w:rStyle w:val="eop"/>
          <w:rFonts w:ascii="Tahoma" w:hAnsi="Tahoma" w:cs="Tahoma"/>
        </w:rPr>
        <w:t xml:space="preserve">  </w:t>
      </w:r>
    </w:p>
    <w:p w14:paraId="40E2793E" w14:textId="77777777" w:rsidR="009A5088" w:rsidRPr="001F446E" w:rsidRDefault="009A5088" w:rsidP="001F446E">
      <w:pPr>
        <w:pStyle w:val="paragraph"/>
        <w:spacing w:before="0" w:beforeAutospacing="0" w:after="0" w:afterAutospacing="0" w:line="276" w:lineRule="auto"/>
        <w:ind w:firstLine="708"/>
        <w:jc w:val="both"/>
        <w:textAlignment w:val="baseline"/>
        <w:rPr>
          <w:rStyle w:val="eop"/>
          <w:rFonts w:ascii="Tahoma" w:hAnsi="Tahoma" w:cs="Tahoma"/>
        </w:rPr>
      </w:pPr>
    </w:p>
    <w:p w14:paraId="277DC2C6" w14:textId="77777777" w:rsidR="009A5088" w:rsidRPr="001F446E" w:rsidRDefault="009D1D6D" w:rsidP="001F446E">
      <w:pPr>
        <w:pStyle w:val="paragraph"/>
        <w:spacing w:before="0" w:beforeAutospacing="0" w:after="0" w:afterAutospacing="0" w:line="276" w:lineRule="auto"/>
        <w:ind w:firstLine="708"/>
        <w:jc w:val="both"/>
        <w:textAlignment w:val="baseline"/>
        <w:rPr>
          <w:rStyle w:val="eop"/>
          <w:rFonts w:ascii="Tahoma" w:hAnsi="Tahoma" w:cs="Tahoma"/>
        </w:rPr>
      </w:pPr>
      <w:r w:rsidRPr="001F446E">
        <w:rPr>
          <w:rStyle w:val="eop"/>
          <w:rFonts w:ascii="Tahoma" w:hAnsi="Tahoma" w:cs="Tahoma"/>
        </w:rPr>
        <w:t xml:space="preserve">Lo anterior, con sustento en el artículo 33 de la ley 100 de 1993, que dispone en que en los casos previstos en los literales b), c), d) y e), el cómputo será procedente </w:t>
      </w:r>
      <w:r w:rsidRPr="001F446E">
        <w:rPr>
          <w:rStyle w:val="eop"/>
          <w:rFonts w:ascii="Tahoma" w:hAnsi="Tahoma" w:cs="Tahoma"/>
          <w:u w:val="single"/>
        </w:rPr>
        <w:t>siempre y cuando</w:t>
      </w:r>
      <w:r w:rsidRPr="001F446E">
        <w:rPr>
          <w:rStyle w:val="eop"/>
          <w:rFonts w:ascii="Tahoma" w:hAnsi="Tahoma" w:cs="Tahoma"/>
        </w:rPr>
        <w:t xml:space="preserve"> el empleador o la caja, según el caso, trasladen, con base en el cálculo actuarial, la suma correspondiente del trabajador que se afilie, a satisfacción de la entidad administradora, el cual estará representado por un bono o título pensional. (CSJ SL 4843 de 2021</w:t>
      </w:r>
      <w:r w:rsidRPr="001F446E">
        <w:rPr>
          <w:rStyle w:val="Refdenotaalpie"/>
          <w:rFonts w:ascii="Tahoma" w:hAnsi="Tahoma" w:cs="Tahoma"/>
        </w:rPr>
        <w:footnoteReference w:id="4"/>
      </w:r>
      <w:r w:rsidRPr="001F446E">
        <w:rPr>
          <w:rStyle w:val="eop"/>
          <w:rFonts w:ascii="Tahoma" w:hAnsi="Tahoma" w:cs="Tahoma"/>
        </w:rPr>
        <w:t>)</w:t>
      </w:r>
      <w:r w:rsidR="009A5088" w:rsidRPr="001F446E">
        <w:rPr>
          <w:rStyle w:val="eop"/>
          <w:rFonts w:ascii="Tahoma" w:hAnsi="Tahoma" w:cs="Tahoma"/>
        </w:rPr>
        <w:t>.</w:t>
      </w:r>
    </w:p>
    <w:p w14:paraId="5F273332" w14:textId="77777777" w:rsidR="009A5088" w:rsidRPr="001F446E" w:rsidRDefault="009A5088" w:rsidP="001F446E">
      <w:pPr>
        <w:pStyle w:val="paragraph"/>
        <w:spacing w:before="0" w:beforeAutospacing="0" w:after="0" w:afterAutospacing="0" w:line="276" w:lineRule="auto"/>
        <w:ind w:firstLine="708"/>
        <w:jc w:val="both"/>
        <w:textAlignment w:val="baseline"/>
        <w:rPr>
          <w:rFonts w:ascii="Tahoma" w:hAnsi="Tahoma" w:cs="Tahoma"/>
        </w:rPr>
      </w:pPr>
    </w:p>
    <w:p w14:paraId="2E7E5B32" w14:textId="6E1075CF" w:rsidR="00234658" w:rsidRPr="001F446E" w:rsidRDefault="009D1D6D" w:rsidP="001F446E">
      <w:pPr>
        <w:pStyle w:val="paragraph"/>
        <w:spacing w:before="0" w:beforeAutospacing="0" w:after="0" w:afterAutospacing="0" w:line="276" w:lineRule="auto"/>
        <w:ind w:firstLine="708"/>
        <w:jc w:val="both"/>
        <w:textAlignment w:val="baseline"/>
        <w:rPr>
          <w:rStyle w:val="eop"/>
          <w:rFonts w:ascii="Tahoma" w:hAnsi="Tahoma" w:cs="Tahoma"/>
        </w:rPr>
      </w:pPr>
      <w:r w:rsidRPr="001F446E">
        <w:rPr>
          <w:rFonts w:ascii="Tahoma" w:hAnsi="Tahoma" w:cs="Tahoma"/>
        </w:rPr>
        <w:t xml:space="preserve">Por último, </w:t>
      </w:r>
      <w:r w:rsidRPr="001F446E">
        <w:rPr>
          <w:rStyle w:val="eop"/>
          <w:rFonts w:ascii="Tahoma" w:hAnsi="Tahoma" w:cs="Tahoma"/>
        </w:rPr>
        <w:t>sentó la Corte entre otras en la sentencia SL1026 de 2022</w:t>
      </w:r>
      <w:r w:rsidRPr="001F446E">
        <w:rPr>
          <w:rStyle w:val="Refdenotaalpie"/>
          <w:rFonts w:ascii="Tahoma" w:hAnsi="Tahoma" w:cs="Tahoma"/>
        </w:rPr>
        <w:footnoteReference w:id="5"/>
      </w:r>
      <w:r w:rsidRPr="001F446E">
        <w:rPr>
          <w:rStyle w:val="eop"/>
          <w:rFonts w:ascii="Tahoma" w:hAnsi="Tahoma" w:cs="Tahoma"/>
        </w:rPr>
        <w:t xml:space="preserve"> que no es procedente el pago únicamente de los aportes debidos, pues la omisión endilgada solo se subsana con el pago del cálculo actuarial que no es una simple proyección de cotizaciones o aportes de periodos anteriores, sino que corresponde al capital necesario para el financiamiento de la pensión del trabajador, sin que de modo alguno la norma establezca la contribución por parte del trabajador.</w:t>
      </w:r>
      <w:bookmarkEnd w:id="6"/>
    </w:p>
    <w:p w14:paraId="088472DA" w14:textId="4B80035B" w:rsidR="00234658" w:rsidRPr="001F446E" w:rsidRDefault="00234658" w:rsidP="001F446E">
      <w:pPr>
        <w:pStyle w:val="paragraph"/>
        <w:spacing w:before="0" w:beforeAutospacing="0" w:after="0" w:afterAutospacing="0" w:line="276" w:lineRule="auto"/>
        <w:ind w:firstLine="708"/>
        <w:jc w:val="both"/>
        <w:textAlignment w:val="baseline"/>
        <w:rPr>
          <w:rFonts w:ascii="Tahoma" w:hAnsi="Tahoma" w:cs="Tahoma"/>
        </w:rPr>
      </w:pPr>
    </w:p>
    <w:p w14:paraId="3136BB7C" w14:textId="64EB1941" w:rsidR="009D1D6D" w:rsidRPr="001F446E" w:rsidRDefault="009D1D6D" w:rsidP="001F446E">
      <w:pPr>
        <w:pStyle w:val="Prrafodelista"/>
        <w:widowControl w:val="0"/>
        <w:numPr>
          <w:ilvl w:val="1"/>
          <w:numId w:val="1"/>
        </w:numPr>
        <w:autoSpaceDE w:val="0"/>
        <w:autoSpaceDN w:val="0"/>
        <w:spacing w:line="276" w:lineRule="auto"/>
        <w:rPr>
          <w:rFonts w:eastAsia="Calibri" w:cs="Tahoma"/>
          <w:szCs w:val="24"/>
        </w:rPr>
      </w:pPr>
      <w:r w:rsidRPr="001F446E">
        <w:rPr>
          <w:rFonts w:eastAsia="Calibri" w:cs="Tahoma"/>
          <w:b/>
          <w:szCs w:val="24"/>
        </w:rPr>
        <w:t>C</w:t>
      </w:r>
      <w:r w:rsidR="006806E3" w:rsidRPr="001F446E">
        <w:rPr>
          <w:rFonts w:eastAsia="Calibri" w:cs="Tahoma"/>
          <w:b/>
          <w:szCs w:val="24"/>
        </w:rPr>
        <w:t>aso concreto</w:t>
      </w:r>
    </w:p>
    <w:p w14:paraId="380B0424" w14:textId="77777777" w:rsidR="006806E3" w:rsidRPr="001F446E" w:rsidRDefault="006806E3" w:rsidP="001F446E">
      <w:pPr>
        <w:pStyle w:val="Prrafodelista"/>
        <w:widowControl w:val="0"/>
        <w:autoSpaceDE w:val="0"/>
        <w:autoSpaceDN w:val="0"/>
        <w:spacing w:line="276" w:lineRule="auto"/>
        <w:ind w:left="420"/>
        <w:rPr>
          <w:rFonts w:eastAsia="Calibri" w:cs="Tahoma"/>
          <w:szCs w:val="24"/>
        </w:rPr>
      </w:pPr>
    </w:p>
    <w:p w14:paraId="29A36B28" w14:textId="5A42EA2B" w:rsidR="00F2736A" w:rsidRPr="001F446E" w:rsidRDefault="009D1D6D"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r w:rsidRPr="001F446E">
        <w:rPr>
          <w:rFonts w:ascii="Tahoma" w:eastAsia="Calibri" w:hAnsi="Tahoma" w:cs="Tahoma"/>
        </w:rPr>
        <w:t xml:space="preserve">En </w:t>
      </w:r>
      <w:r w:rsidR="00F2736A" w:rsidRPr="001F446E">
        <w:rPr>
          <w:rFonts w:ascii="Tahoma" w:eastAsia="Calibri" w:hAnsi="Tahoma" w:cs="Tahoma"/>
        </w:rPr>
        <w:t xml:space="preserve">el caso objeto </w:t>
      </w:r>
      <w:r w:rsidRPr="001F446E">
        <w:rPr>
          <w:rFonts w:ascii="Tahoma" w:eastAsia="Calibri" w:hAnsi="Tahoma" w:cs="Tahoma"/>
        </w:rPr>
        <w:t>de consulta, con apoyo en las anteriores premisas, se puede concluir que el</w:t>
      </w:r>
      <w:r w:rsidR="00F2736A" w:rsidRPr="001F446E">
        <w:rPr>
          <w:rFonts w:ascii="Tahoma" w:eastAsia="Calibri" w:hAnsi="Tahoma" w:cs="Tahoma"/>
        </w:rPr>
        <w:t xml:space="preserve"> demandante es</w:t>
      </w:r>
      <w:r w:rsidR="002B1FC5" w:rsidRPr="001F446E">
        <w:rPr>
          <w:rFonts w:ascii="Tahoma" w:eastAsia="Calibri" w:hAnsi="Tahoma" w:cs="Tahoma"/>
        </w:rPr>
        <w:t xml:space="preserve"> sin duda</w:t>
      </w:r>
      <w:r w:rsidR="00F2736A" w:rsidRPr="001F446E">
        <w:rPr>
          <w:rFonts w:ascii="Tahoma" w:eastAsia="Calibri" w:hAnsi="Tahoma" w:cs="Tahoma"/>
        </w:rPr>
        <w:t xml:space="preserve"> beneficiario del régimen de transición previsto en el artículo 36 de la Ley 100 de 1993,</w:t>
      </w:r>
      <w:r w:rsidR="009A20D0" w:rsidRPr="001F446E">
        <w:rPr>
          <w:rFonts w:ascii="Tahoma" w:eastAsia="Calibri" w:hAnsi="Tahoma" w:cs="Tahoma"/>
        </w:rPr>
        <w:t xml:space="preserve"> por edad</w:t>
      </w:r>
      <w:r w:rsidR="00980AC1" w:rsidRPr="001F446E">
        <w:rPr>
          <w:rFonts w:ascii="Tahoma" w:eastAsia="Calibri" w:hAnsi="Tahoma" w:cs="Tahoma"/>
        </w:rPr>
        <w:t>, p</w:t>
      </w:r>
      <w:r w:rsidR="009A20D0" w:rsidRPr="001F446E">
        <w:rPr>
          <w:rFonts w:ascii="Tahoma" w:eastAsia="Calibri" w:hAnsi="Tahoma" w:cs="Tahoma"/>
        </w:rPr>
        <w:t>ues habiendo nacido el 02 de febrero de 1946</w:t>
      </w:r>
      <w:r w:rsidR="00213812" w:rsidRPr="001F446E">
        <w:rPr>
          <w:rFonts w:ascii="Tahoma" w:eastAsia="Calibri" w:hAnsi="Tahoma" w:cs="Tahoma"/>
        </w:rPr>
        <w:t>, tenía 48 años de edad al 1° de abril de 1994, fecha de entrada en vigencia de la Ley 100 de 1993,</w:t>
      </w:r>
      <w:r w:rsidR="00F2736A" w:rsidRPr="001F446E">
        <w:rPr>
          <w:rFonts w:ascii="Tahoma" w:eastAsia="Calibri" w:hAnsi="Tahoma" w:cs="Tahoma"/>
        </w:rPr>
        <w:t xml:space="preserve"> lo que le da derecho a pensionarse </w:t>
      </w:r>
      <w:r w:rsidR="009A20D0" w:rsidRPr="001F446E">
        <w:rPr>
          <w:rFonts w:ascii="Tahoma" w:eastAsia="Calibri" w:hAnsi="Tahoma" w:cs="Tahoma"/>
        </w:rPr>
        <w:t>al cumplimiento de los</w:t>
      </w:r>
      <w:r w:rsidR="00F2736A" w:rsidRPr="001F446E">
        <w:rPr>
          <w:rFonts w:ascii="Tahoma" w:eastAsia="Calibri" w:hAnsi="Tahoma" w:cs="Tahoma"/>
        </w:rPr>
        <w:t xml:space="preserve"> requisitos </w:t>
      </w:r>
      <w:r w:rsidR="00725F48" w:rsidRPr="001F446E">
        <w:rPr>
          <w:rFonts w:ascii="Tahoma" w:eastAsia="Calibri" w:hAnsi="Tahoma" w:cs="Tahoma"/>
        </w:rPr>
        <w:t>para acceder a la</w:t>
      </w:r>
      <w:r w:rsidR="009A20D0" w:rsidRPr="001F446E">
        <w:rPr>
          <w:rFonts w:ascii="Tahoma" w:eastAsia="Calibri" w:hAnsi="Tahoma" w:cs="Tahoma"/>
        </w:rPr>
        <w:t xml:space="preserve"> pensión de vejez</w:t>
      </w:r>
      <w:r w:rsidR="002B1FC5" w:rsidRPr="001F446E">
        <w:rPr>
          <w:rFonts w:ascii="Tahoma" w:eastAsia="Calibri" w:hAnsi="Tahoma" w:cs="Tahoma"/>
        </w:rPr>
        <w:t xml:space="preserve"> regulada</w:t>
      </w:r>
      <w:r w:rsidR="009A20D0" w:rsidRPr="001F446E">
        <w:rPr>
          <w:rFonts w:ascii="Tahoma" w:eastAsia="Calibri" w:hAnsi="Tahoma" w:cs="Tahoma"/>
        </w:rPr>
        <w:t xml:space="preserve"> en el Acuerdo 049 de 1990, aprobado por el Decreto 758 del mismo año.</w:t>
      </w:r>
    </w:p>
    <w:p w14:paraId="30B2A698" w14:textId="50ADE577" w:rsidR="009A20D0" w:rsidRPr="001F446E" w:rsidRDefault="009A20D0" w:rsidP="001F446E">
      <w:pPr>
        <w:widowControl w:val="0"/>
        <w:autoSpaceDE w:val="0"/>
        <w:autoSpaceDN w:val="0"/>
        <w:spacing w:before="0" w:beforeAutospacing="0" w:after="0" w:afterAutospacing="0" w:line="276" w:lineRule="auto"/>
        <w:ind w:firstLine="0"/>
        <w:contextualSpacing/>
        <w:rPr>
          <w:rFonts w:ascii="Tahoma" w:eastAsia="Calibri" w:hAnsi="Tahoma" w:cs="Tahoma"/>
        </w:rPr>
      </w:pPr>
    </w:p>
    <w:p w14:paraId="2CAB2C30" w14:textId="77777777" w:rsidR="00703944" w:rsidRPr="001F446E" w:rsidRDefault="009A20D0"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r w:rsidRPr="001F446E">
        <w:rPr>
          <w:rFonts w:ascii="Tahoma" w:eastAsia="Calibri" w:hAnsi="Tahoma" w:cs="Tahoma"/>
        </w:rPr>
        <w:t>No sobra aclarar que el acto</w:t>
      </w:r>
      <w:r w:rsidR="004958F1" w:rsidRPr="001F446E">
        <w:rPr>
          <w:rFonts w:ascii="Tahoma" w:eastAsia="Calibri" w:hAnsi="Tahoma" w:cs="Tahoma"/>
        </w:rPr>
        <w:t xml:space="preserve"> legislativo</w:t>
      </w:r>
      <w:r w:rsidRPr="001F446E">
        <w:rPr>
          <w:rFonts w:ascii="Tahoma" w:eastAsia="Calibri" w:hAnsi="Tahoma" w:cs="Tahoma"/>
        </w:rPr>
        <w:t xml:space="preserve"> 01 de 2005 no afectó </w:t>
      </w:r>
      <w:r w:rsidR="002B1FC5" w:rsidRPr="001F446E">
        <w:rPr>
          <w:rFonts w:ascii="Tahoma" w:eastAsia="Calibri" w:hAnsi="Tahoma" w:cs="Tahoma"/>
        </w:rPr>
        <w:t>en este caso el</w:t>
      </w:r>
      <w:r w:rsidRPr="001F446E">
        <w:rPr>
          <w:rFonts w:ascii="Tahoma" w:eastAsia="Calibri" w:hAnsi="Tahoma" w:cs="Tahoma"/>
        </w:rPr>
        <w:t xml:space="preserve"> beneficio de transición que</w:t>
      </w:r>
      <w:r w:rsidR="004958F1" w:rsidRPr="001F446E">
        <w:rPr>
          <w:rFonts w:ascii="Tahoma" w:eastAsia="Calibri" w:hAnsi="Tahoma" w:cs="Tahoma"/>
        </w:rPr>
        <w:t xml:space="preserve"> había</w:t>
      </w:r>
      <w:r w:rsidRPr="001F446E">
        <w:rPr>
          <w:rFonts w:ascii="Tahoma" w:eastAsia="Calibri" w:hAnsi="Tahoma" w:cs="Tahoma"/>
        </w:rPr>
        <w:t xml:space="preserve"> adquiri</w:t>
      </w:r>
      <w:r w:rsidR="004958F1" w:rsidRPr="001F446E">
        <w:rPr>
          <w:rFonts w:ascii="Tahoma" w:eastAsia="Calibri" w:hAnsi="Tahoma" w:cs="Tahoma"/>
        </w:rPr>
        <w:t>do</w:t>
      </w:r>
      <w:r w:rsidRPr="001F446E">
        <w:rPr>
          <w:rFonts w:ascii="Tahoma" w:eastAsia="Calibri" w:hAnsi="Tahoma" w:cs="Tahoma"/>
        </w:rPr>
        <w:t xml:space="preserve"> por edad </w:t>
      </w:r>
      <w:r w:rsidR="00213812" w:rsidRPr="001F446E">
        <w:rPr>
          <w:rFonts w:ascii="Tahoma" w:eastAsia="Calibri" w:hAnsi="Tahoma" w:cs="Tahoma"/>
        </w:rPr>
        <w:t>el demandante, como quiera que este arribó a la edad mínima de pensión</w:t>
      </w:r>
      <w:r w:rsidR="00725F48" w:rsidRPr="001F446E">
        <w:rPr>
          <w:rFonts w:ascii="Tahoma" w:eastAsia="Calibri" w:hAnsi="Tahoma" w:cs="Tahoma"/>
        </w:rPr>
        <w:t>, esto es,</w:t>
      </w:r>
      <w:r w:rsidR="00213812" w:rsidRPr="001F446E">
        <w:rPr>
          <w:rFonts w:ascii="Tahoma" w:eastAsia="Calibri" w:hAnsi="Tahoma" w:cs="Tahoma"/>
        </w:rPr>
        <w:t xml:space="preserve"> 60 años</w:t>
      </w:r>
      <w:r w:rsidR="00725F48" w:rsidRPr="001F446E">
        <w:rPr>
          <w:rFonts w:ascii="Tahoma" w:eastAsia="Calibri" w:hAnsi="Tahoma" w:cs="Tahoma"/>
        </w:rPr>
        <w:t>,</w:t>
      </w:r>
      <w:r w:rsidR="00213812" w:rsidRPr="001F446E">
        <w:rPr>
          <w:rFonts w:ascii="Tahoma" w:eastAsia="Calibri" w:hAnsi="Tahoma" w:cs="Tahoma"/>
        </w:rPr>
        <w:t xml:space="preserve"> el </w:t>
      </w:r>
      <w:r w:rsidR="00725F48" w:rsidRPr="001F446E">
        <w:rPr>
          <w:rFonts w:ascii="Tahoma" w:eastAsia="Calibri" w:hAnsi="Tahoma" w:cs="Tahoma"/>
        </w:rPr>
        <w:t>0</w:t>
      </w:r>
      <w:r w:rsidR="00213812" w:rsidRPr="001F446E">
        <w:rPr>
          <w:rFonts w:ascii="Tahoma" w:eastAsia="Calibri" w:hAnsi="Tahoma" w:cs="Tahoma"/>
        </w:rPr>
        <w:t xml:space="preserve">2 de febrero de 2006, es decir antes del 31 de julio de 2010, que era la fecha límite de dicho régimen, conforme lo previene el </w:t>
      </w:r>
      <w:r w:rsidR="004958F1" w:rsidRPr="001F446E">
        <w:rPr>
          <w:rFonts w:ascii="Tahoma" w:eastAsia="Calibri" w:hAnsi="Tahoma" w:cs="Tahoma"/>
        </w:rPr>
        <w:t xml:space="preserve">parágrafo transitorio 4 de </w:t>
      </w:r>
      <w:r w:rsidR="00213812" w:rsidRPr="001F446E">
        <w:rPr>
          <w:rFonts w:ascii="Tahoma" w:eastAsia="Calibri" w:hAnsi="Tahoma" w:cs="Tahoma"/>
        </w:rPr>
        <w:t xml:space="preserve">citado acto, </w:t>
      </w:r>
      <w:r w:rsidR="004958F1" w:rsidRPr="001F446E">
        <w:rPr>
          <w:rFonts w:ascii="Tahoma" w:eastAsia="Calibri" w:hAnsi="Tahoma" w:cs="Tahoma"/>
        </w:rPr>
        <w:t>teniendo en cuenta que</w:t>
      </w:r>
      <w:r w:rsidR="00213812" w:rsidRPr="001F446E">
        <w:rPr>
          <w:rFonts w:ascii="Tahoma" w:eastAsia="Calibri" w:hAnsi="Tahoma" w:cs="Tahoma"/>
        </w:rPr>
        <w:t xml:space="preserve"> para esa fecha ya acumulaba la densidad mínima de cotizaciones para pensionarse, toda vez que</w:t>
      </w:r>
      <w:r w:rsidR="00E16F9E" w:rsidRPr="001F446E">
        <w:rPr>
          <w:rFonts w:ascii="Tahoma" w:eastAsia="Calibri" w:hAnsi="Tahoma" w:cs="Tahoma"/>
        </w:rPr>
        <w:t>,</w:t>
      </w:r>
      <w:r w:rsidR="00213812" w:rsidRPr="001F446E">
        <w:rPr>
          <w:rFonts w:ascii="Tahoma" w:eastAsia="Calibri" w:hAnsi="Tahoma" w:cs="Tahoma"/>
        </w:rPr>
        <w:t xml:space="preserve"> de acuerdo con la más reciente historia laboral que obra en el expediente, expedida el</w:t>
      </w:r>
      <w:r w:rsidR="004958F1" w:rsidRPr="001F446E">
        <w:rPr>
          <w:rFonts w:ascii="Tahoma" w:eastAsia="Calibri" w:hAnsi="Tahoma" w:cs="Tahoma"/>
        </w:rPr>
        <w:t xml:space="preserve"> 10 de junio de 2019 (</w:t>
      </w:r>
      <w:proofErr w:type="spellStart"/>
      <w:r w:rsidR="004958F1" w:rsidRPr="001F446E">
        <w:rPr>
          <w:rFonts w:ascii="Tahoma" w:eastAsia="Calibri" w:hAnsi="Tahoma" w:cs="Tahoma"/>
        </w:rPr>
        <w:t>Fl</w:t>
      </w:r>
      <w:proofErr w:type="spellEnd"/>
      <w:r w:rsidR="004958F1" w:rsidRPr="001F446E">
        <w:rPr>
          <w:rFonts w:ascii="Tahoma" w:eastAsia="Calibri" w:hAnsi="Tahoma" w:cs="Tahoma"/>
        </w:rPr>
        <w:t>. 170, archivo 13 del expediente), hasta el 30 de septiembre de 2003, fecha de su última cotización al sistema, acumula</w:t>
      </w:r>
      <w:r w:rsidR="009711A2" w:rsidRPr="001F446E">
        <w:rPr>
          <w:rFonts w:ascii="Tahoma" w:eastAsia="Calibri" w:hAnsi="Tahoma" w:cs="Tahoma"/>
        </w:rPr>
        <w:t>ba</w:t>
      </w:r>
      <w:r w:rsidR="004958F1" w:rsidRPr="001F446E">
        <w:rPr>
          <w:rFonts w:ascii="Tahoma" w:eastAsia="Calibri" w:hAnsi="Tahoma" w:cs="Tahoma"/>
        </w:rPr>
        <w:t xml:space="preserve"> un total de 997,29 semanas, que</w:t>
      </w:r>
      <w:r w:rsidR="00E16F9E" w:rsidRPr="001F446E">
        <w:rPr>
          <w:rFonts w:ascii="Tahoma" w:eastAsia="Calibri" w:hAnsi="Tahoma" w:cs="Tahoma"/>
        </w:rPr>
        <w:t xml:space="preserve"> corresponden a</w:t>
      </w:r>
      <w:r w:rsidR="004958F1" w:rsidRPr="001F446E">
        <w:rPr>
          <w:rFonts w:ascii="Tahoma" w:eastAsia="Calibri" w:hAnsi="Tahoma" w:cs="Tahoma"/>
        </w:rPr>
        <w:t xml:space="preserve"> 335,43 semanas de tiempos de servicios en el sector público y 661,86 semanas cotizadas al ISS</w:t>
      </w:r>
      <w:r w:rsidR="00A30385" w:rsidRPr="001F446E">
        <w:rPr>
          <w:rFonts w:ascii="Tahoma" w:eastAsia="Calibri" w:hAnsi="Tahoma" w:cs="Tahoma"/>
        </w:rPr>
        <w:t>, a las cuales habría que sumar, como bien lo hizo la a-quo,</w:t>
      </w:r>
      <w:r w:rsidR="007B04BC" w:rsidRPr="001F446E">
        <w:rPr>
          <w:rFonts w:ascii="Tahoma" w:eastAsia="Calibri" w:hAnsi="Tahoma" w:cs="Tahoma"/>
        </w:rPr>
        <w:t xml:space="preserve"> las siguientes semanas:</w:t>
      </w:r>
      <w:r w:rsidR="00703944" w:rsidRPr="001F446E">
        <w:rPr>
          <w:rFonts w:ascii="Tahoma" w:eastAsia="Calibri" w:hAnsi="Tahoma" w:cs="Tahoma"/>
        </w:rPr>
        <w:t xml:space="preserve"> </w:t>
      </w:r>
    </w:p>
    <w:p w14:paraId="2F92AF99" w14:textId="77777777" w:rsidR="00703944" w:rsidRPr="001F446E" w:rsidRDefault="00703944" w:rsidP="001F446E">
      <w:pPr>
        <w:widowControl w:val="0"/>
        <w:autoSpaceDE w:val="0"/>
        <w:autoSpaceDN w:val="0"/>
        <w:spacing w:before="0" w:beforeAutospacing="0" w:after="0" w:afterAutospacing="0" w:line="276" w:lineRule="auto"/>
        <w:ind w:firstLine="0"/>
        <w:contextualSpacing/>
        <w:rPr>
          <w:rFonts w:ascii="Tahoma" w:eastAsia="Calibri" w:hAnsi="Tahoma" w:cs="Tahoma"/>
        </w:rPr>
      </w:pPr>
    </w:p>
    <w:p w14:paraId="436082FC" w14:textId="3C2ADF42" w:rsidR="007B04BC" w:rsidRPr="001F446E" w:rsidRDefault="00703944" w:rsidP="001F446E">
      <w:pPr>
        <w:pStyle w:val="Prrafodelista"/>
        <w:widowControl w:val="0"/>
        <w:numPr>
          <w:ilvl w:val="0"/>
          <w:numId w:val="11"/>
        </w:numPr>
        <w:autoSpaceDE w:val="0"/>
        <w:autoSpaceDN w:val="0"/>
        <w:spacing w:line="276" w:lineRule="auto"/>
        <w:rPr>
          <w:rFonts w:eastAsia="Calibri" w:cs="Tahoma"/>
          <w:szCs w:val="24"/>
        </w:rPr>
      </w:pPr>
      <w:r w:rsidRPr="001F446E">
        <w:rPr>
          <w:rFonts w:eastAsia="Calibri" w:cs="Tahoma"/>
          <w:szCs w:val="24"/>
        </w:rPr>
        <w:t xml:space="preserve">3,15 semanas, correspondientes a enero de 1997, como quiera que la empleadora Dilia Estrada de Gómez, con patronal No. 24355875, efectuó el pago completo de dicho ciclo el 03 de febrero de ese año, tal como se aprecia en el cuadro </w:t>
      </w:r>
      <w:r w:rsidRPr="001F446E">
        <w:rPr>
          <w:rFonts w:eastAsia="Calibri" w:cs="Tahoma"/>
          <w:i/>
          <w:szCs w:val="24"/>
        </w:rPr>
        <w:t>“</w:t>
      </w:r>
      <w:r w:rsidRPr="00956F70">
        <w:rPr>
          <w:rFonts w:eastAsia="Calibri" w:cs="Tahoma"/>
          <w:i/>
          <w:sz w:val="22"/>
          <w:szCs w:val="24"/>
        </w:rPr>
        <w:t>detalle de pagos efectuados a partir de 1995</w:t>
      </w:r>
      <w:r w:rsidRPr="001F446E">
        <w:rPr>
          <w:rFonts w:eastAsia="Calibri" w:cs="Tahoma"/>
          <w:i/>
          <w:szCs w:val="24"/>
        </w:rPr>
        <w:t>”</w:t>
      </w:r>
      <w:r w:rsidRPr="001F446E">
        <w:rPr>
          <w:rFonts w:eastAsia="Calibri" w:cs="Tahoma"/>
          <w:szCs w:val="24"/>
        </w:rPr>
        <w:t>, pese a lo cual, en el consolidado de semanas de la misma historia laboral, solo se computaron 1,14 semanas, correspondientes a 8 días.</w:t>
      </w:r>
    </w:p>
    <w:p w14:paraId="2162029A" w14:textId="77777777" w:rsidR="00703944" w:rsidRPr="001F446E" w:rsidRDefault="00703944" w:rsidP="001F446E">
      <w:pPr>
        <w:pStyle w:val="Prrafodelista"/>
        <w:widowControl w:val="0"/>
        <w:autoSpaceDE w:val="0"/>
        <w:autoSpaceDN w:val="0"/>
        <w:spacing w:line="276" w:lineRule="auto"/>
        <w:rPr>
          <w:rFonts w:eastAsia="Calibri" w:cs="Tahoma"/>
          <w:szCs w:val="24"/>
        </w:rPr>
      </w:pPr>
    </w:p>
    <w:p w14:paraId="3B4E2C48" w14:textId="22D1F7C0" w:rsidR="00E16F9E" w:rsidRPr="001F446E" w:rsidRDefault="00703944" w:rsidP="001F446E">
      <w:pPr>
        <w:pStyle w:val="Prrafodelista"/>
        <w:widowControl w:val="0"/>
        <w:numPr>
          <w:ilvl w:val="0"/>
          <w:numId w:val="10"/>
        </w:numPr>
        <w:autoSpaceDE w:val="0"/>
        <w:autoSpaceDN w:val="0"/>
        <w:spacing w:line="276" w:lineRule="auto"/>
        <w:rPr>
          <w:rFonts w:eastAsia="Calibri" w:cs="Tahoma"/>
          <w:szCs w:val="24"/>
        </w:rPr>
      </w:pPr>
      <w:r w:rsidRPr="001F446E">
        <w:rPr>
          <w:rFonts w:eastAsia="Calibri" w:cs="Tahoma"/>
          <w:szCs w:val="24"/>
        </w:rPr>
        <w:t xml:space="preserve">5,86 semanas </w:t>
      </w:r>
      <w:r w:rsidR="002B1FC5" w:rsidRPr="001F446E">
        <w:rPr>
          <w:rFonts w:eastAsia="Calibri" w:cs="Tahoma"/>
          <w:szCs w:val="24"/>
        </w:rPr>
        <w:t xml:space="preserve">por el aportante TURAGUADAS, entre el </w:t>
      </w:r>
      <w:r w:rsidRPr="001F446E">
        <w:rPr>
          <w:rFonts w:eastAsia="Calibri" w:cs="Tahoma"/>
          <w:szCs w:val="24"/>
        </w:rPr>
        <w:t>agosto</w:t>
      </w:r>
      <w:r w:rsidR="002B1FC5" w:rsidRPr="001F446E">
        <w:rPr>
          <w:rFonts w:eastAsia="Calibri" w:cs="Tahoma"/>
          <w:szCs w:val="24"/>
        </w:rPr>
        <w:t xml:space="preserve"> y septiembre de 1999, que no se tuvieron en cuenta en</w:t>
      </w:r>
      <w:r w:rsidR="009711A2" w:rsidRPr="001F446E">
        <w:rPr>
          <w:rFonts w:eastAsia="Calibri" w:cs="Tahoma"/>
          <w:szCs w:val="24"/>
        </w:rPr>
        <w:t xml:space="preserve"> el</w:t>
      </w:r>
      <w:r w:rsidR="002B1FC5" w:rsidRPr="001F446E">
        <w:rPr>
          <w:rFonts w:eastAsia="Calibri" w:cs="Tahoma"/>
          <w:szCs w:val="24"/>
        </w:rPr>
        <w:t xml:space="preserve"> consolidado de semanas cotizadas,</w:t>
      </w:r>
      <w:r w:rsidRPr="001F446E">
        <w:rPr>
          <w:rFonts w:eastAsia="Calibri" w:cs="Tahoma"/>
          <w:szCs w:val="24"/>
        </w:rPr>
        <w:t xml:space="preserve"> teniendo en cuenta que tan solo se registraron 17 días para agosto y 0 días para septiembre de ese año, pese</w:t>
      </w:r>
      <w:r w:rsidR="00262D5F" w:rsidRPr="001F446E">
        <w:rPr>
          <w:rFonts w:eastAsia="Calibri" w:cs="Tahoma"/>
          <w:szCs w:val="24"/>
        </w:rPr>
        <w:t xml:space="preserve"> a</w:t>
      </w:r>
      <w:r w:rsidRPr="001F446E">
        <w:rPr>
          <w:rFonts w:eastAsia="Calibri" w:cs="Tahoma"/>
          <w:szCs w:val="24"/>
        </w:rPr>
        <w:t xml:space="preserve"> que ambos ciclos </w:t>
      </w:r>
      <w:r w:rsidR="00262D5F" w:rsidRPr="001F446E">
        <w:rPr>
          <w:rFonts w:eastAsia="Calibri" w:cs="Tahoma"/>
          <w:szCs w:val="24"/>
        </w:rPr>
        <w:t>fueron sufragados en su totalidad</w:t>
      </w:r>
      <w:r w:rsidRPr="001F446E">
        <w:rPr>
          <w:rFonts w:eastAsia="Calibri" w:cs="Tahoma"/>
          <w:szCs w:val="24"/>
        </w:rPr>
        <w:t xml:space="preserve"> el 1 de septiembre y el 05 de octubre de 1999, respectivamente, esto debido a que</w:t>
      </w:r>
      <w:r w:rsidR="00262D5F" w:rsidRPr="001F446E">
        <w:rPr>
          <w:rFonts w:eastAsia="Calibri" w:cs="Tahoma"/>
          <w:szCs w:val="24"/>
        </w:rPr>
        <w:t xml:space="preserve"> estos pagos </w:t>
      </w:r>
      <w:r w:rsidRPr="001F446E">
        <w:rPr>
          <w:rFonts w:eastAsia="Calibri" w:cs="Tahoma"/>
          <w:szCs w:val="24"/>
        </w:rPr>
        <w:t>fue</w:t>
      </w:r>
      <w:r w:rsidR="00262D5F" w:rsidRPr="001F446E">
        <w:rPr>
          <w:rFonts w:eastAsia="Calibri" w:cs="Tahoma"/>
          <w:szCs w:val="24"/>
        </w:rPr>
        <w:t>ron</w:t>
      </w:r>
      <w:r w:rsidRPr="001F446E">
        <w:rPr>
          <w:rFonts w:eastAsia="Calibri" w:cs="Tahoma"/>
          <w:szCs w:val="24"/>
        </w:rPr>
        <w:t xml:space="preserve"> imputado</w:t>
      </w:r>
      <w:r w:rsidR="00262D5F" w:rsidRPr="001F446E">
        <w:rPr>
          <w:rFonts w:eastAsia="Calibri" w:cs="Tahoma"/>
          <w:szCs w:val="24"/>
        </w:rPr>
        <w:t>s</w:t>
      </w:r>
      <w:r w:rsidRPr="001F446E">
        <w:rPr>
          <w:rFonts w:eastAsia="Calibri" w:cs="Tahoma"/>
          <w:szCs w:val="24"/>
        </w:rPr>
        <w:t xml:space="preserve"> a </w:t>
      </w:r>
      <w:r w:rsidR="002B1FC5" w:rsidRPr="001F446E">
        <w:rPr>
          <w:rFonts w:eastAsia="Calibri" w:cs="Tahoma"/>
          <w:szCs w:val="24"/>
        </w:rPr>
        <w:t>periodos anteriores, puntualmente a los ciclos de julio y octubre de 1997, lo</w:t>
      </w:r>
      <w:r w:rsidRPr="001F446E">
        <w:rPr>
          <w:rFonts w:eastAsia="Calibri" w:cs="Tahoma"/>
          <w:szCs w:val="24"/>
        </w:rPr>
        <w:t>s</w:t>
      </w:r>
      <w:r w:rsidR="002B1FC5" w:rsidRPr="001F446E">
        <w:rPr>
          <w:rFonts w:eastAsia="Calibri" w:cs="Tahoma"/>
          <w:szCs w:val="24"/>
        </w:rPr>
        <w:t xml:space="preserve"> cuales tienen observación de </w:t>
      </w:r>
      <w:r w:rsidR="002B1FC5" w:rsidRPr="001F446E">
        <w:rPr>
          <w:rFonts w:eastAsia="Calibri" w:cs="Tahoma"/>
          <w:i/>
          <w:szCs w:val="24"/>
        </w:rPr>
        <w:t>“</w:t>
      </w:r>
      <w:r w:rsidR="002B1FC5" w:rsidRPr="00D41A8E">
        <w:rPr>
          <w:rFonts w:eastAsia="Calibri" w:cs="Tahoma"/>
          <w:i/>
          <w:sz w:val="22"/>
          <w:szCs w:val="24"/>
        </w:rPr>
        <w:t>deuda presunta, pago aplicado de periodos posteriores</w:t>
      </w:r>
      <w:r w:rsidR="002B1FC5" w:rsidRPr="001F446E">
        <w:rPr>
          <w:rFonts w:eastAsia="Calibri" w:cs="Tahoma"/>
          <w:i/>
          <w:szCs w:val="24"/>
        </w:rPr>
        <w:t xml:space="preserve">”, </w:t>
      </w:r>
      <w:r w:rsidR="002B1FC5" w:rsidRPr="001F446E">
        <w:rPr>
          <w:rFonts w:eastAsia="Calibri" w:cs="Tahoma"/>
          <w:szCs w:val="24"/>
        </w:rPr>
        <w:t xml:space="preserve">de lo cual se infiere que el empleador omitió el pago de estos ciclos, y todavía se encuentra en mora de su pago, al margen de la imputación de pagos que afectó periodos posteriores, </w:t>
      </w:r>
      <w:r w:rsidR="009711A2" w:rsidRPr="001F446E">
        <w:rPr>
          <w:rFonts w:eastAsia="Calibri" w:cs="Tahoma"/>
          <w:szCs w:val="24"/>
        </w:rPr>
        <w:t xml:space="preserve">tal </w:t>
      </w:r>
      <w:r w:rsidR="002B1FC5" w:rsidRPr="001F446E">
        <w:rPr>
          <w:rFonts w:eastAsia="Calibri" w:cs="Tahoma"/>
          <w:szCs w:val="24"/>
        </w:rPr>
        <w:t xml:space="preserve">como se desprende del cuadro de </w:t>
      </w:r>
      <w:r w:rsidR="002B1FC5" w:rsidRPr="001F446E">
        <w:rPr>
          <w:rFonts w:eastAsia="Calibri" w:cs="Tahoma"/>
          <w:i/>
          <w:szCs w:val="24"/>
        </w:rPr>
        <w:t>“</w:t>
      </w:r>
      <w:r w:rsidR="002B1FC5" w:rsidRPr="00D41A8E">
        <w:rPr>
          <w:rFonts w:eastAsia="Calibri" w:cs="Tahoma"/>
          <w:i/>
          <w:sz w:val="22"/>
          <w:szCs w:val="24"/>
        </w:rPr>
        <w:t>detalle</w:t>
      </w:r>
      <w:r w:rsidR="009726F9" w:rsidRPr="00D41A8E">
        <w:rPr>
          <w:rFonts w:eastAsia="Calibri" w:cs="Tahoma"/>
          <w:i/>
          <w:sz w:val="22"/>
          <w:szCs w:val="24"/>
        </w:rPr>
        <w:t xml:space="preserve"> de pagos</w:t>
      </w:r>
      <w:r w:rsidR="002B1FC5" w:rsidRPr="00D41A8E">
        <w:rPr>
          <w:rFonts w:eastAsia="Calibri" w:cs="Tahoma"/>
          <w:i/>
          <w:sz w:val="22"/>
          <w:szCs w:val="24"/>
        </w:rPr>
        <w:t xml:space="preserve"> efectuados a partir de 1995</w:t>
      </w:r>
      <w:r w:rsidR="002B1FC5" w:rsidRPr="001F446E">
        <w:rPr>
          <w:rFonts w:eastAsia="Calibri" w:cs="Tahoma"/>
          <w:i/>
          <w:szCs w:val="24"/>
        </w:rPr>
        <w:t>”</w:t>
      </w:r>
      <w:r w:rsidR="009711A2" w:rsidRPr="001F446E">
        <w:rPr>
          <w:rFonts w:eastAsia="Calibri" w:cs="Tahoma"/>
          <w:i/>
          <w:szCs w:val="24"/>
        </w:rPr>
        <w:t xml:space="preserve">. </w:t>
      </w:r>
      <w:r w:rsidR="009711A2" w:rsidRPr="001F446E">
        <w:rPr>
          <w:rFonts w:eastAsia="Calibri" w:cs="Tahoma"/>
          <w:szCs w:val="24"/>
        </w:rPr>
        <w:t>Ello así, como quiera que no obra en el plenario acreditación de “</w:t>
      </w:r>
      <w:r w:rsidR="009711A2" w:rsidRPr="00D41A8E">
        <w:rPr>
          <w:rFonts w:eastAsia="Calibri" w:cs="Tahoma"/>
          <w:sz w:val="22"/>
          <w:szCs w:val="24"/>
        </w:rPr>
        <w:t>deuda incobrable</w:t>
      </w:r>
      <w:r w:rsidR="009711A2" w:rsidRPr="001F446E">
        <w:rPr>
          <w:rFonts w:eastAsia="Calibri" w:cs="Tahoma"/>
          <w:szCs w:val="24"/>
        </w:rPr>
        <w:t>” ni novedad de retiro para los ciclos que se reflejan en mora, estas semanas han debido computarse como válidamente cotizadas por</w:t>
      </w:r>
      <w:r w:rsidR="00E16F9E" w:rsidRPr="001F446E">
        <w:rPr>
          <w:rFonts w:eastAsia="Calibri" w:cs="Tahoma"/>
          <w:szCs w:val="24"/>
        </w:rPr>
        <w:t xml:space="preserve"> COLPENSIONES. </w:t>
      </w:r>
    </w:p>
    <w:p w14:paraId="4EBE4CE0" w14:textId="77777777" w:rsidR="00E16F9E" w:rsidRPr="001F446E" w:rsidRDefault="00E16F9E" w:rsidP="001F446E">
      <w:pPr>
        <w:pStyle w:val="Prrafodelista"/>
        <w:widowControl w:val="0"/>
        <w:autoSpaceDE w:val="0"/>
        <w:autoSpaceDN w:val="0"/>
        <w:spacing w:line="276" w:lineRule="auto"/>
        <w:rPr>
          <w:rFonts w:eastAsia="Calibri" w:cs="Tahoma"/>
          <w:szCs w:val="24"/>
        </w:rPr>
      </w:pPr>
    </w:p>
    <w:p w14:paraId="2E13AB51" w14:textId="233BEBC1" w:rsidR="009A5088" w:rsidRPr="001F446E" w:rsidRDefault="00E16F9E"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r w:rsidRPr="001F446E">
        <w:rPr>
          <w:rFonts w:ascii="Tahoma" w:eastAsia="Calibri" w:hAnsi="Tahoma" w:cs="Tahoma"/>
        </w:rPr>
        <w:t>Con lo anterior el demandant</w:t>
      </w:r>
      <w:r w:rsidR="00262D5F" w:rsidRPr="001F446E">
        <w:rPr>
          <w:rFonts w:ascii="Tahoma" w:eastAsia="Calibri" w:hAnsi="Tahoma" w:cs="Tahoma"/>
        </w:rPr>
        <w:t xml:space="preserve">e acredita un total de 1006,3 semanas cotizadas </w:t>
      </w:r>
      <w:r w:rsidR="00262D5F" w:rsidRPr="001F446E">
        <w:rPr>
          <w:rFonts w:ascii="Tahoma" w:eastAsia="Calibri" w:hAnsi="Tahoma" w:cs="Tahoma"/>
        </w:rPr>
        <w:lastRenderedPageBreak/>
        <w:t>en toda su vida laboral, las cuales resultan suficientes para acceder al derecho, conforme a los requisitos del Acuerdo 049 de 1990</w:t>
      </w:r>
      <w:r w:rsidR="00400466" w:rsidRPr="001F446E">
        <w:rPr>
          <w:rFonts w:ascii="Tahoma" w:eastAsia="Calibri" w:hAnsi="Tahoma" w:cs="Tahoma"/>
        </w:rPr>
        <w:t>, tal como acertadamente se decidió en primera instancia, de modo que la declaración del derecho no se será objeto de modificación en esta sede jurisdiccional de consulta.</w:t>
      </w:r>
    </w:p>
    <w:p w14:paraId="1B3D5C00" w14:textId="0B4E39BB" w:rsidR="00400466" w:rsidRPr="001F446E" w:rsidRDefault="00400466" w:rsidP="001F446E">
      <w:pPr>
        <w:widowControl w:val="0"/>
        <w:autoSpaceDE w:val="0"/>
        <w:autoSpaceDN w:val="0"/>
        <w:spacing w:before="0" w:beforeAutospacing="0" w:after="0" w:afterAutospacing="0" w:line="276" w:lineRule="auto"/>
        <w:ind w:firstLine="0"/>
        <w:contextualSpacing/>
        <w:rPr>
          <w:rFonts w:ascii="Tahoma" w:eastAsia="Calibri" w:hAnsi="Tahoma" w:cs="Tahoma"/>
        </w:rPr>
      </w:pPr>
    </w:p>
    <w:p w14:paraId="53097048" w14:textId="7A6FEBFA" w:rsidR="00400466" w:rsidRPr="001F446E" w:rsidRDefault="00400466"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r w:rsidRPr="001F446E">
        <w:rPr>
          <w:rFonts w:ascii="Tahoma" w:eastAsia="Calibri" w:hAnsi="Tahoma" w:cs="Tahoma"/>
        </w:rPr>
        <w:t xml:space="preserve">En cuanto a la fecha de disfrute de la pensión de vejez, ciertamente el demandante tenía derecho a acceder a la pensión de vejez desde 2 de febrero de 2006, fecha en que arribó a la edad de sesenta (60) años, pues en esa calenda ya acumulaba la densidad mínima de cotizaciones </w:t>
      </w:r>
      <w:r w:rsidR="008C6C03" w:rsidRPr="001F446E">
        <w:rPr>
          <w:rFonts w:ascii="Tahoma" w:eastAsia="Calibri" w:hAnsi="Tahoma" w:cs="Tahoma"/>
        </w:rPr>
        <w:t xml:space="preserve">exigida por el Acuerdo 049 de 1990, como se explicó en precedencia. Sin embargo, como apenas reclamó la pensión por primera vez el 16 de noviembre de 2018, como se puede apreciar en folio </w:t>
      </w:r>
      <w:r w:rsidR="00B2678F" w:rsidRPr="001F446E">
        <w:rPr>
          <w:rFonts w:ascii="Tahoma" w:eastAsia="Calibri" w:hAnsi="Tahoma" w:cs="Tahoma"/>
        </w:rPr>
        <w:t xml:space="preserve">3 del archivo 04, prescribieron todas las mesadas anteriores al 16 de noviembre de 2015, es decir, las causadas por fuera de los tres (3) años anteriores a la radicación de la citada reclamación, por lo que este punto de la sentencia objeto de consulta tampoco será modificado. </w:t>
      </w:r>
    </w:p>
    <w:p w14:paraId="32BCBE7F" w14:textId="0DE4DE8A" w:rsidR="00B2678F" w:rsidRPr="001F446E" w:rsidRDefault="00B2678F"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p>
    <w:p w14:paraId="385C8B9F" w14:textId="16347D0B" w:rsidR="00B2678F" w:rsidRPr="001F446E" w:rsidRDefault="00B2678F"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r w:rsidRPr="001F446E">
        <w:rPr>
          <w:rFonts w:ascii="Tahoma" w:eastAsia="Calibri" w:hAnsi="Tahoma" w:cs="Tahoma"/>
        </w:rPr>
        <w:t xml:space="preserve">En cuanto al monto de la pensión, teniendo en cuenta que el cálculo de valor de la primera mesada arrojó la suma de un (1) SMLMV en primera instancia, siendo este el monto mínimo de la pensión, se confirmará dicho monto en sede jurisdiccional de consulta. </w:t>
      </w:r>
    </w:p>
    <w:p w14:paraId="2D7ECEE2" w14:textId="77777777" w:rsidR="00B2678F" w:rsidRPr="001F446E" w:rsidRDefault="00B2678F"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p>
    <w:p w14:paraId="38C28220" w14:textId="5C36BEA1" w:rsidR="00BD3468" w:rsidRPr="001F446E" w:rsidRDefault="00B2678F"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r w:rsidRPr="001F446E">
        <w:rPr>
          <w:rFonts w:ascii="Tahoma" w:eastAsia="Calibri" w:hAnsi="Tahoma" w:cs="Tahoma"/>
        </w:rPr>
        <w:t xml:space="preserve">Finalmente, en relación </w:t>
      </w:r>
      <w:r w:rsidR="00BD3468" w:rsidRPr="001F446E">
        <w:rPr>
          <w:rFonts w:ascii="Tahoma" w:eastAsia="Calibri" w:hAnsi="Tahoma" w:cs="Tahoma"/>
        </w:rPr>
        <w:t>al</w:t>
      </w:r>
      <w:r w:rsidRPr="001F446E">
        <w:rPr>
          <w:rFonts w:ascii="Tahoma" w:eastAsia="Calibri" w:hAnsi="Tahoma" w:cs="Tahoma"/>
        </w:rPr>
        <w:t xml:space="preserve"> monto del retroactivo pensional reconocid</w:t>
      </w:r>
      <w:r w:rsidR="00BD3468" w:rsidRPr="001F446E">
        <w:rPr>
          <w:rFonts w:ascii="Tahoma" w:eastAsia="Calibri" w:hAnsi="Tahoma" w:cs="Tahoma"/>
        </w:rPr>
        <w:t>o</w:t>
      </w:r>
      <w:r w:rsidRPr="001F446E">
        <w:rPr>
          <w:rFonts w:ascii="Tahoma" w:eastAsia="Calibri" w:hAnsi="Tahoma" w:cs="Tahoma"/>
        </w:rPr>
        <w:t xml:space="preserve"> en primera instancia, efectuados los cálculos en esta instancia, sobre la base de un salario mínimo y por 14 mesadas al año, </w:t>
      </w:r>
      <w:r w:rsidR="00BD3468" w:rsidRPr="001F446E">
        <w:rPr>
          <w:rFonts w:ascii="Tahoma" w:eastAsia="Calibri" w:hAnsi="Tahoma" w:cs="Tahoma"/>
        </w:rPr>
        <w:t xml:space="preserve">el valor arrojado, correspondiente al retroactivo causado entre el 16 de noviembre de 2015 y el 30 de noviembre de 2021, mes anterior al fallo de primera, coincide con el determinado en primera instancia, tal como se aprecia en el siguiente cuadro: </w:t>
      </w:r>
    </w:p>
    <w:p w14:paraId="3B3C117D" w14:textId="77777777" w:rsidR="00234658" w:rsidRPr="001F446E" w:rsidRDefault="00234658"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2"/>
        <w:gridCol w:w="1202"/>
        <w:gridCol w:w="1480"/>
        <w:gridCol w:w="1380"/>
        <w:gridCol w:w="1394"/>
      </w:tblGrid>
      <w:tr w:rsidR="00BD3468" w:rsidRPr="00D41A8E" w14:paraId="2F2C5347" w14:textId="77777777" w:rsidTr="00BD3468">
        <w:trPr>
          <w:trHeight w:val="300"/>
          <w:jc w:val="center"/>
        </w:trPr>
        <w:tc>
          <w:tcPr>
            <w:tcW w:w="1202" w:type="dxa"/>
            <w:shd w:val="clear" w:color="auto" w:fill="auto"/>
            <w:noWrap/>
            <w:vAlign w:val="center"/>
            <w:hideMark/>
          </w:tcPr>
          <w:p w14:paraId="4F748DD5" w14:textId="77777777" w:rsidR="00BD3468" w:rsidRPr="00D41A8E" w:rsidRDefault="00BD3468" w:rsidP="00D41A8E">
            <w:pPr>
              <w:spacing w:before="0" w:beforeAutospacing="0" w:after="0" w:afterAutospacing="0" w:line="240" w:lineRule="auto"/>
              <w:ind w:firstLine="0"/>
              <w:jc w:val="left"/>
              <w:rPr>
                <w:rFonts w:ascii="Tahoma" w:eastAsia="Times New Roman" w:hAnsi="Tahoma" w:cs="Tahoma"/>
                <w:b/>
                <w:bCs/>
                <w:color w:val="000000"/>
                <w:sz w:val="20"/>
                <w:lang w:eastAsia="es-CO"/>
              </w:rPr>
            </w:pPr>
            <w:r w:rsidRPr="00D41A8E">
              <w:rPr>
                <w:rFonts w:ascii="Tahoma" w:eastAsia="Times New Roman" w:hAnsi="Tahoma" w:cs="Tahoma"/>
                <w:b/>
                <w:bCs/>
                <w:color w:val="000000"/>
                <w:sz w:val="20"/>
                <w:lang w:eastAsia="es-CO"/>
              </w:rPr>
              <w:t>DESDE</w:t>
            </w:r>
          </w:p>
        </w:tc>
        <w:tc>
          <w:tcPr>
            <w:tcW w:w="1202" w:type="dxa"/>
            <w:shd w:val="clear" w:color="auto" w:fill="auto"/>
            <w:noWrap/>
            <w:vAlign w:val="center"/>
            <w:hideMark/>
          </w:tcPr>
          <w:p w14:paraId="45721213" w14:textId="77777777" w:rsidR="00BD3468" w:rsidRPr="00D41A8E" w:rsidRDefault="00BD3468" w:rsidP="00D41A8E">
            <w:pPr>
              <w:spacing w:before="0" w:beforeAutospacing="0" w:after="0" w:afterAutospacing="0" w:line="240" w:lineRule="auto"/>
              <w:ind w:firstLine="0"/>
              <w:jc w:val="left"/>
              <w:rPr>
                <w:rFonts w:ascii="Tahoma" w:eastAsia="Times New Roman" w:hAnsi="Tahoma" w:cs="Tahoma"/>
                <w:b/>
                <w:bCs/>
                <w:color w:val="000000"/>
                <w:sz w:val="20"/>
                <w:lang w:eastAsia="es-CO"/>
              </w:rPr>
            </w:pPr>
            <w:r w:rsidRPr="00D41A8E">
              <w:rPr>
                <w:rFonts w:ascii="Tahoma" w:eastAsia="Times New Roman" w:hAnsi="Tahoma" w:cs="Tahoma"/>
                <w:b/>
                <w:bCs/>
                <w:color w:val="000000"/>
                <w:sz w:val="20"/>
                <w:lang w:eastAsia="es-CO"/>
              </w:rPr>
              <w:t>HASTA</w:t>
            </w:r>
          </w:p>
        </w:tc>
        <w:tc>
          <w:tcPr>
            <w:tcW w:w="1480" w:type="dxa"/>
            <w:shd w:val="clear" w:color="auto" w:fill="auto"/>
            <w:vAlign w:val="center"/>
            <w:hideMark/>
          </w:tcPr>
          <w:p w14:paraId="442C39BF" w14:textId="77777777" w:rsidR="00BD3468" w:rsidRPr="00D41A8E" w:rsidRDefault="00BD3468" w:rsidP="00D41A8E">
            <w:pPr>
              <w:spacing w:before="0" w:beforeAutospacing="0" w:after="0" w:afterAutospacing="0" w:line="240" w:lineRule="auto"/>
              <w:ind w:firstLine="0"/>
              <w:jc w:val="left"/>
              <w:rPr>
                <w:rFonts w:ascii="Tahoma" w:eastAsia="Times New Roman" w:hAnsi="Tahoma" w:cs="Tahoma"/>
                <w:b/>
                <w:bCs/>
                <w:color w:val="000000"/>
                <w:sz w:val="20"/>
                <w:lang w:eastAsia="es-CO"/>
              </w:rPr>
            </w:pPr>
            <w:r w:rsidRPr="00D41A8E">
              <w:rPr>
                <w:rFonts w:ascii="Tahoma" w:eastAsia="Times New Roman" w:hAnsi="Tahoma" w:cs="Tahoma"/>
                <w:b/>
                <w:bCs/>
                <w:color w:val="000000"/>
                <w:sz w:val="20"/>
                <w:lang w:eastAsia="es-CO"/>
              </w:rPr>
              <w:t>N° MESADAS</w:t>
            </w:r>
          </w:p>
        </w:tc>
        <w:tc>
          <w:tcPr>
            <w:tcW w:w="1380" w:type="dxa"/>
            <w:shd w:val="clear" w:color="auto" w:fill="auto"/>
            <w:vAlign w:val="center"/>
            <w:hideMark/>
          </w:tcPr>
          <w:p w14:paraId="6FB01BDE" w14:textId="77777777" w:rsidR="00BD3468" w:rsidRPr="00D41A8E" w:rsidRDefault="00BD3468" w:rsidP="00D41A8E">
            <w:pPr>
              <w:spacing w:before="0" w:beforeAutospacing="0" w:after="0" w:afterAutospacing="0" w:line="240" w:lineRule="auto"/>
              <w:ind w:firstLine="0"/>
              <w:jc w:val="left"/>
              <w:rPr>
                <w:rFonts w:ascii="Tahoma" w:eastAsia="Times New Roman" w:hAnsi="Tahoma" w:cs="Tahoma"/>
                <w:b/>
                <w:bCs/>
                <w:color w:val="000000"/>
                <w:sz w:val="20"/>
                <w:lang w:eastAsia="es-CO"/>
              </w:rPr>
            </w:pPr>
            <w:r w:rsidRPr="00D41A8E">
              <w:rPr>
                <w:rFonts w:ascii="Tahoma" w:eastAsia="Times New Roman" w:hAnsi="Tahoma" w:cs="Tahoma"/>
                <w:b/>
                <w:bCs/>
                <w:color w:val="000000"/>
                <w:sz w:val="20"/>
                <w:lang w:eastAsia="es-CO"/>
              </w:rPr>
              <w:t>V. MESADA</w:t>
            </w:r>
          </w:p>
        </w:tc>
        <w:tc>
          <w:tcPr>
            <w:tcW w:w="1394" w:type="dxa"/>
            <w:shd w:val="clear" w:color="auto" w:fill="auto"/>
            <w:vAlign w:val="center"/>
            <w:hideMark/>
          </w:tcPr>
          <w:p w14:paraId="5229F86D" w14:textId="77777777" w:rsidR="00BD3468" w:rsidRPr="00D41A8E" w:rsidRDefault="00BD3468" w:rsidP="00D41A8E">
            <w:pPr>
              <w:spacing w:before="0" w:beforeAutospacing="0" w:after="0" w:afterAutospacing="0" w:line="240" w:lineRule="auto"/>
              <w:ind w:firstLine="0"/>
              <w:jc w:val="left"/>
              <w:rPr>
                <w:rFonts w:ascii="Tahoma" w:eastAsia="Times New Roman" w:hAnsi="Tahoma" w:cs="Tahoma"/>
                <w:b/>
                <w:bCs/>
                <w:color w:val="000000"/>
                <w:sz w:val="20"/>
                <w:lang w:eastAsia="es-CO"/>
              </w:rPr>
            </w:pPr>
            <w:r w:rsidRPr="00D41A8E">
              <w:rPr>
                <w:rFonts w:ascii="Tahoma" w:eastAsia="Times New Roman" w:hAnsi="Tahoma" w:cs="Tahoma"/>
                <w:b/>
                <w:bCs/>
                <w:color w:val="000000"/>
                <w:sz w:val="20"/>
                <w:lang w:eastAsia="es-CO"/>
              </w:rPr>
              <w:t>TOTAL</w:t>
            </w:r>
          </w:p>
        </w:tc>
      </w:tr>
      <w:tr w:rsidR="00BD3468" w:rsidRPr="00D41A8E" w14:paraId="152F9A97" w14:textId="77777777" w:rsidTr="00BD3468">
        <w:trPr>
          <w:trHeight w:val="300"/>
          <w:jc w:val="center"/>
        </w:trPr>
        <w:tc>
          <w:tcPr>
            <w:tcW w:w="1202" w:type="dxa"/>
            <w:shd w:val="clear" w:color="auto" w:fill="auto"/>
            <w:noWrap/>
            <w:vAlign w:val="bottom"/>
            <w:hideMark/>
          </w:tcPr>
          <w:p w14:paraId="528390ED"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16/11/2015</w:t>
            </w:r>
          </w:p>
        </w:tc>
        <w:tc>
          <w:tcPr>
            <w:tcW w:w="1202" w:type="dxa"/>
            <w:shd w:val="clear" w:color="auto" w:fill="auto"/>
            <w:noWrap/>
            <w:vAlign w:val="bottom"/>
            <w:hideMark/>
          </w:tcPr>
          <w:p w14:paraId="1C5BAE8A"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31/12/2015</w:t>
            </w:r>
          </w:p>
        </w:tc>
        <w:tc>
          <w:tcPr>
            <w:tcW w:w="1480" w:type="dxa"/>
            <w:shd w:val="clear" w:color="auto" w:fill="auto"/>
            <w:noWrap/>
            <w:vAlign w:val="bottom"/>
            <w:hideMark/>
          </w:tcPr>
          <w:p w14:paraId="0443A0D4"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3</w:t>
            </w:r>
          </w:p>
        </w:tc>
        <w:tc>
          <w:tcPr>
            <w:tcW w:w="1380" w:type="dxa"/>
            <w:shd w:val="clear" w:color="auto" w:fill="auto"/>
            <w:noWrap/>
            <w:vAlign w:val="bottom"/>
            <w:hideMark/>
          </w:tcPr>
          <w:p w14:paraId="317D9D70"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$ 644.350</w:t>
            </w:r>
          </w:p>
        </w:tc>
        <w:tc>
          <w:tcPr>
            <w:tcW w:w="1394" w:type="dxa"/>
            <w:shd w:val="clear" w:color="auto" w:fill="auto"/>
            <w:noWrap/>
            <w:vAlign w:val="bottom"/>
            <w:hideMark/>
          </w:tcPr>
          <w:p w14:paraId="3B0DA2E9"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$ 1.933.050</w:t>
            </w:r>
          </w:p>
        </w:tc>
      </w:tr>
      <w:tr w:rsidR="00BD3468" w:rsidRPr="00D41A8E" w14:paraId="14733A53" w14:textId="77777777" w:rsidTr="00BD3468">
        <w:trPr>
          <w:trHeight w:val="300"/>
          <w:jc w:val="center"/>
        </w:trPr>
        <w:tc>
          <w:tcPr>
            <w:tcW w:w="1202" w:type="dxa"/>
            <w:shd w:val="clear" w:color="auto" w:fill="auto"/>
            <w:noWrap/>
            <w:vAlign w:val="bottom"/>
            <w:hideMark/>
          </w:tcPr>
          <w:p w14:paraId="5E4A5371"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1/01/2016</w:t>
            </w:r>
          </w:p>
        </w:tc>
        <w:tc>
          <w:tcPr>
            <w:tcW w:w="1202" w:type="dxa"/>
            <w:shd w:val="clear" w:color="auto" w:fill="auto"/>
            <w:noWrap/>
            <w:vAlign w:val="bottom"/>
            <w:hideMark/>
          </w:tcPr>
          <w:p w14:paraId="647005EB"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31/12/2016</w:t>
            </w:r>
          </w:p>
        </w:tc>
        <w:tc>
          <w:tcPr>
            <w:tcW w:w="1480" w:type="dxa"/>
            <w:shd w:val="clear" w:color="auto" w:fill="auto"/>
            <w:noWrap/>
            <w:vAlign w:val="bottom"/>
            <w:hideMark/>
          </w:tcPr>
          <w:p w14:paraId="389FE97B"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14</w:t>
            </w:r>
          </w:p>
        </w:tc>
        <w:tc>
          <w:tcPr>
            <w:tcW w:w="1380" w:type="dxa"/>
            <w:shd w:val="clear" w:color="auto" w:fill="auto"/>
            <w:noWrap/>
            <w:vAlign w:val="bottom"/>
            <w:hideMark/>
          </w:tcPr>
          <w:p w14:paraId="69CCD6BE"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$ 689.455</w:t>
            </w:r>
          </w:p>
        </w:tc>
        <w:tc>
          <w:tcPr>
            <w:tcW w:w="1394" w:type="dxa"/>
            <w:shd w:val="clear" w:color="auto" w:fill="auto"/>
            <w:noWrap/>
            <w:vAlign w:val="bottom"/>
            <w:hideMark/>
          </w:tcPr>
          <w:p w14:paraId="725726AA"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$ 9.652.370</w:t>
            </w:r>
          </w:p>
        </w:tc>
      </w:tr>
      <w:tr w:rsidR="00BD3468" w:rsidRPr="00D41A8E" w14:paraId="08009611" w14:textId="77777777" w:rsidTr="00BD3468">
        <w:trPr>
          <w:trHeight w:val="300"/>
          <w:jc w:val="center"/>
        </w:trPr>
        <w:tc>
          <w:tcPr>
            <w:tcW w:w="1202" w:type="dxa"/>
            <w:shd w:val="clear" w:color="auto" w:fill="auto"/>
            <w:noWrap/>
            <w:vAlign w:val="bottom"/>
            <w:hideMark/>
          </w:tcPr>
          <w:p w14:paraId="239151A7"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1/01/2017</w:t>
            </w:r>
          </w:p>
        </w:tc>
        <w:tc>
          <w:tcPr>
            <w:tcW w:w="1202" w:type="dxa"/>
            <w:shd w:val="clear" w:color="auto" w:fill="auto"/>
            <w:noWrap/>
            <w:vAlign w:val="bottom"/>
            <w:hideMark/>
          </w:tcPr>
          <w:p w14:paraId="18F642CC"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31/12/2017</w:t>
            </w:r>
          </w:p>
        </w:tc>
        <w:tc>
          <w:tcPr>
            <w:tcW w:w="1480" w:type="dxa"/>
            <w:shd w:val="clear" w:color="auto" w:fill="auto"/>
            <w:noWrap/>
            <w:vAlign w:val="bottom"/>
            <w:hideMark/>
          </w:tcPr>
          <w:p w14:paraId="3A6D3865"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14</w:t>
            </w:r>
          </w:p>
        </w:tc>
        <w:tc>
          <w:tcPr>
            <w:tcW w:w="1380" w:type="dxa"/>
            <w:shd w:val="clear" w:color="auto" w:fill="auto"/>
            <w:noWrap/>
            <w:vAlign w:val="bottom"/>
            <w:hideMark/>
          </w:tcPr>
          <w:p w14:paraId="0B193B95"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$ 737.717</w:t>
            </w:r>
          </w:p>
        </w:tc>
        <w:tc>
          <w:tcPr>
            <w:tcW w:w="1394" w:type="dxa"/>
            <w:shd w:val="clear" w:color="auto" w:fill="auto"/>
            <w:noWrap/>
            <w:vAlign w:val="bottom"/>
            <w:hideMark/>
          </w:tcPr>
          <w:p w14:paraId="620F8224"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$ 10.328.038</w:t>
            </w:r>
          </w:p>
        </w:tc>
      </w:tr>
      <w:tr w:rsidR="00BD3468" w:rsidRPr="00D41A8E" w14:paraId="72BCC347" w14:textId="77777777" w:rsidTr="00BD3468">
        <w:trPr>
          <w:trHeight w:val="300"/>
          <w:jc w:val="center"/>
        </w:trPr>
        <w:tc>
          <w:tcPr>
            <w:tcW w:w="1202" w:type="dxa"/>
            <w:shd w:val="clear" w:color="auto" w:fill="auto"/>
            <w:noWrap/>
            <w:vAlign w:val="bottom"/>
            <w:hideMark/>
          </w:tcPr>
          <w:p w14:paraId="1989CEBD"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1/01/2018</w:t>
            </w:r>
          </w:p>
        </w:tc>
        <w:tc>
          <w:tcPr>
            <w:tcW w:w="1202" w:type="dxa"/>
            <w:shd w:val="clear" w:color="auto" w:fill="auto"/>
            <w:noWrap/>
            <w:vAlign w:val="bottom"/>
            <w:hideMark/>
          </w:tcPr>
          <w:p w14:paraId="56CCE3DA"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31/12/2018</w:t>
            </w:r>
          </w:p>
        </w:tc>
        <w:tc>
          <w:tcPr>
            <w:tcW w:w="1480" w:type="dxa"/>
            <w:shd w:val="clear" w:color="auto" w:fill="auto"/>
            <w:noWrap/>
            <w:vAlign w:val="bottom"/>
            <w:hideMark/>
          </w:tcPr>
          <w:p w14:paraId="0D4E0F12"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14</w:t>
            </w:r>
          </w:p>
        </w:tc>
        <w:tc>
          <w:tcPr>
            <w:tcW w:w="1380" w:type="dxa"/>
            <w:shd w:val="clear" w:color="auto" w:fill="auto"/>
            <w:noWrap/>
            <w:vAlign w:val="bottom"/>
            <w:hideMark/>
          </w:tcPr>
          <w:p w14:paraId="06A4D619"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$ 781.242</w:t>
            </w:r>
          </w:p>
        </w:tc>
        <w:tc>
          <w:tcPr>
            <w:tcW w:w="1394" w:type="dxa"/>
            <w:shd w:val="clear" w:color="auto" w:fill="auto"/>
            <w:noWrap/>
            <w:vAlign w:val="bottom"/>
            <w:hideMark/>
          </w:tcPr>
          <w:p w14:paraId="7CB6252A"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$ 10.937.388</w:t>
            </w:r>
          </w:p>
        </w:tc>
      </w:tr>
      <w:tr w:rsidR="00BD3468" w:rsidRPr="00D41A8E" w14:paraId="027FDAE2" w14:textId="77777777" w:rsidTr="00BD3468">
        <w:trPr>
          <w:trHeight w:val="300"/>
          <w:jc w:val="center"/>
        </w:trPr>
        <w:tc>
          <w:tcPr>
            <w:tcW w:w="1202" w:type="dxa"/>
            <w:shd w:val="clear" w:color="auto" w:fill="auto"/>
            <w:noWrap/>
            <w:vAlign w:val="bottom"/>
            <w:hideMark/>
          </w:tcPr>
          <w:p w14:paraId="4E9C60EB"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1/01/2019</w:t>
            </w:r>
          </w:p>
        </w:tc>
        <w:tc>
          <w:tcPr>
            <w:tcW w:w="1202" w:type="dxa"/>
            <w:shd w:val="clear" w:color="auto" w:fill="auto"/>
            <w:noWrap/>
            <w:vAlign w:val="bottom"/>
            <w:hideMark/>
          </w:tcPr>
          <w:p w14:paraId="603F0763"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31/12/2019</w:t>
            </w:r>
          </w:p>
        </w:tc>
        <w:tc>
          <w:tcPr>
            <w:tcW w:w="1480" w:type="dxa"/>
            <w:shd w:val="clear" w:color="auto" w:fill="auto"/>
            <w:noWrap/>
            <w:vAlign w:val="bottom"/>
            <w:hideMark/>
          </w:tcPr>
          <w:p w14:paraId="6D0B5002"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14</w:t>
            </w:r>
          </w:p>
        </w:tc>
        <w:tc>
          <w:tcPr>
            <w:tcW w:w="1380" w:type="dxa"/>
            <w:shd w:val="clear" w:color="auto" w:fill="auto"/>
            <w:noWrap/>
            <w:vAlign w:val="bottom"/>
            <w:hideMark/>
          </w:tcPr>
          <w:p w14:paraId="66093DE8"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$ 828.116</w:t>
            </w:r>
          </w:p>
        </w:tc>
        <w:tc>
          <w:tcPr>
            <w:tcW w:w="1394" w:type="dxa"/>
            <w:shd w:val="clear" w:color="auto" w:fill="auto"/>
            <w:noWrap/>
            <w:vAlign w:val="bottom"/>
            <w:hideMark/>
          </w:tcPr>
          <w:p w14:paraId="0B98DDC1"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$ 11.593.624</w:t>
            </w:r>
          </w:p>
        </w:tc>
      </w:tr>
      <w:tr w:rsidR="00BD3468" w:rsidRPr="00D41A8E" w14:paraId="7DB99140" w14:textId="77777777" w:rsidTr="00BD3468">
        <w:trPr>
          <w:trHeight w:val="300"/>
          <w:jc w:val="center"/>
        </w:trPr>
        <w:tc>
          <w:tcPr>
            <w:tcW w:w="1202" w:type="dxa"/>
            <w:shd w:val="clear" w:color="auto" w:fill="auto"/>
            <w:noWrap/>
            <w:vAlign w:val="bottom"/>
            <w:hideMark/>
          </w:tcPr>
          <w:p w14:paraId="7DFCB231"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1/01/2020</w:t>
            </w:r>
          </w:p>
        </w:tc>
        <w:tc>
          <w:tcPr>
            <w:tcW w:w="1202" w:type="dxa"/>
            <w:shd w:val="clear" w:color="auto" w:fill="auto"/>
            <w:noWrap/>
            <w:vAlign w:val="bottom"/>
            <w:hideMark/>
          </w:tcPr>
          <w:p w14:paraId="624CF471"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31/12/2020</w:t>
            </w:r>
          </w:p>
        </w:tc>
        <w:tc>
          <w:tcPr>
            <w:tcW w:w="1480" w:type="dxa"/>
            <w:shd w:val="clear" w:color="auto" w:fill="auto"/>
            <w:noWrap/>
            <w:vAlign w:val="bottom"/>
            <w:hideMark/>
          </w:tcPr>
          <w:p w14:paraId="3D4A8086"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14</w:t>
            </w:r>
          </w:p>
        </w:tc>
        <w:tc>
          <w:tcPr>
            <w:tcW w:w="1380" w:type="dxa"/>
            <w:shd w:val="clear" w:color="auto" w:fill="auto"/>
            <w:noWrap/>
            <w:vAlign w:val="bottom"/>
            <w:hideMark/>
          </w:tcPr>
          <w:p w14:paraId="6E31569D"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$ 877.802</w:t>
            </w:r>
          </w:p>
        </w:tc>
        <w:tc>
          <w:tcPr>
            <w:tcW w:w="1394" w:type="dxa"/>
            <w:shd w:val="clear" w:color="auto" w:fill="auto"/>
            <w:noWrap/>
            <w:vAlign w:val="bottom"/>
            <w:hideMark/>
          </w:tcPr>
          <w:p w14:paraId="75D4BF3E"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$ 12.289.228</w:t>
            </w:r>
          </w:p>
        </w:tc>
      </w:tr>
      <w:tr w:rsidR="00BD3468" w:rsidRPr="00D41A8E" w14:paraId="65F7FEFD" w14:textId="77777777" w:rsidTr="00BD3468">
        <w:trPr>
          <w:trHeight w:val="300"/>
          <w:jc w:val="center"/>
        </w:trPr>
        <w:tc>
          <w:tcPr>
            <w:tcW w:w="1202" w:type="dxa"/>
            <w:tcBorders>
              <w:bottom w:val="single" w:sz="4" w:space="0" w:color="auto"/>
            </w:tcBorders>
            <w:shd w:val="clear" w:color="auto" w:fill="auto"/>
            <w:noWrap/>
            <w:vAlign w:val="bottom"/>
            <w:hideMark/>
          </w:tcPr>
          <w:p w14:paraId="53063B76"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1/01/2021</w:t>
            </w:r>
          </w:p>
        </w:tc>
        <w:tc>
          <w:tcPr>
            <w:tcW w:w="1202" w:type="dxa"/>
            <w:tcBorders>
              <w:bottom w:val="single" w:sz="4" w:space="0" w:color="auto"/>
            </w:tcBorders>
            <w:shd w:val="clear" w:color="auto" w:fill="auto"/>
            <w:noWrap/>
            <w:vAlign w:val="bottom"/>
            <w:hideMark/>
          </w:tcPr>
          <w:p w14:paraId="3123F768"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30/11/2021</w:t>
            </w:r>
          </w:p>
        </w:tc>
        <w:tc>
          <w:tcPr>
            <w:tcW w:w="1480" w:type="dxa"/>
            <w:tcBorders>
              <w:bottom w:val="single" w:sz="4" w:space="0" w:color="auto"/>
            </w:tcBorders>
            <w:shd w:val="clear" w:color="auto" w:fill="auto"/>
            <w:noWrap/>
            <w:vAlign w:val="bottom"/>
            <w:hideMark/>
          </w:tcPr>
          <w:p w14:paraId="4BD72CF1"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13</w:t>
            </w:r>
          </w:p>
        </w:tc>
        <w:tc>
          <w:tcPr>
            <w:tcW w:w="1380" w:type="dxa"/>
            <w:tcBorders>
              <w:bottom w:val="single" w:sz="4" w:space="0" w:color="auto"/>
            </w:tcBorders>
            <w:shd w:val="clear" w:color="auto" w:fill="auto"/>
            <w:noWrap/>
            <w:vAlign w:val="bottom"/>
            <w:hideMark/>
          </w:tcPr>
          <w:p w14:paraId="18E4036D"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$ 908.526</w:t>
            </w:r>
          </w:p>
        </w:tc>
        <w:tc>
          <w:tcPr>
            <w:tcW w:w="1394" w:type="dxa"/>
            <w:shd w:val="clear" w:color="auto" w:fill="auto"/>
            <w:noWrap/>
            <w:vAlign w:val="bottom"/>
            <w:hideMark/>
          </w:tcPr>
          <w:p w14:paraId="7E643952"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color w:val="000000"/>
                <w:sz w:val="20"/>
                <w:lang w:eastAsia="es-CO"/>
              </w:rPr>
            </w:pPr>
            <w:r w:rsidRPr="00D41A8E">
              <w:rPr>
                <w:rFonts w:ascii="Tahoma" w:eastAsia="Times New Roman" w:hAnsi="Tahoma" w:cs="Tahoma"/>
                <w:color w:val="000000"/>
                <w:sz w:val="20"/>
                <w:lang w:eastAsia="es-CO"/>
              </w:rPr>
              <w:t>$ 11.810.838</w:t>
            </w:r>
          </w:p>
        </w:tc>
      </w:tr>
      <w:tr w:rsidR="00BD3468" w:rsidRPr="00D41A8E" w14:paraId="512E325D" w14:textId="77777777" w:rsidTr="00BD3468">
        <w:trPr>
          <w:trHeight w:val="300"/>
          <w:jc w:val="center"/>
        </w:trPr>
        <w:tc>
          <w:tcPr>
            <w:tcW w:w="5264" w:type="dxa"/>
            <w:gridSpan w:val="4"/>
            <w:tcBorders>
              <w:left w:val="nil"/>
              <w:bottom w:val="nil"/>
            </w:tcBorders>
            <w:shd w:val="clear" w:color="auto" w:fill="auto"/>
            <w:noWrap/>
            <w:vAlign w:val="bottom"/>
            <w:hideMark/>
          </w:tcPr>
          <w:p w14:paraId="5975BE02" w14:textId="77777777" w:rsidR="00BD3468" w:rsidRPr="00D41A8E" w:rsidRDefault="00BD3468" w:rsidP="00D41A8E">
            <w:pPr>
              <w:spacing w:before="0" w:beforeAutospacing="0" w:after="0" w:afterAutospacing="0" w:line="240" w:lineRule="auto"/>
              <w:ind w:firstLine="0"/>
              <w:jc w:val="left"/>
              <w:rPr>
                <w:rFonts w:ascii="Tahoma" w:eastAsia="Times New Roman" w:hAnsi="Tahoma" w:cs="Tahoma"/>
                <w:sz w:val="20"/>
                <w:lang w:eastAsia="es-CO"/>
              </w:rPr>
            </w:pPr>
          </w:p>
        </w:tc>
        <w:tc>
          <w:tcPr>
            <w:tcW w:w="1394" w:type="dxa"/>
            <w:shd w:val="clear" w:color="auto" w:fill="auto"/>
            <w:noWrap/>
            <w:vAlign w:val="bottom"/>
            <w:hideMark/>
          </w:tcPr>
          <w:p w14:paraId="1507394E" w14:textId="77777777" w:rsidR="00BD3468" w:rsidRPr="00D41A8E" w:rsidRDefault="00BD3468" w:rsidP="00D41A8E">
            <w:pPr>
              <w:spacing w:before="0" w:beforeAutospacing="0" w:after="0" w:afterAutospacing="0" w:line="240" w:lineRule="auto"/>
              <w:ind w:firstLine="0"/>
              <w:jc w:val="right"/>
              <w:rPr>
                <w:rFonts w:ascii="Tahoma" w:eastAsia="Times New Roman" w:hAnsi="Tahoma" w:cs="Tahoma"/>
                <w:b/>
                <w:color w:val="000000"/>
                <w:sz w:val="20"/>
                <w:lang w:eastAsia="es-CO"/>
              </w:rPr>
            </w:pPr>
            <w:r w:rsidRPr="00D41A8E">
              <w:rPr>
                <w:rFonts w:ascii="Tahoma" w:eastAsia="Times New Roman" w:hAnsi="Tahoma" w:cs="Tahoma"/>
                <w:b/>
                <w:color w:val="000000"/>
                <w:sz w:val="18"/>
                <w:lang w:eastAsia="es-CO"/>
              </w:rPr>
              <w:t>$ 68.544.536</w:t>
            </w:r>
          </w:p>
        </w:tc>
      </w:tr>
    </w:tbl>
    <w:p w14:paraId="2BD78BCA" w14:textId="77777777" w:rsidR="00234658" w:rsidRPr="001F446E" w:rsidRDefault="00234658"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p>
    <w:p w14:paraId="0777D134" w14:textId="5971A0F0" w:rsidR="00BD3468" w:rsidRPr="001F446E" w:rsidRDefault="00BD3468"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r w:rsidRPr="001F446E">
        <w:rPr>
          <w:rFonts w:ascii="Tahoma" w:eastAsia="Calibri" w:hAnsi="Tahoma" w:cs="Tahoma"/>
        </w:rPr>
        <w:t>Ahora bien, efectuada la actualización de la condena hasta el 30 de junio de 2022, tal como lo ordena el artículo 283 del C.G.P., el valor se incrementa hasta la suma de $76.453.062, sin perjuicio de las mesadas de carácter vitalicia que se sigan causando a partir del 1° de julio del presente año y hasta la inclusión en nómina de pensionado del demandante</w:t>
      </w:r>
      <w:r w:rsidR="002D2AE3" w:rsidRPr="001F446E">
        <w:rPr>
          <w:rFonts w:ascii="Tahoma" w:eastAsia="Calibri" w:hAnsi="Tahoma" w:cs="Tahoma"/>
        </w:rPr>
        <w:t>.</w:t>
      </w:r>
    </w:p>
    <w:p w14:paraId="6741C0E3" w14:textId="6091AD96" w:rsidR="002D2AE3" w:rsidRPr="001F446E" w:rsidRDefault="002D2AE3"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p>
    <w:p w14:paraId="4FBD4DA0" w14:textId="52A8A303" w:rsidR="002D2AE3" w:rsidRPr="001F446E" w:rsidRDefault="002D2AE3" w:rsidP="001F446E">
      <w:pPr>
        <w:widowControl w:val="0"/>
        <w:autoSpaceDE w:val="0"/>
        <w:autoSpaceDN w:val="0"/>
        <w:spacing w:before="0" w:beforeAutospacing="0" w:after="0" w:afterAutospacing="0" w:line="276" w:lineRule="auto"/>
        <w:ind w:firstLine="708"/>
        <w:contextualSpacing/>
        <w:rPr>
          <w:rFonts w:ascii="Tahoma" w:eastAsia="Calibri" w:hAnsi="Tahoma" w:cs="Tahoma"/>
          <w:b/>
        </w:rPr>
      </w:pPr>
      <w:r w:rsidRPr="001F446E">
        <w:rPr>
          <w:rFonts w:ascii="Tahoma" w:eastAsia="Calibri" w:hAnsi="Tahoma" w:cs="Tahoma"/>
          <w:b/>
        </w:rPr>
        <w:t>ACTUALIZACIÓN DEL RETROACTIVO HASTA LA FECHA DE LA SENTENCIA DE SEGUNDO GRADO</w:t>
      </w:r>
    </w:p>
    <w:p w14:paraId="3966D681" w14:textId="774B0397" w:rsidR="00BD3468" w:rsidRPr="001F446E" w:rsidRDefault="00BD3468"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p>
    <w:tbl>
      <w:tblPr>
        <w:tblStyle w:val="Tablaconcuadrcula1"/>
        <w:tblW w:w="7376" w:type="dxa"/>
        <w:jc w:val="center"/>
        <w:tblLook w:val="04A0" w:firstRow="1" w:lastRow="0" w:firstColumn="1" w:lastColumn="0" w:noHBand="0" w:noVBand="1"/>
      </w:tblPr>
      <w:tblGrid>
        <w:gridCol w:w="1278"/>
        <w:gridCol w:w="1278"/>
        <w:gridCol w:w="1692"/>
        <w:gridCol w:w="1417"/>
        <w:gridCol w:w="1711"/>
      </w:tblGrid>
      <w:tr w:rsidR="002D2AE3" w:rsidRPr="00D41A8E" w14:paraId="1A99E309" w14:textId="77777777" w:rsidTr="00D41A8E">
        <w:trPr>
          <w:trHeight w:val="300"/>
          <w:jc w:val="center"/>
        </w:trPr>
        <w:tc>
          <w:tcPr>
            <w:tcW w:w="1278" w:type="dxa"/>
            <w:noWrap/>
            <w:hideMark/>
          </w:tcPr>
          <w:p w14:paraId="7ACBA001" w14:textId="77777777" w:rsidR="002D2AE3" w:rsidRPr="00D41A8E" w:rsidRDefault="002D2AE3" w:rsidP="00D41A8E">
            <w:pPr>
              <w:rPr>
                <w:rFonts w:ascii="Tahoma" w:eastAsia="Times New Roman" w:hAnsi="Tahoma" w:cs="Tahoma"/>
                <w:b/>
                <w:bCs/>
                <w:color w:val="000000"/>
                <w:sz w:val="20"/>
                <w:szCs w:val="24"/>
                <w:lang w:eastAsia="es-CO"/>
              </w:rPr>
            </w:pPr>
            <w:r w:rsidRPr="00D41A8E">
              <w:rPr>
                <w:rFonts w:ascii="Tahoma" w:eastAsia="Times New Roman" w:hAnsi="Tahoma" w:cs="Tahoma"/>
                <w:b/>
                <w:bCs/>
                <w:color w:val="000000"/>
                <w:sz w:val="20"/>
                <w:szCs w:val="24"/>
                <w:lang w:eastAsia="es-CO"/>
              </w:rPr>
              <w:lastRenderedPageBreak/>
              <w:t>DESDE</w:t>
            </w:r>
          </w:p>
        </w:tc>
        <w:tc>
          <w:tcPr>
            <w:tcW w:w="1278" w:type="dxa"/>
            <w:noWrap/>
            <w:hideMark/>
          </w:tcPr>
          <w:p w14:paraId="70C630D5" w14:textId="77777777" w:rsidR="002D2AE3" w:rsidRPr="00D41A8E" w:rsidRDefault="002D2AE3" w:rsidP="00D41A8E">
            <w:pPr>
              <w:rPr>
                <w:rFonts w:ascii="Tahoma" w:eastAsia="Times New Roman" w:hAnsi="Tahoma" w:cs="Tahoma"/>
                <w:b/>
                <w:bCs/>
                <w:color w:val="000000"/>
                <w:sz w:val="20"/>
                <w:szCs w:val="24"/>
                <w:lang w:eastAsia="es-CO"/>
              </w:rPr>
            </w:pPr>
            <w:r w:rsidRPr="00D41A8E">
              <w:rPr>
                <w:rFonts w:ascii="Tahoma" w:eastAsia="Times New Roman" w:hAnsi="Tahoma" w:cs="Tahoma"/>
                <w:b/>
                <w:bCs/>
                <w:color w:val="000000"/>
                <w:sz w:val="20"/>
                <w:szCs w:val="24"/>
                <w:lang w:eastAsia="es-CO"/>
              </w:rPr>
              <w:t>HASTA</w:t>
            </w:r>
          </w:p>
        </w:tc>
        <w:tc>
          <w:tcPr>
            <w:tcW w:w="1692" w:type="dxa"/>
            <w:hideMark/>
          </w:tcPr>
          <w:p w14:paraId="7E4C5FEC" w14:textId="77777777" w:rsidR="002D2AE3" w:rsidRPr="00D41A8E" w:rsidRDefault="002D2AE3" w:rsidP="00D41A8E">
            <w:pPr>
              <w:rPr>
                <w:rFonts w:ascii="Tahoma" w:eastAsia="Times New Roman" w:hAnsi="Tahoma" w:cs="Tahoma"/>
                <w:b/>
                <w:bCs/>
                <w:color w:val="000000"/>
                <w:sz w:val="20"/>
                <w:szCs w:val="24"/>
                <w:lang w:eastAsia="es-CO"/>
              </w:rPr>
            </w:pPr>
            <w:r w:rsidRPr="00D41A8E">
              <w:rPr>
                <w:rFonts w:ascii="Tahoma" w:eastAsia="Times New Roman" w:hAnsi="Tahoma" w:cs="Tahoma"/>
                <w:b/>
                <w:bCs/>
                <w:color w:val="000000"/>
                <w:sz w:val="20"/>
                <w:szCs w:val="24"/>
                <w:lang w:eastAsia="es-CO"/>
              </w:rPr>
              <w:t>N° MESADAS</w:t>
            </w:r>
          </w:p>
        </w:tc>
        <w:tc>
          <w:tcPr>
            <w:tcW w:w="1417" w:type="dxa"/>
            <w:hideMark/>
          </w:tcPr>
          <w:p w14:paraId="5308ED60" w14:textId="77777777" w:rsidR="002D2AE3" w:rsidRPr="00D41A8E" w:rsidRDefault="002D2AE3" w:rsidP="00D41A8E">
            <w:pPr>
              <w:rPr>
                <w:rFonts w:ascii="Tahoma" w:eastAsia="Times New Roman" w:hAnsi="Tahoma" w:cs="Tahoma"/>
                <w:b/>
                <w:bCs/>
                <w:color w:val="000000"/>
                <w:sz w:val="20"/>
                <w:szCs w:val="24"/>
                <w:lang w:eastAsia="es-CO"/>
              </w:rPr>
            </w:pPr>
            <w:r w:rsidRPr="00D41A8E">
              <w:rPr>
                <w:rFonts w:ascii="Tahoma" w:eastAsia="Times New Roman" w:hAnsi="Tahoma" w:cs="Tahoma"/>
                <w:b/>
                <w:bCs/>
                <w:color w:val="000000"/>
                <w:sz w:val="20"/>
                <w:szCs w:val="24"/>
                <w:lang w:eastAsia="es-CO"/>
              </w:rPr>
              <w:t>V. MESADA</w:t>
            </w:r>
          </w:p>
        </w:tc>
        <w:tc>
          <w:tcPr>
            <w:tcW w:w="1711" w:type="dxa"/>
            <w:hideMark/>
          </w:tcPr>
          <w:p w14:paraId="18875378" w14:textId="77777777" w:rsidR="002D2AE3" w:rsidRPr="00D41A8E" w:rsidRDefault="002D2AE3" w:rsidP="00D41A8E">
            <w:pPr>
              <w:rPr>
                <w:rFonts w:ascii="Tahoma" w:eastAsia="Times New Roman" w:hAnsi="Tahoma" w:cs="Tahoma"/>
                <w:b/>
                <w:bCs/>
                <w:color w:val="000000"/>
                <w:sz w:val="20"/>
                <w:szCs w:val="24"/>
                <w:lang w:eastAsia="es-CO"/>
              </w:rPr>
            </w:pPr>
            <w:r w:rsidRPr="00D41A8E">
              <w:rPr>
                <w:rFonts w:ascii="Tahoma" w:eastAsia="Times New Roman" w:hAnsi="Tahoma" w:cs="Tahoma"/>
                <w:b/>
                <w:bCs/>
                <w:color w:val="000000"/>
                <w:sz w:val="20"/>
                <w:szCs w:val="24"/>
                <w:lang w:eastAsia="es-CO"/>
              </w:rPr>
              <w:t>TOTAL</w:t>
            </w:r>
          </w:p>
        </w:tc>
      </w:tr>
      <w:tr w:rsidR="002D2AE3" w:rsidRPr="00D41A8E" w14:paraId="7F276AB9" w14:textId="77777777" w:rsidTr="00D41A8E">
        <w:trPr>
          <w:trHeight w:val="300"/>
          <w:jc w:val="center"/>
        </w:trPr>
        <w:tc>
          <w:tcPr>
            <w:tcW w:w="1278" w:type="dxa"/>
            <w:noWrap/>
            <w:hideMark/>
          </w:tcPr>
          <w:p w14:paraId="1CA78BD7"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16/11/2015</w:t>
            </w:r>
          </w:p>
        </w:tc>
        <w:tc>
          <w:tcPr>
            <w:tcW w:w="1278" w:type="dxa"/>
            <w:noWrap/>
            <w:hideMark/>
          </w:tcPr>
          <w:p w14:paraId="62AC7A17"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31/12/2015</w:t>
            </w:r>
          </w:p>
        </w:tc>
        <w:tc>
          <w:tcPr>
            <w:tcW w:w="1692" w:type="dxa"/>
            <w:noWrap/>
            <w:hideMark/>
          </w:tcPr>
          <w:p w14:paraId="0DD4AD09"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3</w:t>
            </w:r>
          </w:p>
        </w:tc>
        <w:tc>
          <w:tcPr>
            <w:tcW w:w="1417" w:type="dxa"/>
            <w:noWrap/>
            <w:hideMark/>
          </w:tcPr>
          <w:p w14:paraId="32FEDC3B"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$ 644.350</w:t>
            </w:r>
          </w:p>
        </w:tc>
        <w:tc>
          <w:tcPr>
            <w:tcW w:w="1711" w:type="dxa"/>
            <w:noWrap/>
            <w:hideMark/>
          </w:tcPr>
          <w:p w14:paraId="7653927B"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$ 1.933.050</w:t>
            </w:r>
          </w:p>
        </w:tc>
      </w:tr>
      <w:tr w:rsidR="002D2AE3" w:rsidRPr="00D41A8E" w14:paraId="13F0C668" w14:textId="77777777" w:rsidTr="00D41A8E">
        <w:trPr>
          <w:trHeight w:val="300"/>
          <w:jc w:val="center"/>
        </w:trPr>
        <w:tc>
          <w:tcPr>
            <w:tcW w:w="1278" w:type="dxa"/>
            <w:noWrap/>
            <w:hideMark/>
          </w:tcPr>
          <w:p w14:paraId="263626BB"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1/01/2016</w:t>
            </w:r>
          </w:p>
        </w:tc>
        <w:tc>
          <w:tcPr>
            <w:tcW w:w="1278" w:type="dxa"/>
            <w:noWrap/>
            <w:hideMark/>
          </w:tcPr>
          <w:p w14:paraId="0678A097"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31/12/2016</w:t>
            </w:r>
          </w:p>
        </w:tc>
        <w:tc>
          <w:tcPr>
            <w:tcW w:w="1692" w:type="dxa"/>
            <w:noWrap/>
            <w:hideMark/>
          </w:tcPr>
          <w:p w14:paraId="5CB56D5D"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14</w:t>
            </w:r>
          </w:p>
        </w:tc>
        <w:tc>
          <w:tcPr>
            <w:tcW w:w="1417" w:type="dxa"/>
            <w:noWrap/>
            <w:hideMark/>
          </w:tcPr>
          <w:p w14:paraId="37315E94"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$ 689.455</w:t>
            </w:r>
          </w:p>
        </w:tc>
        <w:tc>
          <w:tcPr>
            <w:tcW w:w="1711" w:type="dxa"/>
            <w:noWrap/>
            <w:hideMark/>
          </w:tcPr>
          <w:p w14:paraId="7C062CC7"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$ 9.652.370</w:t>
            </w:r>
          </w:p>
        </w:tc>
      </w:tr>
      <w:tr w:rsidR="002D2AE3" w:rsidRPr="00D41A8E" w14:paraId="1DBE94F3" w14:textId="77777777" w:rsidTr="00D41A8E">
        <w:trPr>
          <w:trHeight w:val="300"/>
          <w:jc w:val="center"/>
        </w:trPr>
        <w:tc>
          <w:tcPr>
            <w:tcW w:w="1278" w:type="dxa"/>
            <w:noWrap/>
            <w:hideMark/>
          </w:tcPr>
          <w:p w14:paraId="16F83DDA"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1/01/2017</w:t>
            </w:r>
          </w:p>
        </w:tc>
        <w:tc>
          <w:tcPr>
            <w:tcW w:w="1278" w:type="dxa"/>
            <w:noWrap/>
            <w:hideMark/>
          </w:tcPr>
          <w:p w14:paraId="4C69A544"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31/12/2017</w:t>
            </w:r>
          </w:p>
        </w:tc>
        <w:tc>
          <w:tcPr>
            <w:tcW w:w="1692" w:type="dxa"/>
            <w:noWrap/>
            <w:hideMark/>
          </w:tcPr>
          <w:p w14:paraId="0BF61013"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14</w:t>
            </w:r>
          </w:p>
        </w:tc>
        <w:tc>
          <w:tcPr>
            <w:tcW w:w="1417" w:type="dxa"/>
            <w:noWrap/>
            <w:hideMark/>
          </w:tcPr>
          <w:p w14:paraId="79D371BB"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$ 737.717</w:t>
            </w:r>
          </w:p>
        </w:tc>
        <w:tc>
          <w:tcPr>
            <w:tcW w:w="1711" w:type="dxa"/>
            <w:noWrap/>
            <w:hideMark/>
          </w:tcPr>
          <w:p w14:paraId="3FBF020D"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$ 10.328.038</w:t>
            </w:r>
          </w:p>
        </w:tc>
      </w:tr>
      <w:tr w:rsidR="002D2AE3" w:rsidRPr="00D41A8E" w14:paraId="592349F6" w14:textId="77777777" w:rsidTr="00D41A8E">
        <w:trPr>
          <w:trHeight w:val="300"/>
          <w:jc w:val="center"/>
        </w:trPr>
        <w:tc>
          <w:tcPr>
            <w:tcW w:w="1278" w:type="dxa"/>
            <w:noWrap/>
            <w:hideMark/>
          </w:tcPr>
          <w:p w14:paraId="3364FB28"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1/01/2018</w:t>
            </w:r>
          </w:p>
        </w:tc>
        <w:tc>
          <w:tcPr>
            <w:tcW w:w="1278" w:type="dxa"/>
            <w:noWrap/>
            <w:hideMark/>
          </w:tcPr>
          <w:p w14:paraId="4403EEF2"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31/12/2018</w:t>
            </w:r>
          </w:p>
        </w:tc>
        <w:tc>
          <w:tcPr>
            <w:tcW w:w="1692" w:type="dxa"/>
            <w:noWrap/>
            <w:hideMark/>
          </w:tcPr>
          <w:p w14:paraId="65F28358"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14</w:t>
            </w:r>
          </w:p>
        </w:tc>
        <w:tc>
          <w:tcPr>
            <w:tcW w:w="1417" w:type="dxa"/>
            <w:noWrap/>
            <w:hideMark/>
          </w:tcPr>
          <w:p w14:paraId="23A5A11C"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$ 781.242</w:t>
            </w:r>
          </w:p>
        </w:tc>
        <w:tc>
          <w:tcPr>
            <w:tcW w:w="1711" w:type="dxa"/>
            <w:noWrap/>
            <w:hideMark/>
          </w:tcPr>
          <w:p w14:paraId="2422765B"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$ 10.937.388</w:t>
            </w:r>
          </w:p>
        </w:tc>
      </w:tr>
      <w:tr w:rsidR="002D2AE3" w:rsidRPr="00D41A8E" w14:paraId="735105AB" w14:textId="77777777" w:rsidTr="00D41A8E">
        <w:trPr>
          <w:trHeight w:val="300"/>
          <w:jc w:val="center"/>
        </w:trPr>
        <w:tc>
          <w:tcPr>
            <w:tcW w:w="1278" w:type="dxa"/>
            <w:noWrap/>
            <w:hideMark/>
          </w:tcPr>
          <w:p w14:paraId="39D95874"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1/01/2019</w:t>
            </w:r>
          </w:p>
        </w:tc>
        <w:tc>
          <w:tcPr>
            <w:tcW w:w="1278" w:type="dxa"/>
            <w:noWrap/>
            <w:hideMark/>
          </w:tcPr>
          <w:p w14:paraId="62233E2B"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31/12/2019</w:t>
            </w:r>
          </w:p>
        </w:tc>
        <w:tc>
          <w:tcPr>
            <w:tcW w:w="1692" w:type="dxa"/>
            <w:noWrap/>
            <w:hideMark/>
          </w:tcPr>
          <w:p w14:paraId="7D14E444"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14</w:t>
            </w:r>
          </w:p>
        </w:tc>
        <w:tc>
          <w:tcPr>
            <w:tcW w:w="1417" w:type="dxa"/>
            <w:noWrap/>
            <w:hideMark/>
          </w:tcPr>
          <w:p w14:paraId="2585ED15"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$ 828.116</w:t>
            </w:r>
          </w:p>
        </w:tc>
        <w:tc>
          <w:tcPr>
            <w:tcW w:w="1711" w:type="dxa"/>
            <w:noWrap/>
            <w:hideMark/>
          </w:tcPr>
          <w:p w14:paraId="1DE4F328"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$ 11.593.624</w:t>
            </w:r>
          </w:p>
        </w:tc>
      </w:tr>
      <w:tr w:rsidR="002D2AE3" w:rsidRPr="00D41A8E" w14:paraId="766AAAE9" w14:textId="77777777" w:rsidTr="00D41A8E">
        <w:trPr>
          <w:trHeight w:val="300"/>
          <w:jc w:val="center"/>
        </w:trPr>
        <w:tc>
          <w:tcPr>
            <w:tcW w:w="1278" w:type="dxa"/>
            <w:noWrap/>
            <w:hideMark/>
          </w:tcPr>
          <w:p w14:paraId="06535D8C"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1/01/2020</w:t>
            </w:r>
          </w:p>
        </w:tc>
        <w:tc>
          <w:tcPr>
            <w:tcW w:w="1278" w:type="dxa"/>
            <w:noWrap/>
            <w:hideMark/>
          </w:tcPr>
          <w:p w14:paraId="4738710B"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31/12/2020</w:t>
            </w:r>
          </w:p>
        </w:tc>
        <w:tc>
          <w:tcPr>
            <w:tcW w:w="1692" w:type="dxa"/>
            <w:noWrap/>
            <w:hideMark/>
          </w:tcPr>
          <w:p w14:paraId="5B557AC7"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14</w:t>
            </w:r>
          </w:p>
        </w:tc>
        <w:tc>
          <w:tcPr>
            <w:tcW w:w="1417" w:type="dxa"/>
            <w:noWrap/>
            <w:hideMark/>
          </w:tcPr>
          <w:p w14:paraId="7953FE94"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$ 877.802</w:t>
            </w:r>
          </w:p>
        </w:tc>
        <w:tc>
          <w:tcPr>
            <w:tcW w:w="1711" w:type="dxa"/>
            <w:noWrap/>
            <w:hideMark/>
          </w:tcPr>
          <w:p w14:paraId="265A6F40"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$ 12.289.228</w:t>
            </w:r>
          </w:p>
        </w:tc>
      </w:tr>
      <w:tr w:rsidR="002D2AE3" w:rsidRPr="00D41A8E" w14:paraId="34DD6947" w14:textId="77777777" w:rsidTr="00D41A8E">
        <w:trPr>
          <w:trHeight w:val="300"/>
          <w:jc w:val="center"/>
        </w:trPr>
        <w:tc>
          <w:tcPr>
            <w:tcW w:w="1278" w:type="dxa"/>
            <w:noWrap/>
            <w:hideMark/>
          </w:tcPr>
          <w:p w14:paraId="752BA37A"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1/01/2021</w:t>
            </w:r>
          </w:p>
        </w:tc>
        <w:tc>
          <w:tcPr>
            <w:tcW w:w="1278" w:type="dxa"/>
            <w:noWrap/>
            <w:hideMark/>
          </w:tcPr>
          <w:p w14:paraId="262B82D2"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31/12/2021</w:t>
            </w:r>
          </w:p>
        </w:tc>
        <w:tc>
          <w:tcPr>
            <w:tcW w:w="1692" w:type="dxa"/>
            <w:noWrap/>
            <w:hideMark/>
          </w:tcPr>
          <w:p w14:paraId="6E4683BC"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14</w:t>
            </w:r>
          </w:p>
        </w:tc>
        <w:tc>
          <w:tcPr>
            <w:tcW w:w="1417" w:type="dxa"/>
            <w:noWrap/>
            <w:hideMark/>
          </w:tcPr>
          <w:p w14:paraId="2238AE26"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$ 908.526</w:t>
            </w:r>
          </w:p>
        </w:tc>
        <w:tc>
          <w:tcPr>
            <w:tcW w:w="1711" w:type="dxa"/>
            <w:noWrap/>
            <w:hideMark/>
          </w:tcPr>
          <w:p w14:paraId="737D9C2D"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$ 12.719.364</w:t>
            </w:r>
          </w:p>
        </w:tc>
      </w:tr>
      <w:tr w:rsidR="002D2AE3" w:rsidRPr="00D41A8E" w14:paraId="57B1C333" w14:textId="77777777" w:rsidTr="00D41A8E">
        <w:trPr>
          <w:trHeight w:val="300"/>
          <w:jc w:val="center"/>
        </w:trPr>
        <w:tc>
          <w:tcPr>
            <w:tcW w:w="1278" w:type="dxa"/>
            <w:tcBorders>
              <w:bottom w:val="single" w:sz="4" w:space="0" w:color="auto"/>
            </w:tcBorders>
            <w:noWrap/>
            <w:hideMark/>
          </w:tcPr>
          <w:p w14:paraId="2D1C973F"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1/01/2022</w:t>
            </w:r>
          </w:p>
        </w:tc>
        <w:tc>
          <w:tcPr>
            <w:tcW w:w="1278" w:type="dxa"/>
            <w:tcBorders>
              <w:bottom w:val="single" w:sz="4" w:space="0" w:color="auto"/>
            </w:tcBorders>
            <w:noWrap/>
            <w:hideMark/>
          </w:tcPr>
          <w:p w14:paraId="3CE3062E"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30/06/2022</w:t>
            </w:r>
          </w:p>
        </w:tc>
        <w:tc>
          <w:tcPr>
            <w:tcW w:w="1692" w:type="dxa"/>
            <w:tcBorders>
              <w:bottom w:val="single" w:sz="4" w:space="0" w:color="auto"/>
            </w:tcBorders>
            <w:noWrap/>
            <w:hideMark/>
          </w:tcPr>
          <w:p w14:paraId="6C70F8B0"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7</w:t>
            </w:r>
          </w:p>
        </w:tc>
        <w:tc>
          <w:tcPr>
            <w:tcW w:w="1417" w:type="dxa"/>
            <w:tcBorders>
              <w:bottom w:val="single" w:sz="4" w:space="0" w:color="auto"/>
            </w:tcBorders>
            <w:noWrap/>
            <w:hideMark/>
          </w:tcPr>
          <w:p w14:paraId="450159F2"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$ 1.000.000</w:t>
            </w:r>
          </w:p>
        </w:tc>
        <w:tc>
          <w:tcPr>
            <w:tcW w:w="1711" w:type="dxa"/>
            <w:noWrap/>
            <w:hideMark/>
          </w:tcPr>
          <w:p w14:paraId="5FE462DE" w14:textId="77777777" w:rsidR="002D2AE3" w:rsidRPr="00D41A8E" w:rsidRDefault="002D2AE3" w:rsidP="00D41A8E">
            <w:pPr>
              <w:jc w:val="right"/>
              <w:rPr>
                <w:rFonts w:ascii="Tahoma" w:eastAsia="Times New Roman" w:hAnsi="Tahoma" w:cs="Tahoma"/>
                <w:color w:val="000000"/>
                <w:sz w:val="20"/>
                <w:szCs w:val="24"/>
                <w:lang w:eastAsia="es-CO"/>
              </w:rPr>
            </w:pPr>
            <w:r w:rsidRPr="00D41A8E">
              <w:rPr>
                <w:rFonts w:ascii="Tahoma" w:eastAsia="Times New Roman" w:hAnsi="Tahoma" w:cs="Tahoma"/>
                <w:color w:val="000000"/>
                <w:sz w:val="20"/>
                <w:szCs w:val="24"/>
                <w:lang w:eastAsia="es-CO"/>
              </w:rPr>
              <w:t>$ 7.000.000</w:t>
            </w:r>
          </w:p>
        </w:tc>
      </w:tr>
      <w:tr w:rsidR="002D2AE3" w:rsidRPr="00D41A8E" w14:paraId="579BF29D" w14:textId="77777777" w:rsidTr="00D41A8E">
        <w:trPr>
          <w:trHeight w:val="300"/>
          <w:jc w:val="center"/>
        </w:trPr>
        <w:tc>
          <w:tcPr>
            <w:tcW w:w="5665" w:type="dxa"/>
            <w:gridSpan w:val="4"/>
            <w:tcBorders>
              <w:left w:val="nil"/>
              <w:bottom w:val="nil"/>
            </w:tcBorders>
            <w:noWrap/>
            <w:hideMark/>
          </w:tcPr>
          <w:p w14:paraId="739E8583" w14:textId="77777777" w:rsidR="002D2AE3" w:rsidRPr="00D41A8E" w:rsidRDefault="002D2AE3" w:rsidP="00D41A8E">
            <w:pPr>
              <w:rPr>
                <w:rFonts w:ascii="Tahoma" w:eastAsia="Times New Roman" w:hAnsi="Tahoma" w:cs="Tahoma"/>
                <w:sz w:val="20"/>
                <w:szCs w:val="24"/>
                <w:lang w:eastAsia="es-CO"/>
              </w:rPr>
            </w:pPr>
          </w:p>
        </w:tc>
        <w:tc>
          <w:tcPr>
            <w:tcW w:w="1711" w:type="dxa"/>
            <w:noWrap/>
            <w:hideMark/>
          </w:tcPr>
          <w:p w14:paraId="2374EC5A" w14:textId="77777777" w:rsidR="002D2AE3" w:rsidRPr="00D41A8E" w:rsidRDefault="002D2AE3" w:rsidP="00D41A8E">
            <w:pPr>
              <w:jc w:val="right"/>
              <w:rPr>
                <w:rFonts w:ascii="Tahoma" w:eastAsia="Times New Roman" w:hAnsi="Tahoma" w:cs="Tahoma"/>
                <w:b/>
                <w:color w:val="000000"/>
                <w:sz w:val="20"/>
                <w:szCs w:val="24"/>
                <w:lang w:eastAsia="es-CO"/>
              </w:rPr>
            </w:pPr>
            <w:r w:rsidRPr="00D41A8E">
              <w:rPr>
                <w:rFonts w:ascii="Tahoma" w:eastAsia="Times New Roman" w:hAnsi="Tahoma" w:cs="Tahoma"/>
                <w:b/>
                <w:color w:val="000000"/>
                <w:sz w:val="20"/>
                <w:szCs w:val="24"/>
                <w:lang w:eastAsia="es-CO"/>
              </w:rPr>
              <w:t>$ 76.453.062</w:t>
            </w:r>
          </w:p>
        </w:tc>
      </w:tr>
    </w:tbl>
    <w:p w14:paraId="13D5AA80" w14:textId="77777777" w:rsidR="002D2AE3" w:rsidRPr="001F446E" w:rsidRDefault="002D2AE3" w:rsidP="001F446E">
      <w:pPr>
        <w:widowControl w:val="0"/>
        <w:autoSpaceDE w:val="0"/>
        <w:autoSpaceDN w:val="0"/>
        <w:spacing w:before="0" w:beforeAutospacing="0" w:after="0" w:afterAutospacing="0" w:line="276" w:lineRule="auto"/>
        <w:ind w:firstLine="708"/>
        <w:contextualSpacing/>
        <w:rPr>
          <w:rFonts w:ascii="Tahoma" w:eastAsia="Calibri" w:hAnsi="Tahoma" w:cs="Tahoma"/>
        </w:rPr>
      </w:pPr>
    </w:p>
    <w:p w14:paraId="1D31FFA1" w14:textId="6B747B5F" w:rsidR="002D2AE3" w:rsidRDefault="002D2AE3" w:rsidP="001F446E">
      <w:pPr>
        <w:spacing w:before="0" w:beforeAutospacing="0" w:after="0" w:afterAutospacing="0" w:line="276" w:lineRule="auto"/>
        <w:ind w:firstLine="708"/>
        <w:textAlignment w:val="baseline"/>
        <w:rPr>
          <w:rFonts w:ascii="Tahoma" w:eastAsia="Times New Roman" w:hAnsi="Tahoma" w:cs="Tahoma"/>
          <w:lang w:eastAsia="es-CO"/>
        </w:rPr>
      </w:pPr>
      <w:r w:rsidRPr="001F446E">
        <w:rPr>
          <w:rFonts w:ascii="Tahoma" w:eastAsia="Times New Roman" w:hAnsi="Tahoma" w:cs="Tahoma"/>
          <w:lang w:eastAsia="es-CO"/>
        </w:rPr>
        <w:t>Corolario de lo anterior, se confirmará la sentencia de primera instancia</w:t>
      </w:r>
      <w:r w:rsidR="001944E1" w:rsidRPr="001F446E">
        <w:rPr>
          <w:rFonts w:ascii="Tahoma" w:eastAsia="Times New Roman" w:hAnsi="Tahoma" w:cs="Tahoma"/>
          <w:lang w:eastAsia="es-CO"/>
        </w:rPr>
        <w:t xml:space="preserve"> en sede de consulta y se actualizará la condena hasta el 30 de junio de 2022, de conformidad con el artículo 283 del C.G.P., aplicable a esta materia laboral por remisión del artículo 140 de la Ley 100 de 1993. Sin costas en sede jurisdiccional de consulta.</w:t>
      </w:r>
    </w:p>
    <w:p w14:paraId="6EADD53C" w14:textId="77777777" w:rsidR="003A3086" w:rsidRPr="001F446E" w:rsidRDefault="003A3086" w:rsidP="001F446E">
      <w:pPr>
        <w:spacing w:before="0" w:beforeAutospacing="0" w:after="0" w:afterAutospacing="0" w:line="276" w:lineRule="auto"/>
        <w:ind w:firstLine="708"/>
        <w:textAlignment w:val="baseline"/>
        <w:rPr>
          <w:rFonts w:ascii="Tahoma" w:eastAsia="Times New Roman" w:hAnsi="Tahoma" w:cs="Tahoma"/>
          <w:lang w:eastAsia="es-CO"/>
        </w:rPr>
      </w:pPr>
    </w:p>
    <w:p w14:paraId="4F2E825E" w14:textId="0DC016A9" w:rsidR="002D2AE3" w:rsidRPr="001F446E" w:rsidRDefault="002D2AE3" w:rsidP="001F446E">
      <w:pPr>
        <w:spacing w:before="0" w:beforeAutospacing="0" w:after="0" w:afterAutospacing="0" w:line="276" w:lineRule="auto"/>
        <w:ind w:firstLine="708"/>
        <w:textAlignment w:val="baseline"/>
        <w:rPr>
          <w:rFonts w:ascii="Tahoma" w:eastAsia="Times New Roman" w:hAnsi="Tahoma" w:cs="Tahoma"/>
          <w:lang w:eastAsia="es-CO"/>
        </w:rPr>
      </w:pPr>
      <w:r w:rsidRPr="001F446E">
        <w:rPr>
          <w:rFonts w:ascii="Tahoma" w:eastAsia="Times New Roman" w:hAnsi="Tahoma" w:cs="Tahoma"/>
          <w:lang w:eastAsia="es-CO"/>
        </w:rPr>
        <w:t>En mérito de lo expuesto, la </w:t>
      </w:r>
      <w:r w:rsidRPr="001F446E">
        <w:rPr>
          <w:rFonts w:ascii="Tahoma" w:eastAsia="Times New Roman" w:hAnsi="Tahoma" w:cs="Tahoma"/>
          <w:b/>
          <w:bCs/>
          <w:lang w:eastAsia="es-CO"/>
        </w:rPr>
        <w:t>Sala de Decisión Laboral del Tribunal Superior de Pereira</w:t>
      </w:r>
      <w:r w:rsidRPr="001F446E">
        <w:rPr>
          <w:rFonts w:ascii="Tahoma" w:eastAsia="Times New Roman" w:hAnsi="Tahoma" w:cs="Tahoma"/>
          <w:lang w:eastAsia="es-CO"/>
        </w:rPr>
        <w:t>, administrando justicia en nombre de la República y por autoridad de la ley, </w:t>
      </w:r>
    </w:p>
    <w:p w14:paraId="6CF2510F" w14:textId="77777777" w:rsidR="003A3086" w:rsidRPr="001F446E" w:rsidRDefault="003A3086" w:rsidP="003A3086">
      <w:pPr>
        <w:spacing w:before="0" w:beforeAutospacing="0" w:after="0" w:afterAutospacing="0" w:line="276" w:lineRule="auto"/>
        <w:ind w:firstLine="0"/>
        <w:textAlignment w:val="baseline"/>
        <w:rPr>
          <w:rFonts w:ascii="Tahoma" w:eastAsia="Times New Roman" w:hAnsi="Tahoma" w:cs="Tahoma"/>
          <w:lang w:eastAsia="es-CO"/>
        </w:rPr>
      </w:pPr>
    </w:p>
    <w:p w14:paraId="2AD779BD" w14:textId="6C223723" w:rsidR="002D2AE3" w:rsidRPr="001F446E" w:rsidRDefault="002D2AE3" w:rsidP="001F446E">
      <w:pPr>
        <w:spacing w:before="0" w:beforeAutospacing="0" w:after="0" w:afterAutospacing="0" w:line="276" w:lineRule="auto"/>
        <w:jc w:val="center"/>
        <w:textAlignment w:val="baseline"/>
        <w:rPr>
          <w:rFonts w:ascii="Tahoma" w:eastAsia="Times New Roman" w:hAnsi="Tahoma" w:cs="Tahoma"/>
          <w:lang w:eastAsia="es-CO"/>
        </w:rPr>
      </w:pPr>
      <w:r w:rsidRPr="001F446E">
        <w:rPr>
          <w:rFonts w:ascii="Tahoma" w:eastAsia="Times New Roman" w:hAnsi="Tahoma" w:cs="Tahoma"/>
          <w:b/>
          <w:bCs/>
          <w:lang w:eastAsia="es-CO"/>
        </w:rPr>
        <w:t>RESUELVE</w:t>
      </w:r>
    </w:p>
    <w:p w14:paraId="38EFA761" w14:textId="77777777" w:rsidR="003A3086" w:rsidRDefault="003A3086" w:rsidP="001F446E">
      <w:pPr>
        <w:spacing w:before="0" w:beforeAutospacing="0" w:after="0" w:afterAutospacing="0" w:line="276" w:lineRule="auto"/>
        <w:ind w:firstLine="708"/>
        <w:textAlignment w:val="baseline"/>
        <w:rPr>
          <w:rFonts w:ascii="Tahoma" w:eastAsia="Times New Roman" w:hAnsi="Tahoma" w:cs="Tahoma"/>
          <w:b/>
          <w:bCs/>
          <w:u w:val="single"/>
          <w:lang w:eastAsia="es-CO"/>
        </w:rPr>
      </w:pPr>
    </w:p>
    <w:p w14:paraId="27661536" w14:textId="0219F599" w:rsidR="002D2AE3" w:rsidRPr="001F446E" w:rsidRDefault="002D2AE3" w:rsidP="001F446E">
      <w:pPr>
        <w:spacing w:before="0" w:beforeAutospacing="0" w:after="0" w:afterAutospacing="0" w:line="276" w:lineRule="auto"/>
        <w:ind w:firstLine="708"/>
        <w:textAlignment w:val="baseline"/>
        <w:rPr>
          <w:rFonts w:ascii="Tahoma" w:eastAsia="Times New Roman" w:hAnsi="Tahoma" w:cs="Tahoma"/>
          <w:lang w:eastAsia="es-CO"/>
        </w:rPr>
      </w:pPr>
      <w:r w:rsidRPr="001F446E">
        <w:rPr>
          <w:rFonts w:ascii="Tahoma" w:eastAsia="Times New Roman" w:hAnsi="Tahoma" w:cs="Tahoma"/>
          <w:b/>
          <w:bCs/>
          <w:u w:val="single"/>
          <w:lang w:eastAsia="es-CO"/>
        </w:rPr>
        <w:t>PRIMERO:</w:t>
      </w:r>
      <w:r w:rsidR="001944E1" w:rsidRPr="001F446E">
        <w:rPr>
          <w:rFonts w:ascii="Tahoma" w:eastAsia="Times New Roman" w:hAnsi="Tahoma" w:cs="Tahoma"/>
          <w:b/>
          <w:bCs/>
          <w:lang w:eastAsia="es-CO"/>
        </w:rPr>
        <w:t xml:space="preserve"> CONFIRMAR</w:t>
      </w:r>
      <w:r w:rsidRPr="001F446E">
        <w:rPr>
          <w:rFonts w:ascii="Tahoma" w:eastAsia="Times New Roman" w:hAnsi="Tahoma" w:cs="Tahoma"/>
          <w:b/>
          <w:bCs/>
          <w:lang w:eastAsia="es-CO"/>
        </w:rPr>
        <w:t xml:space="preserve"> </w:t>
      </w:r>
      <w:r w:rsidR="001944E1" w:rsidRPr="001F446E">
        <w:rPr>
          <w:rFonts w:ascii="Tahoma" w:eastAsia="Times New Roman" w:hAnsi="Tahoma" w:cs="Tahoma"/>
          <w:lang w:eastAsia="es-CO"/>
        </w:rPr>
        <w:t>en sede de consulta la sentencia de primera instancia dictada dentro del proceso Ordinario Laboral de Primera Instancia promovido por el señor Gonzalo Ramírez Vargas en contra de la Administradora Colombia de Pensiones Colpensiones.</w:t>
      </w:r>
    </w:p>
    <w:p w14:paraId="0DA16E9C" w14:textId="1F12251E" w:rsidR="412E01A1" w:rsidRPr="001F446E" w:rsidRDefault="412E01A1" w:rsidP="001F446E">
      <w:pPr>
        <w:spacing w:before="0" w:beforeAutospacing="0" w:after="0" w:afterAutospacing="0" w:line="276" w:lineRule="auto"/>
        <w:ind w:firstLine="708"/>
        <w:rPr>
          <w:rFonts w:ascii="Tahoma" w:eastAsia="Times New Roman" w:hAnsi="Tahoma" w:cs="Tahoma"/>
          <w:lang w:eastAsia="es-CO"/>
        </w:rPr>
      </w:pPr>
    </w:p>
    <w:p w14:paraId="2FDDEFDD" w14:textId="62F42C28" w:rsidR="004C178D" w:rsidRPr="001F446E" w:rsidRDefault="001944E1" w:rsidP="001F446E">
      <w:pPr>
        <w:spacing w:before="0" w:beforeAutospacing="0" w:after="0" w:afterAutospacing="0" w:line="276" w:lineRule="auto"/>
        <w:ind w:firstLine="709"/>
        <w:textAlignment w:val="baseline"/>
        <w:rPr>
          <w:rFonts w:ascii="Tahoma" w:eastAsia="Times New Roman" w:hAnsi="Tahoma" w:cs="Tahoma"/>
          <w:lang w:eastAsia="es-CO"/>
        </w:rPr>
      </w:pPr>
      <w:r w:rsidRPr="001F446E">
        <w:rPr>
          <w:rFonts w:ascii="Tahoma" w:eastAsia="Times New Roman" w:hAnsi="Tahoma" w:cs="Tahoma"/>
          <w:b/>
          <w:bCs/>
          <w:u w:val="single"/>
          <w:lang w:eastAsia="es-CO"/>
        </w:rPr>
        <w:t>SEGUNDO:</w:t>
      </w:r>
      <w:r w:rsidRPr="001F446E">
        <w:rPr>
          <w:rFonts w:ascii="Tahoma" w:eastAsia="Times New Roman" w:hAnsi="Tahoma" w:cs="Tahoma"/>
          <w:b/>
          <w:bCs/>
          <w:lang w:eastAsia="es-CO"/>
        </w:rPr>
        <w:t xml:space="preserve"> ACTUALIZAR</w:t>
      </w:r>
      <w:r w:rsidRPr="001F446E">
        <w:rPr>
          <w:rFonts w:ascii="Tahoma" w:eastAsia="Times New Roman" w:hAnsi="Tahoma" w:cs="Tahoma"/>
          <w:lang w:eastAsia="es-CO"/>
        </w:rPr>
        <w:t xml:space="preserve"> el monto de la condena al retroactivo pensional hasta el 30 de junio de 2022, conforme se explicó en lo considerativo de la providencia, en el sentido de señalar que el mismo asciende a la suma de </w:t>
      </w:r>
      <w:r w:rsidR="00B53129" w:rsidRPr="001F446E">
        <w:rPr>
          <w:rFonts w:ascii="Tahoma" w:eastAsia="Times New Roman" w:hAnsi="Tahoma" w:cs="Tahoma"/>
          <w:lang w:eastAsia="es-CO"/>
        </w:rPr>
        <w:t xml:space="preserve">setenta y seis millones cuatrocientos cincuenta y tres mil sesenta y dos pesos </w:t>
      </w:r>
      <w:r w:rsidRPr="001F446E">
        <w:rPr>
          <w:rFonts w:ascii="Tahoma" w:eastAsia="Times New Roman" w:hAnsi="Tahoma" w:cs="Tahoma"/>
          <w:lang w:eastAsia="es-CO"/>
        </w:rPr>
        <w:t>(</w:t>
      </w:r>
      <w:r w:rsidRPr="001F446E">
        <w:rPr>
          <w:rFonts w:ascii="Tahoma" w:eastAsia="Times New Roman" w:hAnsi="Tahoma" w:cs="Tahoma"/>
          <w:b/>
          <w:bCs/>
          <w:color w:val="000000" w:themeColor="text1"/>
          <w:lang w:eastAsia="es-CO"/>
        </w:rPr>
        <w:t>$76.453.062</w:t>
      </w:r>
      <w:r w:rsidRPr="001F446E">
        <w:rPr>
          <w:rFonts w:ascii="Tahoma" w:eastAsia="Times New Roman" w:hAnsi="Tahoma" w:cs="Tahoma"/>
          <w:color w:val="000000" w:themeColor="text1"/>
          <w:lang w:eastAsia="es-CO"/>
        </w:rPr>
        <w:t>)</w:t>
      </w:r>
    </w:p>
    <w:p w14:paraId="0A2C2020" w14:textId="77777777" w:rsidR="004C178D" w:rsidRPr="001F446E" w:rsidRDefault="004C178D" w:rsidP="001F446E">
      <w:pPr>
        <w:spacing w:before="0" w:beforeAutospacing="0" w:after="0" w:afterAutospacing="0" w:line="276" w:lineRule="auto"/>
        <w:ind w:firstLine="709"/>
        <w:textAlignment w:val="baseline"/>
        <w:rPr>
          <w:rFonts w:ascii="Tahoma" w:eastAsia="Times New Roman" w:hAnsi="Tahoma" w:cs="Tahoma"/>
          <w:lang w:eastAsia="es-CO"/>
        </w:rPr>
      </w:pPr>
    </w:p>
    <w:p w14:paraId="5327D2DD" w14:textId="7047B65E" w:rsidR="002D2AE3" w:rsidRPr="001F446E" w:rsidRDefault="002D2AE3" w:rsidP="001F446E">
      <w:pPr>
        <w:spacing w:before="0" w:beforeAutospacing="0" w:after="0" w:afterAutospacing="0" w:line="276" w:lineRule="auto"/>
        <w:ind w:firstLine="709"/>
        <w:textAlignment w:val="baseline"/>
        <w:rPr>
          <w:rFonts w:ascii="Tahoma" w:eastAsia="Times New Roman" w:hAnsi="Tahoma" w:cs="Tahoma"/>
          <w:lang w:eastAsia="es-CO"/>
        </w:rPr>
      </w:pPr>
      <w:r w:rsidRPr="001F446E">
        <w:rPr>
          <w:rFonts w:ascii="Tahoma" w:hAnsi="Tahoma" w:cs="Tahoma"/>
          <w:b/>
          <w:bCs/>
          <w:u w:val="single"/>
        </w:rPr>
        <w:t>TERCERO:</w:t>
      </w:r>
      <w:r w:rsidRPr="001F446E">
        <w:rPr>
          <w:rFonts w:ascii="Tahoma" w:hAnsi="Tahoma" w:cs="Tahoma"/>
        </w:rPr>
        <w:t xml:space="preserve"> </w:t>
      </w:r>
      <w:r w:rsidR="001944E1" w:rsidRPr="001F446E">
        <w:rPr>
          <w:rFonts w:ascii="Tahoma" w:hAnsi="Tahoma" w:cs="Tahoma"/>
        </w:rPr>
        <w:t>Sin costas en esta instancia.</w:t>
      </w:r>
    </w:p>
    <w:p w14:paraId="30E1D268" w14:textId="309DD9D0" w:rsidR="412E01A1" w:rsidRPr="001F446E" w:rsidRDefault="412E01A1" w:rsidP="001F446E">
      <w:pPr>
        <w:spacing w:before="0" w:beforeAutospacing="0" w:after="0" w:afterAutospacing="0" w:line="276" w:lineRule="auto"/>
        <w:ind w:firstLine="709"/>
        <w:rPr>
          <w:rFonts w:ascii="Tahoma" w:hAnsi="Tahoma" w:cs="Tahoma"/>
        </w:rPr>
      </w:pPr>
    </w:p>
    <w:p w14:paraId="43B88062" w14:textId="2B7A260F" w:rsidR="001944E1" w:rsidRPr="001F446E" w:rsidRDefault="002D2AE3" w:rsidP="00DE7D67">
      <w:pPr>
        <w:spacing w:before="0" w:beforeAutospacing="0" w:after="0" w:afterAutospacing="0" w:line="240" w:lineRule="auto"/>
        <w:ind w:firstLine="709"/>
        <w:rPr>
          <w:rFonts w:ascii="Tahoma" w:eastAsia="Tahoma" w:hAnsi="Tahoma" w:cs="Tahoma"/>
          <w:lang w:val="es-ES" w:eastAsia="es-CO"/>
        </w:rPr>
      </w:pPr>
      <w:r w:rsidRPr="001F446E">
        <w:rPr>
          <w:rFonts w:ascii="Tahoma" w:eastAsia="Tahoma" w:hAnsi="Tahoma" w:cs="Tahoma"/>
          <w:b/>
          <w:bCs/>
          <w:lang w:val="es-ES" w:eastAsia="es-CO"/>
        </w:rPr>
        <w:t>Notifíquese y cúmplase</w:t>
      </w:r>
    </w:p>
    <w:p w14:paraId="5C767972" w14:textId="77777777" w:rsidR="003A3086" w:rsidRPr="003A3086" w:rsidRDefault="003A3086" w:rsidP="00DE7D67">
      <w:pPr>
        <w:spacing w:before="0" w:beforeAutospacing="0" w:after="0" w:afterAutospacing="0" w:line="240" w:lineRule="auto"/>
        <w:ind w:firstLine="0"/>
        <w:rPr>
          <w:rFonts w:ascii="Tahoma" w:eastAsia="Segoe UI" w:hAnsi="Tahoma" w:cs="Tahoma"/>
          <w:lang w:eastAsia="es-CO"/>
        </w:rPr>
      </w:pPr>
    </w:p>
    <w:p w14:paraId="481DEDD8" w14:textId="77777777" w:rsidR="003A3086" w:rsidRPr="003A3086" w:rsidRDefault="003A3086" w:rsidP="00DE7D67">
      <w:pPr>
        <w:widowControl w:val="0"/>
        <w:autoSpaceDE w:val="0"/>
        <w:autoSpaceDN w:val="0"/>
        <w:adjustRightInd w:val="0"/>
        <w:spacing w:before="0" w:beforeAutospacing="0" w:after="0" w:afterAutospacing="0" w:line="240" w:lineRule="auto"/>
        <w:ind w:firstLine="0"/>
        <w:rPr>
          <w:rFonts w:ascii="Tahoma" w:eastAsia="Times New Roman" w:hAnsi="Tahoma" w:cs="Tahoma"/>
          <w:lang w:val="es-ES" w:eastAsia="es-ES"/>
        </w:rPr>
      </w:pPr>
      <w:r w:rsidRPr="003A3086">
        <w:rPr>
          <w:rFonts w:ascii="Tahoma" w:eastAsia="Times New Roman" w:hAnsi="Tahoma" w:cs="Tahoma"/>
          <w:lang w:val="es-ES" w:eastAsia="es-ES"/>
        </w:rPr>
        <w:tab/>
        <w:t>La Magistrada ponente,</w:t>
      </w:r>
    </w:p>
    <w:p w14:paraId="3F3A52BB" w14:textId="77777777" w:rsidR="003A3086" w:rsidRPr="003A3086" w:rsidRDefault="003A3086" w:rsidP="00DE7D67">
      <w:pPr>
        <w:spacing w:before="0" w:beforeAutospacing="0" w:after="0" w:afterAutospacing="0" w:line="240" w:lineRule="auto"/>
        <w:ind w:firstLine="0"/>
        <w:jc w:val="left"/>
        <w:rPr>
          <w:rFonts w:ascii="Tahoma" w:eastAsia="Times New Roman" w:hAnsi="Tahoma" w:cs="Tahoma"/>
          <w:lang w:val="es-ES" w:eastAsia="es-ES"/>
        </w:rPr>
      </w:pPr>
    </w:p>
    <w:p w14:paraId="3B84B2EA" w14:textId="77777777" w:rsidR="003A3086" w:rsidRPr="003A3086" w:rsidRDefault="003A3086" w:rsidP="00DE7D67">
      <w:pPr>
        <w:spacing w:before="0" w:beforeAutospacing="0" w:after="0" w:afterAutospacing="0" w:line="240" w:lineRule="auto"/>
        <w:ind w:firstLine="0"/>
        <w:jc w:val="left"/>
        <w:rPr>
          <w:rFonts w:ascii="Tahoma" w:eastAsia="Times New Roman" w:hAnsi="Tahoma" w:cs="Tahoma"/>
          <w:lang w:val="es-ES" w:eastAsia="es-ES"/>
        </w:rPr>
      </w:pPr>
    </w:p>
    <w:p w14:paraId="6CD092D2" w14:textId="77777777" w:rsidR="003A3086" w:rsidRPr="003A3086" w:rsidRDefault="003A3086" w:rsidP="00DE7D67">
      <w:pPr>
        <w:spacing w:before="0" w:beforeAutospacing="0" w:after="0" w:afterAutospacing="0" w:line="240" w:lineRule="auto"/>
        <w:ind w:firstLine="0"/>
        <w:jc w:val="left"/>
        <w:rPr>
          <w:rFonts w:ascii="Tahoma" w:eastAsia="Times New Roman" w:hAnsi="Tahoma" w:cs="Tahoma"/>
          <w:lang w:val="es-ES" w:eastAsia="es-ES"/>
        </w:rPr>
      </w:pPr>
    </w:p>
    <w:p w14:paraId="189D7E00" w14:textId="77777777" w:rsidR="003A3086" w:rsidRPr="003A3086" w:rsidRDefault="003A3086" w:rsidP="00DE7D67">
      <w:pPr>
        <w:keepNext/>
        <w:spacing w:before="0" w:beforeAutospacing="0" w:after="0" w:afterAutospacing="0" w:line="240" w:lineRule="auto"/>
        <w:ind w:firstLine="0"/>
        <w:jc w:val="center"/>
        <w:outlineLvl w:val="2"/>
        <w:rPr>
          <w:rFonts w:ascii="Tahoma" w:eastAsia="Times New Roman" w:hAnsi="Tahoma" w:cs="Tahoma"/>
          <w:b/>
          <w:bCs/>
          <w:lang w:val="es-ES" w:eastAsia="es-ES"/>
        </w:rPr>
      </w:pPr>
      <w:r w:rsidRPr="003A3086">
        <w:rPr>
          <w:rFonts w:ascii="Tahoma" w:eastAsia="Times New Roman" w:hAnsi="Tahoma" w:cs="Tahoma"/>
          <w:b/>
          <w:bCs/>
          <w:lang w:val="es-ES" w:eastAsia="es-ES"/>
        </w:rPr>
        <w:t>ANA LUCÍA CAICEDO CALDERÓN</w:t>
      </w:r>
    </w:p>
    <w:p w14:paraId="6CF77547" w14:textId="77777777" w:rsidR="003A3086" w:rsidRPr="003A3086" w:rsidRDefault="003A3086" w:rsidP="00DE7D67">
      <w:pPr>
        <w:spacing w:before="0" w:beforeAutospacing="0" w:after="0" w:afterAutospacing="0" w:line="240" w:lineRule="auto"/>
        <w:ind w:firstLine="0"/>
        <w:jc w:val="left"/>
        <w:rPr>
          <w:rFonts w:ascii="Tahoma" w:eastAsia="Times New Roman" w:hAnsi="Tahoma" w:cs="Tahoma"/>
          <w:lang w:val="es-ES" w:eastAsia="es-ES"/>
        </w:rPr>
      </w:pPr>
    </w:p>
    <w:p w14:paraId="6C5B163B" w14:textId="77777777" w:rsidR="003A3086" w:rsidRPr="003A3086" w:rsidRDefault="003A3086" w:rsidP="00DE7D67">
      <w:pPr>
        <w:spacing w:before="0" w:beforeAutospacing="0" w:after="0" w:afterAutospacing="0" w:line="240" w:lineRule="auto"/>
        <w:ind w:firstLine="708"/>
        <w:jc w:val="left"/>
        <w:rPr>
          <w:rFonts w:ascii="Tahoma" w:eastAsia="Times New Roman" w:hAnsi="Tahoma" w:cs="Tahoma"/>
          <w:lang w:val="es-ES" w:eastAsia="es-ES"/>
        </w:rPr>
      </w:pPr>
      <w:bookmarkStart w:id="8" w:name="_Hlk62478330"/>
      <w:r w:rsidRPr="003A3086">
        <w:rPr>
          <w:rFonts w:ascii="Tahoma" w:eastAsia="Times New Roman" w:hAnsi="Tahoma" w:cs="Tahoma"/>
          <w:lang w:val="es-ES" w:eastAsia="es-ES"/>
        </w:rPr>
        <w:t>La Magistrada y el Magistrado,</w:t>
      </w:r>
    </w:p>
    <w:p w14:paraId="7D70D5EF" w14:textId="77777777" w:rsidR="003A3086" w:rsidRPr="003A3086" w:rsidRDefault="003A3086" w:rsidP="00DE7D67">
      <w:pPr>
        <w:spacing w:before="0" w:beforeAutospacing="0" w:after="0" w:afterAutospacing="0" w:line="240" w:lineRule="auto"/>
        <w:ind w:firstLine="0"/>
        <w:jc w:val="left"/>
        <w:rPr>
          <w:rFonts w:ascii="Tahoma" w:eastAsia="Times New Roman" w:hAnsi="Tahoma" w:cs="Tahoma"/>
          <w:lang w:val="es-ES" w:eastAsia="es-ES"/>
        </w:rPr>
      </w:pPr>
    </w:p>
    <w:p w14:paraId="6CCC1F71" w14:textId="77777777" w:rsidR="003A3086" w:rsidRPr="003A3086" w:rsidRDefault="003A3086" w:rsidP="00DE7D67">
      <w:pPr>
        <w:spacing w:before="0" w:beforeAutospacing="0" w:after="0" w:afterAutospacing="0" w:line="240" w:lineRule="auto"/>
        <w:ind w:firstLine="0"/>
        <w:jc w:val="left"/>
        <w:rPr>
          <w:rFonts w:ascii="Tahoma" w:eastAsia="Times New Roman" w:hAnsi="Tahoma" w:cs="Tahoma"/>
          <w:lang w:val="es-ES" w:eastAsia="es-ES"/>
        </w:rPr>
      </w:pPr>
    </w:p>
    <w:p w14:paraId="6DDF285C" w14:textId="77777777" w:rsidR="003A3086" w:rsidRPr="003A3086" w:rsidRDefault="003A3086" w:rsidP="00DE7D67">
      <w:pPr>
        <w:spacing w:before="0" w:beforeAutospacing="0" w:after="0" w:afterAutospacing="0" w:line="240" w:lineRule="auto"/>
        <w:ind w:firstLine="0"/>
        <w:jc w:val="left"/>
        <w:rPr>
          <w:rFonts w:ascii="Tahoma" w:eastAsia="Times New Roman" w:hAnsi="Tahoma" w:cs="Tahoma"/>
          <w:lang w:val="es-ES" w:eastAsia="es-ES"/>
        </w:rPr>
      </w:pPr>
    </w:p>
    <w:p w14:paraId="634A6C5D" w14:textId="49604549" w:rsidR="008C3C1E" w:rsidRPr="003A3086" w:rsidRDefault="003A3086" w:rsidP="00DE7D67">
      <w:pPr>
        <w:spacing w:before="0" w:beforeAutospacing="0" w:after="0" w:afterAutospacing="0" w:line="240" w:lineRule="auto"/>
        <w:ind w:firstLine="0"/>
        <w:rPr>
          <w:rFonts w:ascii="Tahoma" w:eastAsia="Times New Roman" w:hAnsi="Tahoma" w:cs="Tahoma"/>
          <w:b/>
          <w:bCs/>
          <w:lang w:val="es-ES" w:eastAsia="es-ES"/>
        </w:rPr>
      </w:pPr>
      <w:r w:rsidRPr="003A3086">
        <w:rPr>
          <w:rFonts w:ascii="Tahoma" w:eastAsia="Times New Roman" w:hAnsi="Tahoma" w:cs="Tahoma"/>
          <w:b/>
          <w:bCs/>
          <w:lang w:val="es-ES" w:eastAsia="es-ES"/>
        </w:rPr>
        <w:t>OLGA LUCÍA HOYOS SEPÚLVEDA</w:t>
      </w:r>
      <w:r w:rsidRPr="003A3086">
        <w:rPr>
          <w:rFonts w:ascii="Tahoma" w:eastAsia="Times New Roman" w:hAnsi="Tahoma" w:cs="Tahoma"/>
          <w:b/>
          <w:bCs/>
          <w:lang w:val="es-ES" w:eastAsia="es-ES"/>
        </w:rPr>
        <w:tab/>
      </w:r>
      <w:r w:rsidRPr="003A3086">
        <w:rPr>
          <w:rFonts w:ascii="Tahoma" w:eastAsia="Times New Roman" w:hAnsi="Tahoma" w:cs="Tahoma"/>
          <w:b/>
          <w:bCs/>
          <w:lang w:val="es-ES" w:eastAsia="es-ES"/>
        </w:rPr>
        <w:tab/>
        <w:t>GERMÁN DARÍO GÓEZ VINASCO</w:t>
      </w:r>
      <w:bookmarkEnd w:id="8"/>
    </w:p>
    <w:sectPr w:rsidR="008C3C1E" w:rsidRPr="003A3086" w:rsidSect="008D2B5B">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18D9" w14:textId="77777777" w:rsidR="00250098" w:rsidRDefault="00250098" w:rsidP="00995B6C">
      <w:pPr>
        <w:spacing w:before="0" w:after="0" w:line="240" w:lineRule="auto"/>
      </w:pPr>
      <w:r>
        <w:separator/>
      </w:r>
    </w:p>
  </w:endnote>
  <w:endnote w:type="continuationSeparator" w:id="0">
    <w:p w14:paraId="1C84E90A" w14:textId="77777777" w:rsidR="00250098" w:rsidRDefault="00250098" w:rsidP="00995B6C">
      <w:pPr>
        <w:spacing w:before="0" w:after="0" w:line="240" w:lineRule="auto"/>
      </w:pPr>
      <w:r>
        <w:continuationSeparator/>
      </w:r>
    </w:p>
  </w:endnote>
  <w:endnote w:type="continuationNotice" w:id="1">
    <w:p w14:paraId="6A084F5A" w14:textId="77777777" w:rsidR="00250098" w:rsidRDefault="002500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Nmerodepgina"/>
      </w:rPr>
    </w:sdtEndPr>
    <w:sdtContent>
      <w:p w14:paraId="2E70D12B" w14:textId="3C200D03"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79A44826" w14:textId="77777777" w:rsidR="0040599D" w:rsidRDefault="0040599D" w:rsidP="00BA2E9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C253" w14:textId="77777777" w:rsidR="00250098" w:rsidRDefault="00250098" w:rsidP="00995B6C">
      <w:pPr>
        <w:spacing w:before="0" w:after="0" w:line="240" w:lineRule="auto"/>
      </w:pPr>
      <w:r>
        <w:separator/>
      </w:r>
    </w:p>
  </w:footnote>
  <w:footnote w:type="continuationSeparator" w:id="0">
    <w:p w14:paraId="7911146E" w14:textId="77777777" w:rsidR="00250098" w:rsidRDefault="00250098" w:rsidP="00995B6C">
      <w:pPr>
        <w:spacing w:before="0" w:after="0" w:line="240" w:lineRule="auto"/>
      </w:pPr>
      <w:r>
        <w:continuationSeparator/>
      </w:r>
    </w:p>
  </w:footnote>
  <w:footnote w:type="continuationNotice" w:id="1">
    <w:p w14:paraId="684D2062" w14:textId="77777777" w:rsidR="00250098" w:rsidRDefault="00250098">
      <w:pPr>
        <w:spacing w:before="0" w:after="0" w:line="240" w:lineRule="auto"/>
      </w:pPr>
    </w:p>
  </w:footnote>
  <w:footnote w:id="2">
    <w:p w14:paraId="603A31BF" w14:textId="77777777" w:rsidR="009D1D6D" w:rsidRPr="0016481C" w:rsidRDefault="009D1D6D" w:rsidP="0016481C">
      <w:pPr>
        <w:pStyle w:val="Textonotapie"/>
        <w:ind w:firstLine="0"/>
        <w:rPr>
          <w:rFonts w:ascii="Arial" w:hAnsi="Arial" w:cs="Arial"/>
          <w:sz w:val="18"/>
        </w:rPr>
      </w:pPr>
      <w:r w:rsidRPr="0016481C">
        <w:rPr>
          <w:rStyle w:val="Refdenotaalpie"/>
          <w:rFonts w:ascii="Arial" w:hAnsi="Arial" w:cs="Arial"/>
          <w:sz w:val="18"/>
        </w:rPr>
        <w:footnoteRef/>
      </w:r>
      <w:r w:rsidRPr="0016481C">
        <w:rPr>
          <w:rFonts w:ascii="Arial" w:hAnsi="Arial" w:cs="Arial"/>
          <w:sz w:val="18"/>
        </w:rPr>
        <w:t xml:space="preserve"> Corte Suprema de Justicia- Sala de Casación Laboral, sentencia SL 4336 de 2021, rad. 88810 del 15 de septiembre de 2021. M.P. Iván Mauricio Lenis Gómez.</w:t>
      </w:r>
    </w:p>
  </w:footnote>
  <w:footnote w:id="3">
    <w:p w14:paraId="33935C2E" w14:textId="77777777" w:rsidR="009D1D6D" w:rsidRPr="0016481C" w:rsidRDefault="009D1D6D" w:rsidP="0016481C">
      <w:pPr>
        <w:pStyle w:val="Textonotapie"/>
        <w:ind w:firstLine="0"/>
        <w:rPr>
          <w:rFonts w:ascii="Arial" w:hAnsi="Arial" w:cs="Arial"/>
          <w:sz w:val="18"/>
        </w:rPr>
      </w:pPr>
      <w:r w:rsidRPr="0016481C">
        <w:rPr>
          <w:rStyle w:val="Refdenotaalpie"/>
          <w:rFonts w:ascii="Arial" w:hAnsi="Arial" w:cs="Arial"/>
          <w:sz w:val="18"/>
        </w:rPr>
        <w:footnoteRef/>
      </w:r>
      <w:r w:rsidRPr="0016481C">
        <w:rPr>
          <w:rFonts w:ascii="Arial" w:hAnsi="Arial" w:cs="Arial"/>
          <w:sz w:val="18"/>
        </w:rPr>
        <w:t xml:space="preserve"> Corte Suprema de Justicia- Sala de Casación Laboral, sentencia SL 5702 de 2021, rad. 83204 del 24 de noviembre de 2021. M.P. Iván Mauricio Lenis Gómez.</w:t>
      </w:r>
    </w:p>
  </w:footnote>
  <w:footnote w:id="4">
    <w:p w14:paraId="37442ADA" w14:textId="77777777" w:rsidR="009D1D6D" w:rsidRPr="0016481C" w:rsidRDefault="009D1D6D" w:rsidP="0016481C">
      <w:pPr>
        <w:pStyle w:val="Textonotapie"/>
        <w:ind w:firstLine="0"/>
        <w:rPr>
          <w:rFonts w:ascii="Arial" w:hAnsi="Arial" w:cs="Arial"/>
          <w:sz w:val="18"/>
        </w:rPr>
      </w:pPr>
      <w:r w:rsidRPr="0016481C">
        <w:rPr>
          <w:rStyle w:val="Refdenotaalpie"/>
          <w:rFonts w:ascii="Arial" w:hAnsi="Arial" w:cs="Arial"/>
          <w:sz w:val="18"/>
        </w:rPr>
        <w:footnoteRef/>
      </w:r>
      <w:r w:rsidRPr="0016481C">
        <w:rPr>
          <w:rFonts w:ascii="Arial" w:hAnsi="Arial" w:cs="Arial"/>
          <w:sz w:val="18"/>
        </w:rPr>
        <w:t xml:space="preserve"> Corte Suprema de Justicia- Sala de Casación Laboral, sentencia SL 4843 de 2021, rad. 84839 del 29 de septiembre de 2021. M.P. Fernando Castillo Cadena.</w:t>
      </w:r>
    </w:p>
  </w:footnote>
  <w:footnote w:id="5">
    <w:p w14:paraId="4D2CB460" w14:textId="77777777" w:rsidR="009D1D6D" w:rsidRPr="0016481C" w:rsidRDefault="009D1D6D" w:rsidP="0016481C">
      <w:pPr>
        <w:pStyle w:val="Textonotapie"/>
        <w:ind w:firstLine="0"/>
        <w:rPr>
          <w:rFonts w:ascii="Arial" w:hAnsi="Arial" w:cs="Arial"/>
          <w:sz w:val="18"/>
        </w:rPr>
      </w:pPr>
      <w:r w:rsidRPr="0016481C">
        <w:rPr>
          <w:rStyle w:val="Refdenotaalpie"/>
          <w:rFonts w:ascii="Arial" w:hAnsi="Arial" w:cs="Arial"/>
          <w:sz w:val="18"/>
        </w:rPr>
        <w:footnoteRef/>
      </w:r>
      <w:r w:rsidRPr="0016481C">
        <w:rPr>
          <w:rFonts w:ascii="Arial" w:hAnsi="Arial" w:cs="Arial"/>
          <w:sz w:val="18"/>
        </w:rPr>
        <w:t xml:space="preserve"> Corte Suprema de Justicia- Sala de Casación Laboral, sentencia SL 1026 de 2021, rad. 84367 del 29 de marzo de 2022. M.P. Martín Emilio Beltrán Quintero, con sustento en la sentencia CSJ SL 2465 de 2021, rad. 81409 del 9 de junio de 2021. M.P. Jorge Luis Quiroz Alemán.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DE02" w14:textId="1E34B620" w:rsidR="0040599D" w:rsidRPr="00171926" w:rsidRDefault="0040599D" w:rsidP="00171926">
    <w:pPr>
      <w:pBdr>
        <w:top w:val="nil"/>
        <w:left w:val="nil"/>
        <w:bottom w:val="nil"/>
        <w:right w:val="nil"/>
        <w:between w:val="nil"/>
      </w:pBdr>
      <w:tabs>
        <w:tab w:val="left" w:pos="0"/>
      </w:tabs>
      <w:spacing w:before="0" w:beforeAutospacing="0" w:after="0" w:afterAutospacing="0" w:line="240" w:lineRule="auto"/>
      <w:ind w:firstLine="0"/>
      <w:jc w:val="left"/>
      <w:rPr>
        <w:rFonts w:ascii="Tahoma" w:hAnsi="Tahoma" w:cs="Tahoma"/>
        <w:color w:val="000000"/>
        <w:sz w:val="18"/>
        <w:szCs w:val="18"/>
      </w:rPr>
    </w:pPr>
    <w:r w:rsidRPr="00171926">
      <w:rPr>
        <w:rFonts w:ascii="Tahoma" w:hAnsi="Tahoma" w:cs="Tahoma"/>
        <w:color w:val="000000"/>
        <w:sz w:val="18"/>
        <w:szCs w:val="18"/>
      </w:rPr>
      <w:t>Radicación No.:</w:t>
    </w:r>
    <w:r w:rsidR="004C1976">
      <w:rPr>
        <w:rFonts w:ascii="Tahoma" w:hAnsi="Tahoma" w:cs="Tahoma"/>
        <w:color w:val="000000"/>
        <w:sz w:val="18"/>
        <w:szCs w:val="18"/>
      </w:rPr>
      <w:tab/>
    </w:r>
    <w:r w:rsidRPr="00171926">
      <w:rPr>
        <w:rFonts w:ascii="Tahoma" w:hAnsi="Tahoma" w:cs="Tahoma"/>
        <w:color w:val="000000"/>
        <w:sz w:val="18"/>
        <w:szCs w:val="18"/>
      </w:rPr>
      <w:t>66001-31-005-2019-00</w:t>
    </w:r>
    <w:r w:rsidR="004C1976">
      <w:rPr>
        <w:rFonts w:ascii="Tahoma" w:hAnsi="Tahoma" w:cs="Tahoma"/>
        <w:color w:val="000000"/>
        <w:sz w:val="18"/>
        <w:szCs w:val="18"/>
      </w:rPr>
      <w:t>227</w:t>
    </w:r>
    <w:r w:rsidRPr="00171926">
      <w:rPr>
        <w:rFonts w:ascii="Tahoma" w:hAnsi="Tahoma" w:cs="Tahoma"/>
        <w:color w:val="000000"/>
        <w:sz w:val="18"/>
        <w:szCs w:val="18"/>
      </w:rPr>
      <w:t>-01</w:t>
    </w:r>
  </w:p>
  <w:p w14:paraId="0CF72183" w14:textId="02BB0875" w:rsidR="0040599D" w:rsidRPr="00171926" w:rsidRDefault="0040599D" w:rsidP="00171926">
    <w:pPr>
      <w:pBdr>
        <w:top w:val="nil"/>
        <w:left w:val="nil"/>
        <w:bottom w:val="nil"/>
        <w:right w:val="nil"/>
        <w:between w:val="nil"/>
      </w:pBdr>
      <w:tabs>
        <w:tab w:val="left" w:pos="0"/>
      </w:tabs>
      <w:spacing w:before="0" w:beforeAutospacing="0" w:after="0" w:afterAutospacing="0" w:line="240" w:lineRule="auto"/>
      <w:ind w:firstLine="0"/>
      <w:jc w:val="left"/>
      <w:rPr>
        <w:rFonts w:ascii="Tahoma" w:hAnsi="Tahoma" w:cs="Tahoma"/>
        <w:color w:val="000000"/>
        <w:sz w:val="18"/>
        <w:szCs w:val="18"/>
      </w:rPr>
    </w:pPr>
    <w:r w:rsidRPr="00171926">
      <w:rPr>
        <w:rFonts w:ascii="Tahoma" w:hAnsi="Tahoma" w:cs="Tahoma"/>
        <w:color w:val="000000"/>
        <w:sz w:val="18"/>
        <w:szCs w:val="18"/>
      </w:rPr>
      <w:t>Demandante:</w:t>
    </w:r>
    <w:r w:rsidR="004C1976">
      <w:rPr>
        <w:rFonts w:ascii="Tahoma" w:hAnsi="Tahoma" w:cs="Tahoma"/>
        <w:color w:val="000000"/>
        <w:sz w:val="18"/>
        <w:szCs w:val="18"/>
      </w:rPr>
      <w:tab/>
      <w:t>Gonzalo Ramírez Vargas</w:t>
    </w:r>
    <w:r w:rsidRPr="00171926">
      <w:rPr>
        <w:rFonts w:ascii="Tahoma" w:hAnsi="Tahoma" w:cs="Tahoma"/>
        <w:color w:val="000000"/>
        <w:sz w:val="18"/>
        <w:szCs w:val="18"/>
      </w:rPr>
      <w:t xml:space="preserve"> </w:t>
    </w:r>
  </w:p>
  <w:p w14:paraId="3DB9B54B" w14:textId="08B43974" w:rsidR="0040599D" w:rsidRDefault="0040599D" w:rsidP="004C1976">
    <w:pPr>
      <w:pBdr>
        <w:top w:val="nil"/>
        <w:left w:val="nil"/>
        <w:bottom w:val="nil"/>
        <w:right w:val="nil"/>
        <w:between w:val="nil"/>
      </w:pBdr>
      <w:tabs>
        <w:tab w:val="left" w:pos="0"/>
      </w:tabs>
      <w:spacing w:before="0" w:beforeAutospacing="0" w:after="0" w:afterAutospacing="0" w:line="240" w:lineRule="auto"/>
      <w:ind w:firstLine="0"/>
      <w:jc w:val="left"/>
      <w:rPr>
        <w:rFonts w:ascii="Tahoma" w:hAnsi="Tahoma" w:cs="Tahoma"/>
        <w:color w:val="000000"/>
        <w:sz w:val="18"/>
        <w:szCs w:val="18"/>
      </w:rPr>
    </w:pPr>
    <w:r w:rsidRPr="00171926">
      <w:rPr>
        <w:rFonts w:ascii="Tahoma" w:hAnsi="Tahoma" w:cs="Tahoma"/>
        <w:color w:val="000000"/>
        <w:sz w:val="18"/>
        <w:szCs w:val="18"/>
      </w:rPr>
      <w:t>Demandado:</w:t>
    </w:r>
    <w:r w:rsidR="004C1976">
      <w:rPr>
        <w:rFonts w:ascii="Tahoma" w:hAnsi="Tahoma" w:cs="Tahoma"/>
        <w:color w:val="000000"/>
        <w:sz w:val="18"/>
        <w:szCs w:val="18"/>
      </w:rPr>
      <w:tab/>
      <w:t>Colpensiones</w:t>
    </w:r>
  </w:p>
  <w:p w14:paraId="050CBCD5" w14:textId="77777777" w:rsidR="004C1976" w:rsidRPr="004C1976" w:rsidRDefault="004C1976" w:rsidP="004C1976">
    <w:pPr>
      <w:pBdr>
        <w:top w:val="nil"/>
        <w:left w:val="nil"/>
        <w:bottom w:val="nil"/>
        <w:right w:val="nil"/>
        <w:between w:val="nil"/>
      </w:pBdr>
      <w:tabs>
        <w:tab w:val="left" w:pos="0"/>
      </w:tabs>
      <w:spacing w:before="0" w:beforeAutospacing="0" w:after="0" w:afterAutospacing="0" w:line="240" w:lineRule="auto"/>
      <w:ind w:firstLine="0"/>
      <w:jc w:val="left"/>
      <w:rPr>
        <w:rFonts w:ascii="Tahoma" w:hAnsi="Tahoma" w:cs="Tahoma"/>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4C5"/>
    <w:multiLevelType w:val="multilevel"/>
    <w:tmpl w:val="5B3ECC6A"/>
    <w:lvl w:ilvl="0">
      <w:start w:val="6"/>
      <w:numFmt w:val="decimal"/>
      <w:lvlText w:val="%1."/>
      <w:lvlJc w:val="left"/>
      <w:pPr>
        <w:ind w:left="420" w:hanging="42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1" w15:restartNumberingAfterBreak="0">
    <w:nsid w:val="0AD3614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65DB4"/>
    <w:multiLevelType w:val="hybridMultilevel"/>
    <w:tmpl w:val="F648ECF0"/>
    <w:lvl w:ilvl="0" w:tplc="57B4F0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72B66ED"/>
    <w:multiLevelType w:val="hybridMultilevel"/>
    <w:tmpl w:val="EB08244E"/>
    <w:lvl w:ilvl="0" w:tplc="2D14C6BE">
      <w:start w:val="6"/>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FB632F"/>
    <w:multiLevelType w:val="hybridMultilevel"/>
    <w:tmpl w:val="2F5428BE"/>
    <w:lvl w:ilvl="0" w:tplc="119A9540">
      <w:start w:val="6"/>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A41A35"/>
    <w:multiLevelType w:val="multilevel"/>
    <w:tmpl w:val="AE2C456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6F6B1EC6"/>
    <w:multiLevelType w:val="multilevel"/>
    <w:tmpl w:val="E5EC31B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2"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4"/>
  </w:num>
  <w:num w:numId="8">
    <w:abstractNumId w:val="10"/>
  </w:num>
  <w:num w:numId="9">
    <w:abstractNumId w:val="0"/>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161D4"/>
    <w:rsid w:val="0001710B"/>
    <w:rsid w:val="00073E27"/>
    <w:rsid w:val="00081E34"/>
    <w:rsid w:val="00096957"/>
    <w:rsid w:val="000A70BA"/>
    <w:rsid w:val="000A7489"/>
    <w:rsid w:val="000B1501"/>
    <w:rsid w:val="000C5FE0"/>
    <w:rsid w:val="000E4C41"/>
    <w:rsid w:val="000E4F34"/>
    <w:rsid w:val="000E6459"/>
    <w:rsid w:val="001102E5"/>
    <w:rsid w:val="0012076B"/>
    <w:rsid w:val="00130244"/>
    <w:rsid w:val="00134CDA"/>
    <w:rsid w:val="00143CD9"/>
    <w:rsid w:val="001466BC"/>
    <w:rsid w:val="001477E0"/>
    <w:rsid w:val="00147C2D"/>
    <w:rsid w:val="00151506"/>
    <w:rsid w:val="0016481C"/>
    <w:rsid w:val="00171926"/>
    <w:rsid w:val="001735D6"/>
    <w:rsid w:val="00183FB2"/>
    <w:rsid w:val="001846F2"/>
    <w:rsid w:val="001944E1"/>
    <w:rsid w:val="001B4D98"/>
    <w:rsid w:val="001C013A"/>
    <w:rsid w:val="001C187D"/>
    <w:rsid w:val="001D48B0"/>
    <w:rsid w:val="001E0A0A"/>
    <w:rsid w:val="001F446E"/>
    <w:rsid w:val="00203CE4"/>
    <w:rsid w:val="0020674E"/>
    <w:rsid w:val="00211049"/>
    <w:rsid w:val="00213812"/>
    <w:rsid w:val="00230701"/>
    <w:rsid w:val="00234658"/>
    <w:rsid w:val="00234B72"/>
    <w:rsid w:val="00245563"/>
    <w:rsid w:val="00250098"/>
    <w:rsid w:val="00262D5F"/>
    <w:rsid w:val="0027225F"/>
    <w:rsid w:val="00276422"/>
    <w:rsid w:val="00281848"/>
    <w:rsid w:val="002A05AE"/>
    <w:rsid w:val="002B1FC5"/>
    <w:rsid w:val="002C3206"/>
    <w:rsid w:val="002C36F5"/>
    <w:rsid w:val="002C6AA0"/>
    <w:rsid w:val="002D2AE3"/>
    <w:rsid w:val="002D4640"/>
    <w:rsid w:val="002E4FED"/>
    <w:rsid w:val="00305BFF"/>
    <w:rsid w:val="00322E2F"/>
    <w:rsid w:val="00325F7E"/>
    <w:rsid w:val="00340DBE"/>
    <w:rsid w:val="00340DE8"/>
    <w:rsid w:val="0036063A"/>
    <w:rsid w:val="003637EB"/>
    <w:rsid w:val="00370BF9"/>
    <w:rsid w:val="00381C5A"/>
    <w:rsid w:val="003A3086"/>
    <w:rsid w:val="003A4887"/>
    <w:rsid w:val="003B2D79"/>
    <w:rsid w:val="003B6848"/>
    <w:rsid w:val="003C1968"/>
    <w:rsid w:val="003E12D1"/>
    <w:rsid w:val="00400466"/>
    <w:rsid w:val="00400B5C"/>
    <w:rsid w:val="0040599D"/>
    <w:rsid w:val="004126ED"/>
    <w:rsid w:val="004137B9"/>
    <w:rsid w:val="00415842"/>
    <w:rsid w:val="00420ABB"/>
    <w:rsid w:val="00453E55"/>
    <w:rsid w:val="004708F9"/>
    <w:rsid w:val="00473B12"/>
    <w:rsid w:val="00480F74"/>
    <w:rsid w:val="0048475E"/>
    <w:rsid w:val="00491ED6"/>
    <w:rsid w:val="00493A3A"/>
    <w:rsid w:val="004958F1"/>
    <w:rsid w:val="004B05CC"/>
    <w:rsid w:val="004B58AC"/>
    <w:rsid w:val="004C03AC"/>
    <w:rsid w:val="004C178D"/>
    <w:rsid w:val="004C1976"/>
    <w:rsid w:val="004F0854"/>
    <w:rsid w:val="004F4328"/>
    <w:rsid w:val="004F643D"/>
    <w:rsid w:val="00510D63"/>
    <w:rsid w:val="00520A60"/>
    <w:rsid w:val="0052540F"/>
    <w:rsid w:val="005315D6"/>
    <w:rsid w:val="00531A31"/>
    <w:rsid w:val="00536C07"/>
    <w:rsid w:val="00537B37"/>
    <w:rsid w:val="0057307A"/>
    <w:rsid w:val="005974D6"/>
    <w:rsid w:val="005C2D06"/>
    <w:rsid w:val="005D0031"/>
    <w:rsid w:val="005D0D5A"/>
    <w:rsid w:val="005D769A"/>
    <w:rsid w:val="005F15A6"/>
    <w:rsid w:val="00601795"/>
    <w:rsid w:val="00613BC1"/>
    <w:rsid w:val="00617E08"/>
    <w:rsid w:val="00646361"/>
    <w:rsid w:val="00647E83"/>
    <w:rsid w:val="00651326"/>
    <w:rsid w:val="0067289E"/>
    <w:rsid w:val="006740DF"/>
    <w:rsid w:val="006806E3"/>
    <w:rsid w:val="00684D16"/>
    <w:rsid w:val="00696B05"/>
    <w:rsid w:val="006A0C84"/>
    <w:rsid w:val="006A2ECC"/>
    <w:rsid w:val="006B0525"/>
    <w:rsid w:val="006C4E21"/>
    <w:rsid w:val="006E0C88"/>
    <w:rsid w:val="006E65BD"/>
    <w:rsid w:val="006E668F"/>
    <w:rsid w:val="006F54F3"/>
    <w:rsid w:val="00703944"/>
    <w:rsid w:val="00711F08"/>
    <w:rsid w:val="00725F48"/>
    <w:rsid w:val="007425C2"/>
    <w:rsid w:val="00744229"/>
    <w:rsid w:val="00754779"/>
    <w:rsid w:val="00761A18"/>
    <w:rsid w:val="00767B5D"/>
    <w:rsid w:val="007B04BC"/>
    <w:rsid w:val="007C7A2B"/>
    <w:rsid w:val="007D50D1"/>
    <w:rsid w:val="007E30AB"/>
    <w:rsid w:val="007F5C1B"/>
    <w:rsid w:val="00806C93"/>
    <w:rsid w:val="008138D6"/>
    <w:rsid w:val="008143EF"/>
    <w:rsid w:val="00820314"/>
    <w:rsid w:val="0082038E"/>
    <w:rsid w:val="0082579A"/>
    <w:rsid w:val="00837814"/>
    <w:rsid w:val="00841EA8"/>
    <w:rsid w:val="00850E9D"/>
    <w:rsid w:val="0088572E"/>
    <w:rsid w:val="00896809"/>
    <w:rsid w:val="008A08DB"/>
    <w:rsid w:val="008B095B"/>
    <w:rsid w:val="008B15D6"/>
    <w:rsid w:val="008B602A"/>
    <w:rsid w:val="008C3C1E"/>
    <w:rsid w:val="008C6C03"/>
    <w:rsid w:val="008D2B5B"/>
    <w:rsid w:val="008E0C39"/>
    <w:rsid w:val="008F08E8"/>
    <w:rsid w:val="00901D3D"/>
    <w:rsid w:val="00911938"/>
    <w:rsid w:val="00924F14"/>
    <w:rsid w:val="00931302"/>
    <w:rsid w:val="00956F70"/>
    <w:rsid w:val="00957A0C"/>
    <w:rsid w:val="0096257A"/>
    <w:rsid w:val="00964AFF"/>
    <w:rsid w:val="009711A2"/>
    <w:rsid w:val="009726F9"/>
    <w:rsid w:val="00980AC1"/>
    <w:rsid w:val="00995B6C"/>
    <w:rsid w:val="009A20D0"/>
    <w:rsid w:val="009A5088"/>
    <w:rsid w:val="009B3CE5"/>
    <w:rsid w:val="009C5911"/>
    <w:rsid w:val="009D1D6D"/>
    <w:rsid w:val="009D38FF"/>
    <w:rsid w:val="009E21B2"/>
    <w:rsid w:val="009E29BD"/>
    <w:rsid w:val="009F319E"/>
    <w:rsid w:val="00A0409F"/>
    <w:rsid w:val="00A219CC"/>
    <w:rsid w:val="00A30385"/>
    <w:rsid w:val="00A3299A"/>
    <w:rsid w:val="00A36906"/>
    <w:rsid w:val="00A40324"/>
    <w:rsid w:val="00A43C58"/>
    <w:rsid w:val="00A93044"/>
    <w:rsid w:val="00AA2320"/>
    <w:rsid w:val="00AA2997"/>
    <w:rsid w:val="00AB0190"/>
    <w:rsid w:val="00AD1ACE"/>
    <w:rsid w:val="00AD3B13"/>
    <w:rsid w:val="00AD4396"/>
    <w:rsid w:val="00AF3A29"/>
    <w:rsid w:val="00B061E0"/>
    <w:rsid w:val="00B113DC"/>
    <w:rsid w:val="00B13502"/>
    <w:rsid w:val="00B24FB1"/>
    <w:rsid w:val="00B2678F"/>
    <w:rsid w:val="00B519CA"/>
    <w:rsid w:val="00B53129"/>
    <w:rsid w:val="00B534BA"/>
    <w:rsid w:val="00B54FE4"/>
    <w:rsid w:val="00B5528D"/>
    <w:rsid w:val="00B73C88"/>
    <w:rsid w:val="00B7718D"/>
    <w:rsid w:val="00B81AF0"/>
    <w:rsid w:val="00B827C3"/>
    <w:rsid w:val="00B84B35"/>
    <w:rsid w:val="00B855D5"/>
    <w:rsid w:val="00B90029"/>
    <w:rsid w:val="00BA2E95"/>
    <w:rsid w:val="00BB0D41"/>
    <w:rsid w:val="00BD14AE"/>
    <w:rsid w:val="00BD3468"/>
    <w:rsid w:val="00BE09FC"/>
    <w:rsid w:val="00BF4AAC"/>
    <w:rsid w:val="00C10434"/>
    <w:rsid w:val="00C53563"/>
    <w:rsid w:val="00C73CC7"/>
    <w:rsid w:val="00C82BFE"/>
    <w:rsid w:val="00C92B5B"/>
    <w:rsid w:val="00CA349D"/>
    <w:rsid w:val="00CB46B2"/>
    <w:rsid w:val="00CB6E57"/>
    <w:rsid w:val="00CC6CAB"/>
    <w:rsid w:val="00CC7065"/>
    <w:rsid w:val="00CD055E"/>
    <w:rsid w:val="00CE701B"/>
    <w:rsid w:val="00D26C4D"/>
    <w:rsid w:val="00D31E1D"/>
    <w:rsid w:val="00D41A8E"/>
    <w:rsid w:val="00D448B6"/>
    <w:rsid w:val="00D6592E"/>
    <w:rsid w:val="00D659BA"/>
    <w:rsid w:val="00D71180"/>
    <w:rsid w:val="00DA0270"/>
    <w:rsid w:val="00DA177E"/>
    <w:rsid w:val="00DA78EF"/>
    <w:rsid w:val="00DB13A5"/>
    <w:rsid w:val="00DB6467"/>
    <w:rsid w:val="00DC1DC8"/>
    <w:rsid w:val="00DC1F37"/>
    <w:rsid w:val="00DC4FE9"/>
    <w:rsid w:val="00DE7D67"/>
    <w:rsid w:val="00DF3345"/>
    <w:rsid w:val="00DF57A6"/>
    <w:rsid w:val="00DF6108"/>
    <w:rsid w:val="00E108AB"/>
    <w:rsid w:val="00E10E47"/>
    <w:rsid w:val="00E164F4"/>
    <w:rsid w:val="00E16F9E"/>
    <w:rsid w:val="00E208F7"/>
    <w:rsid w:val="00E31CB4"/>
    <w:rsid w:val="00E60AFE"/>
    <w:rsid w:val="00E72639"/>
    <w:rsid w:val="00E83024"/>
    <w:rsid w:val="00EA6D4B"/>
    <w:rsid w:val="00EB53EE"/>
    <w:rsid w:val="00EC367B"/>
    <w:rsid w:val="00EC4503"/>
    <w:rsid w:val="00ED5727"/>
    <w:rsid w:val="00ED7027"/>
    <w:rsid w:val="00EE54A1"/>
    <w:rsid w:val="00EE6C2B"/>
    <w:rsid w:val="00EF2220"/>
    <w:rsid w:val="00EF3761"/>
    <w:rsid w:val="00EF7B8A"/>
    <w:rsid w:val="00F10573"/>
    <w:rsid w:val="00F1748F"/>
    <w:rsid w:val="00F23B1E"/>
    <w:rsid w:val="00F2736A"/>
    <w:rsid w:val="00F55B70"/>
    <w:rsid w:val="00F60E07"/>
    <w:rsid w:val="00F61FC4"/>
    <w:rsid w:val="00F65786"/>
    <w:rsid w:val="00F65AE3"/>
    <w:rsid w:val="00F666F7"/>
    <w:rsid w:val="00F66762"/>
    <w:rsid w:val="00F72619"/>
    <w:rsid w:val="00F92A28"/>
    <w:rsid w:val="00F96EF8"/>
    <w:rsid w:val="00FA5E08"/>
    <w:rsid w:val="00FD2A60"/>
    <w:rsid w:val="00FE1BD0"/>
    <w:rsid w:val="00FE256F"/>
    <w:rsid w:val="00FE42EF"/>
    <w:rsid w:val="00FE5D83"/>
    <w:rsid w:val="11A76F39"/>
    <w:rsid w:val="412E01A1"/>
    <w:rsid w:val="52D30946"/>
    <w:rsid w:val="54BA298A"/>
    <w:rsid w:val="79006285"/>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0126390">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48328963">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934FDA58-8F78-402D-A0BA-74722A2E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4.xml><?xml version="1.0" encoding="utf-8"?>
<ds:datastoreItem xmlns:ds="http://schemas.openxmlformats.org/officeDocument/2006/customXml" ds:itemID="{4F1F0855-1F4A-4EF0-9381-F88FB474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5440</Words>
  <Characters>29922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cp:revision>
  <dcterms:created xsi:type="dcterms:W3CDTF">2022-07-08T16:33:00Z</dcterms:created>
  <dcterms:modified xsi:type="dcterms:W3CDTF">2022-09-06T16:30:00Z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57056900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