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E31D" w14:textId="77777777" w:rsidR="00FB111C" w:rsidRPr="003F7A4F" w:rsidRDefault="00FB111C" w:rsidP="00FB111C">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89331001"/>
      <w:bookmarkStart w:id="4" w:name="_Hlk119492419"/>
      <w:bookmarkEnd w:id="0"/>
      <w:r w:rsidRPr="003F7A4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D6A194" w14:textId="77777777" w:rsidR="00FB111C" w:rsidRPr="003F7A4F"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0CED2600" w14:textId="70F4E705" w:rsidR="00FB111C" w:rsidRPr="00FB111C" w:rsidRDefault="00FB111C" w:rsidP="00FB111C">
      <w:pPr>
        <w:spacing w:before="0" w:beforeAutospacing="0" w:after="0" w:afterAutospacing="0" w:line="240" w:lineRule="auto"/>
        <w:ind w:firstLine="0"/>
        <w:rPr>
          <w:rFonts w:ascii="Arial" w:eastAsia="Tahoma" w:hAnsi="Arial" w:cs="Arial"/>
          <w:color w:val="000000"/>
          <w:sz w:val="20"/>
          <w:szCs w:val="20"/>
          <w:lang w:val="es-ES" w:eastAsia="es-CO"/>
        </w:rPr>
      </w:pPr>
      <w:r w:rsidRPr="00FB111C">
        <w:rPr>
          <w:rFonts w:ascii="Arial" w:eastAsia="Tahoma" w:hAnsi="Arial" w:cs="Arial"/>
          <w:color w:val="000000"/>
          <w:sz w:val="20"/>
          <w:szCs w:val="20"/>
          <w:lang w:val="es-ES" w:eastAsia="es-CO"/>
        </w:rPr>
        <w:t>Radicación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FB111C">
        <w:rPr>
          <w:rFonts w:ascii="Arial" w:eastAsia="Tahoma" w:hAnsi="Arial" w:cs="Arial"/>
          <w:color w:val="000000"/>
          <w:sz w:val="20"/>
          <w:szCs w:val="20"/>
          <w:lang w:val="es-ES" w:eastAsia="es-CO"/>
        </w:rPr>
        <w:t>66001-31-05-001-2018-00182-01</w:t>
      </w:r>
    </w:p>
    <w:p w14:paraId="00D77737" w14:textId="4FA32488" w:rsidR="00FB111C" w:rsidRPr="00FB111C" w:rsidRDefault="00FB111C" w:rsidP="00FB111C">
      <w:pPr>
        <w:spacing w:before="0" w:beforeAutospacing="0" w:after="0" w:afterAutospacing="0" w:line="240" w:lineRule="auto"/>
        <w:ind w:firstLine="0"/>
        <w:rPr>
          <w:rFonts w:ascii="Arial" w:eastAsia="Tahoma" w:hAnsi="Arial" w:cs="Arial"/>
          <w:color w:val="000000"/>
          <w:sz w:val="20"/>
          <w:szCs w:val="20"/>
          <w:lang w:val="es-ES" w:eastAsia="es-CO"/>
        </w:rPr>
      </w:pPr>
      <w:r w:rsidRPr="00FB111C">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sidRPr="00FB111C">
        <w:rPr>
          <w:rFonts w:ascii="Arial" w:eastAsia="Tahoma" w:hAnsi="Arial" w:cs="Arial"/>
          <w:color w:val="000000"/>
          <w:sz w:val="20"/>
          <w:szCs w:val="20"/>
          <w:lang w:val="es-ES" w:eastAsia="es-CO"/>
        </w:rPr>
        <w:tab/>
        <w:t xml:space="preserve">Ordinario Laboral </w:t>
      </w:r>
    </w:p>
    <w:p w14:paraId="650528B5" w14:textId="3D44CB24" w:rsidR="00FB111C" w:rsidRPr="00FB111C" w:rsidRDefault="00FB111C" w:rsidP="00FB111C">
      <w:pPr>
        <w:spacing w:before="0" w:beforeAutospacing="0" w:after="0" w:afterAutospacing="0" w:line="240" w:lineRule="auto"/>
        <w:ind w:firstLine="0"/>
        <w:rPr>
          <w:rFonts w:ascii="Arial" w:eastAsia="Tahoma" w:hAnsi="Arial" w:cs="Arial"/>
          <w:color w:val="000000"/>
          <w:sz w:val="20"/>
          <w:szCs w:val="20"/>
          <w:lang w:val="es-ES" w:eastAsia="es-CO"/>
        </w:rPr>
      </w:pPr>
      <w:r w:rsidRPr="00FB111C">
        <w:rPr>
          <w:rFonts w:ascii="Arial" w:eastAsia="Tahoma" w:hAnsi="Arial" w:cs="Arial"/>
          <w:color w:val="000000"/>
          <w:sz w:val="20"/>
          <w:szCs w:val="20"/>
          <w:lang w:val="es-ES" w:eastAsia="es-CO"/>
        </w:rPr>
        <w:t>Demandante:</w:t>
      </w:r>
      <w:r>
        <w:rPr>
          <w:rFonts w:ascii="Arial" w:eastAsia="Tahoma" w:hAnsi="Arial" w:cs="Arial"/>
          <w:color w:val="000000"/>
          <w:sz w:val="20"/>
          <w:szCs w:val="20"/>
          <w:lang w:val="es-ES" w:eastAsia="es-CO"/>
        </w:rPr>
        <w:tab/>
      </w:r>
      <w:r w:rsidRPr="00FB111C">
        <w:rPr>
          <w:rFonts w:ascii="Arial" w:eastAsia="Tahoma" w:hAnsi="Arial" w:cs="Arial"/>
          <w:color w:val="000000"/>
          <w:sz w:val="20"/>
          <w:szCs w:val="20"/>
          <w:lang w:val="es-ES" w:eastAsia="es-CO"/>
        </w:rPr>
        <w:tab/>
        <w:t xml:space="preserve">Roció Sierra Delgado </w:t>
      </w:r>
    </w:p>
    <w:p w14:paraId="11F79CA5" w14:textId="7E7CC256" w:rsidR="00FB111C" w:rsidRPr="00FB111C" w:rsidRDefault="00FB111C" w:rsidP="00FB111C">
      <w:pPr>
        <w:spacing w:before="0" w:beforeAutospacing="0" w:after="0" w:afterAutospacing="0" w:line="240" w:lineRule="auto"/>
        <w:ind w:firstLine="0"/>
        <w:rPr>
          <w:rFonts w:ascii="Arial" w:eastAsia="Tahoma" w:hAnsi="Arial" w:cs="Arial"/>
          <w:color w:val="000000"/>
          <w:sz w:val="20"/>
          <w:szCs w:val="20"/>
          <w:lang w:val="es-ES" w:eastAsia="es-CO"/>
        </w:rPr>
      </w:pPr>
      <w:r w:rsidRPr="00FB111C">
        <w:rPr>
          <w:rFonts w:ascii="Arial" w:eastAsia="Tahoma" w:hAnsi="Arial" w:cs="Arial"/>
          <w:color w:val="000000"/>
          <w:sz w:val="20"/>
          <w:szCs w:val="20"/>
          <w:lang w:val="es-ES" w:eastAsia="es-CO"/>
        </w:rPr>
        <w:t>Demandado:</w:t>
      </w:r>
      <w:r>
        <w:rPr>
          <w:rFonts w:ascii="Arial" w:eastAsia="Tahoma" w:hAnsi="Arial" w:cs="Arial"/>
          <w:color w:val="000000"/>
          <w:sz w:val="20"/>
          <w:szCs w:val="20"/>
          <w:lang w:val="es-ES" w:eastAsia="es-CO"/>
        </w:rPr>
        <w:tab/>
      </w:r>
      <w:r w:rsidRPr="00FB111C">
        <w:rPr>
          <w:rFonts w:ascii="Arial" w:eastAsia="Tahoma" w:hAnsi="Arial" w:cs="Arial"/>
          <w:color w:val="000000"/>
          <w:sz w:val="20"/>
          <w:szCs w:val="20"/>
          <w:lang w:val="es-ES" w:eastAsia="es-CO"/>
        </w:rPr>
        <w:tab/>
        <w:t>Colpensiones y Protección S.A.</w:t>
      </w:r>
    </w:p>
    <w:p w14:paraId="182E149D" w14:textId="65C81764" w:rsidR="00FB111C" w:rsidRDefault="00FB111C" w:rsidP="00FB111C">
      <w:pPr>
        <w:spacing w:before="0" w:beforeAutospacing="0" w:after="0" w:afterAutospacing="0" w:line="240" w:lineRule="auto"/>
        <w:ind w:firstLine="0"/>
        <w:rPr>
          <w:rFonts w:ascii="Arial" w:eastAsia="Tahoma" w:hAnsi="Arial" w:cs="Arial"/>
          <w:color w:val="000000"/>
          <w:sz w:val="20"/>
          <w:szCs w:val="20"/>
          <w:lang w:val="es-ES" w:eastAsia="es-CO"/>
        </w:rPr>
      </w:pPr>
      <w:r w:rsidRPr="00FB111C">
        <w:rPr>
          <w:rFonts w:ascii="Arial" w:eastAsia="Tahoma" w:hAnsi="Arial" w:cs="Arial"/>
          <w:color w:val="000000"/>
          <w:sz w:val="20"/>
          <w:szCs w:val="20"/>
          <w:lang w:val="es-ES" w:eastAsia="es-CO"/>
        </w:rPr>
        <w:t>Juzgado:</w:t>
      </w:r>
      <w:r>
        <w:rPr>
          <w:rFonts w:ascii="Arial" w:eastAsia="Tahoma" w:hAnsi="Arial" w:cs="Arial"/>
          <w:color w:val="000000"/>
          <w:sz w:val="20"/>
          <w:szCs w:val="20"/>
          <w:lang w:val="es-ES" w:eastAsia="es-CO"/>
        </w:rPr>
        <w:tab/>
      </w:r>
      <w:r w:rsidRPr="00FB111C">
        <w:rPr>
          <w:rFonts w:ascii="Arial" w:eastAsia="Tahoma" w:hAnsi="Arial" w:cs="Arial"/>
          <w:color w:val="000000"/>
          <w:sz w:val="20"/>
          <w:szCs w:val="20"/>
          <w:lang w:val="es-ES" w:eastAsia="es-CO"/>
        </w:rPr>
        <w:tab/>
        <w:t>Primera Laboral del Circuito de Pereira</w:t>
      </w:r>
    </w:p>
    <w:p w14:paraId="3AD9828F" w14:textId="77777777" w:rsidR="00FB111C" w:rsidRPr="003F7A4F" w:rsidRDefault="00FB111C" w:rsidP="00FB111C">
      <w:pPr>
        <w:spacing w:before="0" w:beforeAutospacing="0" w:after="0" w:afterAutospacing="0" w:line="240" w:lineRule="auto"/>
        <w:ind w:firstLine="0"/>
        <w:rPr>
          <w:rFonts w:ascii="Arial" w:eastAsia="Tahoma" w:hAnsi="Arial" w:cs="Arial"/>
          <w:color w:val="000000"/>
          <w:sz w:val="20"/>
          <w:szCs w:val="20"/>
          <w:lang w:val="es-ES" w:eastAsia="es-CO"/>
        </w:rPr>
      </w:pPr>
    </w:p>
    <w:p w14:paraId="45727247" w14:textId="77777777" w:rsidR="00FB111C" w:rsidRPr="00A050D7" w:rsidRDefault="00FB111C" w:rsidP="00FB111C">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2369399"/>
      <w:bookmarkEnd w:id="1"/>
      <w:bookmarkEnd w:id="2"/>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296EED3"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0354F71D"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D98BA92"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173A653C"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64A7275"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6115CD2A"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C6CBC38" w14:textId="77777777" w:rsidR="00FB111C"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127D82C5" w14:textId="77777777" w:rsidR="00FB111C" w:rsidRPr="00651F96"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 xml:space="preserve">los formularios de afiliación a lo sumo acreditan un consentimiento, pero no informado, tal como se expresa a continuación: </w:t>
      </w:r>
    </w:p>
    <w:p w14:paraId="740E6B8C" w14:textId="77777777" w:rsidR="00FB111C" w:rsidRPr="00651F96"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6840CB99" w14:textId="77777777" w:rsidR="00FB111C"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r w:rsidRPr="00651F96">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 w:val="20"/>
          <w:szCs w:val="20"/>
          <w:lang w:val="es-419" w:eastAsia="es-ES"/>
        </w:rPr>
        <w:t>”</w:t>
      </w:r>
    </w:p>
    <w:p w14:paraId="18CFA299"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p>
    <w:p w14:paraId="709D7E47"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419" w:eastAsia="es-ES"/>
        </w:rPr>
      </w:pPr>
      <w:r w:rsidRPr="005C1151">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65025A8F"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ES" w:eastAsia="es-ES"/>
        </w:rPr>
      </w:pPr>
    </w:p>
    <w:p w14:paraId="26590807"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ES" w:eastAsia="es-ES"/>
        </w:rPr>
      </w:pPr>
    </w:p>
    <w:bookmarkEnd w:id="5"/>
    <w:p w14:paraId="4095B37C" w14:textId="77777777" w:rsidR="00FB111C" w:rsidRPr="00A050D7" w:rsidRDefault="00FB111C" w:rsidP="00FB111C">
      <w:pPr>
        <w:spacing w:before="0" w:beforeAutospacing="0" w:after="0" w:afterAutospacing="0" w:line="240" w:lineRule="auto"/>
        <w:ind w:firstLine="0"/>
        <w:rPr>
          <w:rFonts w:ascii="Arial" w:eastAsia="Times New Roman" w:hAnsi="Arial" w:cs="Arial"/>
          <w:sz w:val="20"/>
          <w:szCs w:val="20"/>
          <w:lang w:val="es-ES" w:eastAsia="es-ES"/>
        </w:rPr>
      </w:pPr>
    </w:p>
    <w:p w14:paraId="3BB4C314" w14:textId="483640AD" w:rsidR="00936C5C" w:rsidRPr="004D5BA3" w:rsidRDefault="00FB111C" w:rsidP="004D5BA3">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bookmarkStart w:id="6" w:name="_Hlk89346566"/>
      <w:bookmarkEnd w:id="3"/>
      <w:bookmarkEnd w:id="4"/>
      <w:r w:rsidRPr="004D5BA3">
        <w:rPr>
          <w:rFonts w:ascii="Tahoma" w:hAnsi="Tahoma" w:cs="Tahoma"/>
          <w:bCs/>
          <w:szCs w:val="24"/>
          <w:lang w:eastAsia="es-MX"/>
        </w:rPr>
        <w:t>T</w:t>
      </w:r>
      <w:r w:rsidR="00936C5C" w:rsidRPr="004D5BA3">
        <w:rPr>
          <w:rFonts w:ascii="Tahoma" w:hAnsi="Tahoma" w:cs="Tahoma"/>
          <w:bCs/>
          <w:szCs w:val="24"/>
          <w:lang w:eastAsia="es-MX"/>
        </w:rPr>
        <w:t xml:space="preserve">RIBUNAL </w:t>
      </w:r>
      <w:r w:rsidR="00936C5C" w:rsidRPr="004D5BA3">
        <w:rPr>
          <w:rFonts w:ascii="Tahoma" w:hAnsi="Tahoma" w:cs="Tahoma"/>
          <w:bCs/>
          <w:color w:val="000000" w:themeColor="text1"/>
          <w:szCs w:val="24"/>
          <w:lang w:eastAsia="es-MX"/>
        </w:rPr>
        <w:t>SUPERIOR DEL DISTRITO JUDICIAL DE PEREIRA</w:t>
      </w:r>
    </w:p>
    <w:p w14:paraId="20AC9941" w14:textId="77777777" w:rsidR="00936C5C" w:rsidRPr="004D5BA3" w:rsidRDefault="00936C5C" w:rsidP="004D5BA3">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4D5BA3">
        <w:rPr>
          <w:rFonts w:ascii="Tahoma" w:hAnsi="Tahoma" w:cs="Tahoma"/>
          <w:bCs/>
          <w:color w:val="000000" w:themeColor="text1"/>
          <w:szCs w:val="24"/>
          <w:lang w:eastAsia="es-MX"/>
        </w:rPr>
        <w:t xml:space="preserve">SALA PRIMERA DE DECISION LABORAL </w:t>
      </w:r>
    </w:p>
    <w:p w14:paraId="188014ED" w14:textId="77777777" w:rsidR="00936C5C" w:rsidRPr="004D5BA3" w:rsidRDefault="00936C5C" w:rsidP="004D5BA3">
      <w:pPr>
        <w:spacing w:before="0" w:beforeAutospacing="0" w:after="0" w:afterAutospacing="0" w:line="276" w:lineRule="auto"/>
        <w:contextualSpacing/>
        <w:jc w:val="center"/>
        <w:rPr>
          <w:rFonts w:ascii="Tahoma" w:hAnsi="Tahoma" w:cs="Tahoma"/>
          <w:bCs/>
          <w:color w:val="000000" w:themeColor="text1"/>
        </w:rPr>
      </w:pPr>
    </w:p>
    <w:p w14:paraId="04AF986D" w14:textId="21FC6228" w:rsidR="00936C5C" w:rsidRPr="004D5BA3" w:rsidRDefault="00936C5C" w:rsidP="004D5BA3">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eastAsia="es-CO"/>
        </w:rPr>
      </w:pPr>
      <w:r w:rsidRPr="004D5BA3">
        <w:rPr>
          <w:rFonts w:ascii="Tahoma" w:eastAsia="Times New Roman" w:hAnsi="Tahoma" w:cs="Tahoma"/>
          <w:color w:val="000000" w:themeColor="text1"/>
          <w:lang w:eastAsia="es-CO"/>
        </w:rPr>
        <w:t>Magistrada Ponente: </w:t>
      </w:r>
      <w:r w:rsidRPr="004D5BA3">
        <w:rPr>
          <w:rFonts w:ascii="Tahoma" w:eastAsia="Times New Roman" w:hAnsi="Tahoma" w:cs="Tahoma"/>
          <w:b/>
          <w:bCs/>
          <w:color w:val="000000" w:themeColor="text1"/>
          <w:lang w:eastAsia="es-CO"/>
        </w:rPr>
        <w:t>Ana Lucía Caicedo Calderón</w:t>
      </w:r>
    </w:p>
    <w:p w14:paraId="5F773648" w14:textId="77777777" w:rsidR="00936C5C" w:rsidRPr="004D5BA3" w:rsidRDefault="00936C5C" w:rsidP="004D5BA3">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4D5BA3">
        <w:rPr>
          <w:rFonts w:ascii="Tahoma" w:eastAsia="Times New Roman" w:hAnsi="Tahoma" w:cs="Tahoma"/>
          <w:color w:val="000000" w:themeColor="text1"/>
          <w:lang w:eastAsia="es-CO"/>
        </w:rPr>
        <w:t> </w:t>
      </w:r>
    </w:p>
    <w:bookmarkEnd w:id="6"/>
    <w:p w14:paraId="2B067575" w14:textId="706140DF" w:rsidR="009031C3" w:rsidRPr="004D5BA3" w:rsidRDefault="009031C3" w:rsidP="004D5BA3">
      <w:pPr>
        <w:spacing w:before="0" w:beforeAutospacing="0" w:after="0" w:afterAutospacing="0" w:line="276" w:lineRule="auto"/>
        <w:contextualSpacing/>
        <w:jc w:val="center"/>
        <w:textAlignment w:val="baseline"/>
        <w:rPr>
          <w:rFonts w:ascii="Tahoma" w:eastAsia="Times New Roman" w:hAnsi="Tahoma" w:cs="Tahoma"/>
          <w:color w:val="000000" w:themeColor="text1"/>
          <w:lang w:eastAsia="es-CO"/>
        </w:rPr>
      </w:pPr>
      <w:r w:rsidRPr="004D5BA3">
        <w:rPr>
          <w:rFonts w:ascii="Tahoma" w:eastAsia="Times New Roman" w:hAnsi="Tahoma" w:cs="Tahoma"/>
          <w:color w:val="000000" w:themeColor="text1"/>
          <w:lang w:eastAsia="es-CO"/>
        </w:rPr>
        <w:t>Pereira, Risaralda, diecinueve (19) de octubre de dos mil veintidós (2022)  </w:t>
      </w:r>
    </w:p>
    <w:p w14:paraId="0A143BDA" w14:textId="4C39FA23" w:rsidR="00936C5C" w:rsidRPr="004D5BA3" w:rsidRDefault="009031C3" w:rsidP="004D5BA3">
      <w:pPr>
        <w:spacing w:before="0" w:beforeAutospacing="0" w:after="0" w:afterAutospacing="0" w:line="276" w:lineRule="auto"/>
        <w:contextualSpacing/>
        <w:jc w:val="center"/>
        <w:rPr>
          <w:rFonts w:ascii="Tahoma" w:eastAsia="Times New Roman" w:hAnsi="Tahoma" w:cs="Tahoma"/>
          <w:color w:val="000000" w:themeColor="text1"/>
          <w:lang w:eastAsia="es-CO"/>
        </w:rPr>
      </w:pPr>
      <w:r w:rsidRPr="004D5BA3">
        <w:rPr>
          <w:rFonts w:ascii="Tahoma" w:eastAsia="Times New Roman" w:hAnsi="Tahoma" w:cs="Tahoma"/>
          <w:color w:val="000000" w:themeColor="text1"/>
          <w:lang w:eastAsia="es-CO"/>
        </w:rPr>
        <w:t> Acta No. __ del 18 de octubre de 2022</w:t>
      </w:r>
    </w:p>
    <w:p w14:paraId="673DE349" w14:textId="4C4547CD" w:rsidR="009031C3" w:rsidRPr="004D5BA3" w:rsidRDefault="009031C3" w:rsidP="004D5BA3">
      <w:pPr>
        <w:spacing w:before="0" w:beforeAutospacing="0" w:after="0" w:afterAutospacing="0" w:line="276" w:lineRule="auto"/>
        <w:contextualSpacing/>
        <w:jc w:val="center"/>
        <w:rPr>
          <w:rFonts w:ascii="Tahoma" w:hAnsi="Tahoma" w:cs="Tahoma"/>
          <w:b/>
        </w:rPr>
      </w:pPr>
    </w:p>
    <w:p w14:paraId="18E06CF9" w14:textId="74C15CB4" w:rsidR="009031C3" w:rsidRPr="004D5BA3" w:rsidRDefault="009031C3" w:rsidP="004D5BA3">
      <w:pPr>
        <w:spacing w:before="0" w:beforeAutospacing="0" w:after="0" w:afterAutospacing="0" w:line="276" w:lineRule="auto"/>
        <w:contextualSpacing/>
        <w:jc w:val="center"/>
        <w:rPr>
          <w:rFonts w:ascii="Tahoma" w:hAnsi="Tahoma" w:cs="Tahoma"/>
          <w:b/>
        </w:rPr>
      </w:pPr>
    </w:p>
    <w:p w14:paraId="390E53D6" w14:textId="77777777" w:rsidR="009031C3" w:rsidRPr="004D5BA3" w:rsidRDefault="009031C3" w:rsidP="004D5BA3">
      <w:pPr>
        <w:spacing w:before="0" w:beforeAutospacing="0" w:after="0" w:afterAutospacing="0" w:line="276" w:lineRule="auto"/>
        <w:contextualSpacing/>
        <w:jc w:val="center"/>
        <w:rPr>
          <w:rFonts w:ascii="Tahoma" w:hAnsi="Tahoma" w:cs="Tahoma"/>
          <w:b/>
        </w:rPr>
      </w:pPr>
    </w:p>
    <w:p w14:paraId="4548CEF2" w14:textId="5D93D47E" w:rsidR="00936C5C" w:rsidRPr="004D5BA3" w:rsidRDefault="00936C5C" w:rsidP="004D5BA3">
      <w:pPr>
        <w:spacing w:before="0" w:beforeAutospacing="0" w:after="0" w:afterAutospacing="0" w:line="276" w:lineRule="auto"/>
        <w:ind w:firstLine="708"/>
        <w:contextualSpacing/>
        <w:rPr>
          <w:rFonts w:ascii="Tahoma" w:hAnsi="Tahoma" w:cs="Tahoma"/>
          <w:b/>
          <w:lang w:val="es-ES_tradnl"/>
        </w:rPr>
      </w:pPr>
      <w:r w:rsidRPr="004D5BA3">
        <w:rPr>
          <w:rFonts w:ascii="Tahoma" w:hAnsi="Tahoma" w:cs="Tahoma"/>
        </w:rPr>
        <w:t>Teniendo en cuenta que el artículo 15 del Decreto No. 806 del 4 de junio de</w:t>
      </w:r>
      <w:r w:rsidR="007B2B2C">
        <w:rPr>
          <w:rFonts w:ascii="Tahoma" w:hAnsi="Tahoma" w:cs="Tahoma"/>
        </w:rPr>
        <w:t xml:space="preserve"> </w:t>
      </w:r>
      <w:r w:rsidRPr="004D5BA3">
        <w:rPr>
          <w:rFonts w:ascii="Tahoma" w:hAnsi="Tahoma" w:cs="Tahoma"/>
        </w:rPr>
        <w:t>2020, expedido por el Ministerio de Justicia y del Derecho, estableció que en la</w:t>
      </w:r>
      <w:r w:rsidR="007B2B2C">
        <w:rPr>
          <w:rFonts w:ascii="Tahoma" w:hAnsi="Tahoma" w:cs="Tahoma"/>
        </w:rPr>
        <w:t xml:space="preserve"> </w:t>
      </w:r>
      <w:r w:rsidRPr="004D5BA3">
        <w:rPr>
          <w:rFonts w:ascii="Tahoma" w:hAnsi="Tahoma" w:cs="Tahoma"/>
        </w:rPr>
        <w:t>especialidad laboral se proferirán por escrito las providencias de segunda instancia</w:t>
      </w:r>
      <w:r w:rsidR="007B2B2C">
        <w:rPr>
          <w:rFonts w:ascii="Tahoma" w:hAnsi="Tahoma" w:cs="Tahoma"/>
        </w:rPr>
        <w:t xml:space="preserve"> </w:t>
      </w:r>
      <w:r w:rsidRPr="004D5BA3">
        <w:rPr>
          <w:rFonts w:ascii="Tahoma" w:hAnsi="Tahoma" w:cs="Tahoma"/>
        </w:rPr>
        <w:t>en las que se surta el grado jurisdiccional de consulta o se resuelva el recurso de</w:t>
      </w:r>
      <w:r w:rsidR="007B2B2C">
        <w:rPr>
          <w:rFonts w:ascii="Tahoma" w:hAnsi="Tahoma" w:cs="Tahoma"/>
        </w:rPr>
        <w:t xml:space="preserve"> </w:t>
      </w:r>
      <w:r w:rsidRPr="004D5BA3">
        <w:rPr>
          <w:rFonts w:ascii="Tahoma" w:hAnsi="Tahoma" w:cs="Tahoma"/>
        </w:rPr>
        <w:t>apelación de autos o sentencias, la Sala de Decisión Laboral Presidida por la Dra.</w:t>
      </w:r>
      <w:r w:rsidR="007B2B2C">
        <w:rPr>
          <w:rFonts w:ascii="Tahoma" w:hAnsi="Tahoma" w:cs="Tahoma"/>
        </w:rPr>
        <w:t xml:space="preserve"> </w:t>
      </w:r>
      <w:r w:rsidRPr="004D5BA3">
        <w:rPr>
          <w:rFonts w:ascii="Tahoma" w:hAnsi="Tahoma" w:cs="Tahoma"/>
        </w:rPr>
        <w:t>Ana Lucía Caicedo Calderón del Tribunal Superior de Pereira, integrada por las</w:t>
      </w:r>
      <w:r w:rsidR="007B2B2C">
        <w:rPr>
          <w:rFonts w:ascii="Tahoma" w:hAnsi="Tahoma" w:cs="Tahoma"/>
        </w:rPr>
        <w:t xml:space="preserve"> </w:t>
      </w:r>
      <w:r w:rsidRPr="004D5BA3">
        <w:rPr>
          <w:rFonts w:ascii="Tahoma" w:hAnsi="Tahoma" w:cs="Tahoma"/>
        </w:rPr>
        <w:t>Magistradas ANA LUCÍA CAICEDO CALDERÓN como Ponente, OLGA LUCÍA HOYOS</w:t>
      </w:r>
      <w:r w:rsidR="007B2B2C">
        <w:rPr>
          <w:rFonts w:ascii="Tahoma" w:hAnsi="Tahoma" w:cs="Tahoma"/>
        </w:rPr>
        <w:t xml:space="preserve"> </w:t>
      </w:r>
      <w:r w:rsidRPr="004D5BA3">
        <w:rPr>
          <w:rFonts w:ascii="Tahoma" w:hAnsi="Tahoma" w:cs="Tahoma"/>
        </w:rPr>
        <w:t>SEPÚLVEDA y el Magistrado GERMÁN DARIO GOEZ VINASCO, procede a proferir la</w:t>
      </w:r>
      <w:r w:rsidR="007B2B2C">
        <w:rPr>
          <w:rFonts w:ascii="Tahoma" w:hAnsi="Tahoma" w:cs="Tahoma"/>
        </w:rPr>
        <w:t xml:space="preserve"> </w:t>
      </w:r>
      <w:r w:rsidRPr="004D5BA3">
        <w:rPr>
          <w:rFonts w:ascii="Tahoma" w:hAnsi="Tahoma" w:cs="Tahoma"/>
        </w:rPr>
        <w:t xml:space="preserve">siguiente sentencia escrita dentro del proceso </w:t>
      </w:r>
      <w:r w:rsidRPr="00CC682A">
        <w:rPr>
          <w:rFonts w:ascii="Tahoma" w:hAnsi="Tahoma" w:cs="Tahoma"/>
          <w:b/>
        </w:rPr>
        <w:t>ordinario laboral</w:t>
      </w:r>
      <w:r w:rsidRPr="004D5BA3">
        <w:rPr>
          <w:rFonts w:ascii="Tahoma" w:hAnsi="Tahoma" w:cs="Tahoma"/>
        </w:rPr>
        <w:t xml:space="preserve"> instaurado </w:t>
      </w:r>
      <w:r w:rsidRPr="004D5BA3">
        <w:rPr>
          <w:rFonts w:ascii="Tahoma" w:hAnsi="Tahoma" w:cs="Tahoma"/>
          <w:b/>
          <w:bCs/>
        </w:rPr>
        <w:t>Roció S</w:t>
      </w:r>
      <w:bookmarkStart w:id="7" w:name="_GoBack"/>
      <w:bookmarkEnd w:id="7"/>
      <w:r w:rsidRPr="004D5BA3">
        <w:rPr>
          <w:rFonts w:ascii="Tahoma" w:hAnsi="Tahoma" w:cs="Tahoma"/>
          <w:b/>
          <w:bCs/>
        </w:rPr>
        <w:t xml:space="preserve">ierra Delgado </w:t>
      </w:r>
      <w:r w:rsidRPr="004D5BA3">
        <w:rPr>
          <w:rFonts w:ascii="Tahoma" w:hAnsi="Tahoma" w:cs="Tahoma"/>
          <w:lang w:val="es-ES_tradnl"/>
        </w:rPr>
        <w:t xml:space="preserve">en contra de la </w:t>
      </w:r>
      <w:r w:rsidRPr="004D5BA3">
        <w:rPr>
          <w:rFonts w:ascii="Tahoma" w:hAnsi="Tahoma" w:cs="Tahoma"/>
          <w:b/>
          <w:lang w:val="es-ES_tradnl"/>
        </w:rPr>
        <w:t>Administradora Colombiana de Pensiones – Colpensiones</w:t>
      </w:r>
      <w:r w:rsidRPr="004D5BA3">
        <w:rPr>
          <w:rFonts w:ascii="Tahoma" w:hAnsi="Tahoma" w:cs="Tahoma"/>
          <w:bCs/>
          <w:lang w:val="es-ES_tradnl"/>
        </w:rPr>
        <w:t xml:space="preserve"> y</w:t>
      </w:r>
      <w:r w:rsidRPr="004D5BA3">
        <w:rPr>
          <w:rFonts w:ascii="Tahoma" w:hAnsi="Tahoma" w:cs="Tahoma"/>
          <w:lang w:val="es-ES_tradnl"/>
        </w:rPr>
        <w:t xml:space="preserve"> la </w:t>
      </w:r>
      <w:r w:rsidRPr="004D5BA3">
        <w:rPr>
          <w:rFonts w:ascii="Tahoma" w:hAnsi="Tahoma" w:cs="Tahoma"/>
          <w:b/>
          <w:lang w:val="es-ES_tradnl"/>
        </w:rPr>
        <w:t xml:space="preserve">Administradora de Fondos de Pensiones </w:t>
      </w:r>
      <w:bookmarkStart w:id="8" w:name="_Hlk69822626"/>
      <w:r w:rsidRPr="004D5BA3">
        <w:rPr>
          <w:rFonts w:ascii="Tahoma" w:hAnsi="Tahoma" w:cs="Tahoma"/>
          <w:b/>
          <w:lang w:val="es-ES_tradnl"/>
        </w:rPr>
        <w:t>–</w:t>
      </w:r>
      <w:bookmarkEnd w:id="8"/>
      <w:r w:rsidRPr="004D5BA3">
        <w:rPr>
          <w:rFonts w:ascii="Tahoma" w:hAnsi="Tahoma" w:cs="Tahoma"/>
          <w:lang w:val="es-ES_tradnl"/>
        </w:rPr>
        <w:t xml:space="preserve"> </w:t>
      </w:r>
      <w:r w:rsidRPr="004D5BA3">
        <w:rPr>
          <w:rFonts w:ascii="Tahoma" w:hAnsi="Tahoma" w:cs="Tahoma"/>
          <w:b/>
          <w:lang w:val="es-ES_tradnl"/>
        </w:rPr>
        <w:t xml:space="preserve">Protección S.A. </w:t>
      </w:r>
    </w:p>
    <w:p w14:paraId="6C341F97" w14:textId="77777777" w:rsidR="009031C3" w:rsidRPr="004D5BA3" w:rsidRDefault="009031C3" w:rsidP="004D5BA3">
      <w:pPr>
        <w:spacing w:before="0" w:beforeAutospacing="0" w:after="0" w:afterAutospacing="0" w:line="276" w:lineRule="auto"/>
        <w:ind w:firstLine="708"/>
        <w:contextualSpacing/>
        <w:rPr>
          <w:rFonts w:ascii="Tahoma" w:hAnsi="Tahoma" w:cs="Tahoma"/>
          <w:b/>
          <w:lang w:val="es-ES_tradnl"/>
        </w:rPr>
      </w:pPr>
    </w:p>
    <w:p w14:paraId="1537EEF6" w14:textId="77777777" w:rsidR="00936C5C" w:rsidRPr="004D5BA3" w:rsidRDefault="00936C5C" w:rsidP="004D5BA3">
      <w:pPr>
        <w:pStyle w:val="paragraph"/>
        <w:spacing w:before="0" w:beforeAutospacing="0" w:after="0" w:afterAutospacing="0" w:line="276" w:lineRule="auto"/>
        <w:jc w:val="center"/>
        <w:textAlignment w:val="baseline"/>
        <w:rPr>
          <w:rFonts w:ascii="Tahoma" w:hAnsi="Tahoma" w:cs="Tahoma"/>
          <w:b/>
        </w:rPr>
      </w:pPr>
      <w:r w:rsidRPr="004D5BA3">
        <w:rPr>
          <w:rStyle w:val="normaltextrun"/>
          <w:rFonts w:ascii="Tahoma" w:hAnsi="Tahoma" w:cs="Tahoma"/>
          <w:b/>
        </w:rPr>
        <w:t>PUNTO A TRATAR</w:t>
      </w:r>
    </w:p>
    <w:p w14:paraId="4F34E1F6" w14:textId="77777777" w:rsidR="009031C3" w:rsidRPr="004D5BA3" w:rsidRDefault="009031C3" w:rsidP="004D5BA3">
      <w:pPr>
        <w:spacing w:before="0" w:beforeAutospacing="0" w:after="0" w:afterAutospacing="0" w:line="276" w:lineRule="auto"/>
        <w:ind w:firstLine="708"/>
        <w:rPr>
          <w:rStyle w:val="normaltextrun"/>
          <w:rFonts w:ascii="Tahoma" w:hAnsi="Tahoma" w:cs="Tahoma"/>
        </w:rPr>
      </w:pPr>
    </w:p>
    <w:p w14:paraId="1DD70D10" w14:textId="3ACD7209" w:rsidR="00936C5C" w:rsidRPr="004D5BA3" w:rsidRDefault="00936C5C" w:rsidP="004D5BA3">
      <w:pPr>
        <w:spacing w:before="0" w:beforeAutospacing="0" w:after="0" w:afterAutospacing="0" w:line="276" w:lineRule="auto"/>
        <w:ind w:firstLine="708"/>
        <w:rPr>
          <w:rStyle w:val="normaltextrun"/>
          <w:rFonts w:ascii="Tahoma" w:hAnsi="Tahoma" w:cs="Tahoma"/>
        </w:rPr>
      </w:pPr>
      <w:r w:rsidRPr="004D5BA3">
        <w:rPr>
          <w:rStyle w:val="normaltextrun"/>
          <w:rFonts w:ascii="Tahoma" w:hAnsi="Tahoma" w:cs="Tahoma"/>
        </w:rPr>
        <w:t>Por medio de esta providencia procede la Sala a</w:t>
      </w:r>
      <w:r w:rsidRPr="004D5BA3">
        <w:rPr>
          <w:rFonts w:ascii="Tahoma" w:hAnsi="Tahoma" w:cs="Tahoma"/>
        </w:rPr>
        <w:t xml:space="preserve"> resolver el recurso de apelación interpuesto por Colpensiones y Protección S.A. en contra de la sentencia proferida el </w:t>
      </w:r>
      <w:r w:rsidRPr="004D5BA3">
        <w:rPr>
          <w:rFonts w:ascii="Tahoma" w:hAnsi="Tahoma" w:cs="Tahoma"/>
          <w:bCs/>
        </w:rPr>
        <w:t>27 de mayo de 2022</w:t>
      </w:r>
      <w:r w:rsidRPr="004D5BA3">
        <w:rPr>
          <w:rFonts w:ascii="Tahoma" w:hAnsi="Tahoma" w:cs="Tahoma"/>
        </w:rPr>
        <w:t xml:space="preserve"> por el </w:t>
      </w:r>
      <w:r w:rsidRPr="004D5BA3">
        <w:rPr>
          <w:rFonts w:ascii="Tahoma" w:hAnsi="Tahoma" w:cs="Tahoma"/>
          <w:lang w:val="es-ES_tradnl"/>
        </w:rPr>
        <w:t>Juzgado</w:t>
      </w:r>
      <w:r w:rsidRPr="004D5BA3">
        <w:rPr>
          <w:rFonts w:ascii="Tahoma" w:hAnsi="Tahoma" w:cs="Tahoma"/>
        </w:rPr>
        <w:t xml:space="preserve"> Primero Laboral del Circuito de Pereira</w:t>
      </w:r>
      <w:r w:rsidRPr="004D5BA3">
        <w:rPr>
          <w:rStyle w:val="normaltextrun"/>
          <w:rFonts w:ascii="Tahoma" w:hAnsi="Tahoma" w:cs="Tahoma"/>
        </w:rPr>
        <w:t>; asimismo, se revisará la decisión de instancia en virtud del</w:t>
      </w:r>
      <w:r w:rsidRPr="004D5BA3">
        <w:rPr>
          <w:rFonts w:ascii="Tahoma" w:hAnsi="Tahoma" w:cs="Tahoma"/>
        </w:rPr>
        <w:t xml:space="preserve"> grado jurisdiccional de consulta respecto de Colpensiones. </w:t>
      </w:r>
      <w:r w:rsidRPr="004D5BA3">
        <w:rPr>
          <w:rStyle w:val="normaltextrun"/>
          <w:rFonts w:ascii="Tahoma" w:hAnsi="Tahoma" w:cs="Tahoma"/>
        </w:rPr>
        <w:t>Para ello se tiene en cuenta lo siguiente: </w:t>
      </w:r>
    </w:p>
    <w:p w14:paraId="769C8AAC" w14:textId="6B6B7F37" w:rsidR="009031C3" w:rsidRDefault="009031C3" w:rsidP="004D5BA3">
      <w:pPr>
        <w:spacing w:before="0" w:beforeAutospacing="0" w:after="0" w:afterAutospacing="0" w:line="276" w:lineRule="auto"/>
        <w:ind w:firstLine="708"/>
        <w:rPr>
          <w:rFonts w:ascii="Tahoma" w:hAnsi="Tahoma" w:cs="Tahoma"/>
        </w:rPr>
      </w:pPr>
    </w:p>
    <w:p w14:paraId="15FC483C" w14:textId="77777777" w:rsidR="00585829" w:rsidRPr="004D5BA3" w:rsidRDefault="00585829" w:rsidP="004D5BA3">
      <w:pPr>
        <w:spacing w:before="0" w:beforeAutospacing="0" w:after="0" w:afterAutospacing="0" w:line="276" w:lineRule="auto"/>
        <w:ind w:firstLine="708"/>
        <w:rPr>
          <w:rFonts w:ascii="Tahoma" w:hAnsi="Tahoma" w:cs="Tahoma"/>
        </w:rPr>
      </w:pPr>
    </w:p>
    <w:p w14:paraId="5E1CF368" w14:textId="4BA3E525" w:rsidR="00936C5C" w:rsidRPr="004D5BA3" w:rsidRDefault="009031C3" w:rsidP="004D5BA3">
      <w:pPr>
        <w:pStyle w:val="Prrafodelista"/>
        <w:numPr>
          <w:ilvl w:val="0"/>
          <w:numId w:val="1"/>
        </w:numPr>
        <w:spacing w:line="276" w:lineRule="auto"/>
        <w:ind w:left="426" w:hanging="426"/>
        <w:jc w:val="center"/>
        <w:rPr>
          <w:rStyle w:val="normaltextrun"/>
          <w:rFonts w:cs="Tahoma"/>
          <w:b/>
          <w:bCs/>
          <w:szCs w:val="24"/>
        </w:rPr>
      </w:pPr>
      <w:r w:rsidRPr="004D5BA3">
        <w:rPr>
          <w:rFonts w:cs="Tahoma"/>
          <w:b/>
          <w:bCs/>
          <w:szCs w:val="24"/>
        </w:rPr>
        <w:t xml:space="preserve">La </w:t>
      </w:r>
      <w:r w:rsidR="001032FD">
        <w:rPr>
          <w:rFonts w:cs="Tahoma"/>
          <w:b/>
          <w:bCs/>
          <w:szCs w:val="24"/>
        </w:rPr>
        <w:t>d</w:t>
      </w:r>
      <w:r w:rsidR="00936C5C" w:rsidRPr="004D5BA3">
        <w:rPr>
          <w:rFonts w:cs="Tahoma"/>
          <w:b/>
          <w:bCs/>
          <w:szCs w:val="24"/>
        </w:rPr>
        <w:t xml:space="preserve">emanda y </w:t>
      </w:r>
      <w:r w:rsidRPr="004D5BA3">
        <w:rPr>
          <w:rFonts w:cs="Tahoma"/>
          <w:b/>
          <w:bCs/>
          <w:szCs w:val="24"/>
        </w:rPr>
        <w:t>la</w:t>
      </w:r>
      <w:r w:rsidR="00936C5C" w:rsidRPr="004D5BA3">
        <w:rPr>
          <w:rFonts w:cs="Tahoma"/>
          <w:b/>
          <w:bCs/>
          <w:szCs w:val="24"/>
        </w:rPr>
        <w:t xml:space="preserve"> contestación</w:t>
      </w:r>
      <w:r w:rsidRPr="004D5BA3">
        <w:rPr>
          <w:rFonts w:cs="Tahoma"/>
          <w:b/>
          <w:bCs/>
          <w:szCs w:val="24"/>
        </w:rPr>
        <w:t xml:space="preserve"> de la demanda</w:t>
      </w:r>
    </w:p>
    <w:p w14:paraId="071A895E" w14:textId="77777777" w:rsidR="00CC682A" w:rsidRDefault="00CC682A" w:rsidP="004D5BA3">
      <w:pPr>
        <w:spacing w:before="0" w:beforeAutospacing="0" w:after="0" w:afterAutospacing="0" w:line="276" w:lineRule="auto"/>
        <w:ind w:firstLine="709"/>
        <w:contextualSpacing/>
        <w:rPr>
          <w:rFonts w:ascii="Tahoma" w:hAnsi="Tahoma" w:cs="Tahoma"/>
        </w:rPr>
      </w:pPr>
    </w:p>
    <w:p w14:paraId="17B2B965" w14:textId="52D66CD8" w:rsidR="00936C5C" w:rsidRPr="004D5BA3" w:rsidRDefault="00936C5C" w:rsidP="004D5BA3">
      <w:pPr>
        <w:spacing w:before="0" w:beforeAutospacing="0" w:after="0" w:afterAutospacing="0" w:line="276" w:lineRule="auto"/>
        <w:ind w:firstLine="709"/>
        <w:contextualSpacing/>
        <w:rPr>
          <w:rFonts w:ascii="Tahoma" w:hAnsi="Tahoma" w:cs="Tahoma"/>
        </w:rPr>
      </w:pPr>
      <w:r w:rsidRPr="004D5BA3">
        <w:rPr>
          <w:rFonts w:ascii="Tahoma" w:hAnsi="Tahoma" w:cs="Tahoma"/>
        </w:rPr>
        <w:t>La citada demandante busca que se declare la nulidad de la afiliación que realizó a</w:t>
      </w:r>
      <w:r w:rsidR="00705A59" w:rsidRPr="004D5BA3">
        <w:rPr>
          <w:rFonts w:ascii="Tahoma" w:hAnsi="Tahoma" w:cs="Tahoma"/>
        </w:rPr>
        <w:t xml:space="preserve"> AFP ING, hoy</w:t>
      </w:r>
      <w:r w:rsidRPr="004D5BA3">
        <w:rPr>
          <w:rFonts w:ascii="Tahoma" w:hAnsi="Tahoma" w:cs="Tahoma"/>
        </w:rPr>
        <w:t xml:space="preserve"> Protección S.A., a través de la cual se trasladó del régimen de prima media con prestación definida (en adelante RPM) al régimen de ahorro individual con solidaridad (en adelante RAIS).</w:t>
      </w:r>
    </w:p>
    <w:p w14:paraId="3E7F1EA6" w14:textId="77777777" w:rsidR="00936C5C" w:rsidRPr="004D5BA3" w:rsidRDefault="00936C5C" w:rsidP="004D5BA3">
      <w:pPr>
        <w:pBdr>
          <w:top w:val="nil"/>
          <w:left w:val="nil"/>
          <w:bottom w:val="nil"/>
          <w:right w:val="nil"/>
          <w:between w:val="nil"/>
        </w:pBdr>
        <w:spacing w:before="0" w:beforeAutospacing="0" w:after="0" w:afterAutospacing="0" w:line="276" w:lineRule="auto"/>
        <w:ind w:firstLine="709"/>
        <w:contextualSpacing/>
        <w:rPr>
          <w:rFonts w:ascii="Tahoma" w:hAnsi="Tahoma" w:cs="Tahoma"/>
        </w:rPr>
      </w:pPr>
    </w:p>
    <w:p w14:paraId="2DC7A0AB" w14:textId="453EB87F" w:rsidR="00936C5C" w:rsidRPr="004D5BA3" w:rsidRDefault="00936C5C" w:rsidP="004D5BA3">
      <w:pPr>
        <w:spacing w:before="0" w:beforeAutospacing="0" w:after="0" w:afterAutospacing="0" w:line="276" w:lineRule="auto"/>
        <w:ind w:firstLine="709"/>
        <w:contextualSpacing/>
        <w:rPr>
          <w:rFonts w:ascii="Tahoma" w:hAnsi="Tahoma" w:cs="Tahoma"/>
        </w:rPr>
      </w:pPr>
      <w:r w:rsidRPr="004D5BA3">
        <w:rPr>
          <w:rFonts w:ascii="Tahoma" w:hAnsi="Tahoma" w:cs="Tahoma"/>
        </w:rPr>
        <w:t xml:space="preserve">En consecuencia, procura que se condene a </w:t>
      </w:r>
      <w:r w:rsidR="00705A59" w:rsidRPr="004D5BA3">
        <w:rPr>
          <w:rFonts w:ascii="Tahoma" w:hAnsi="Tahoma" w:cs="Tahoma"/>
        </w:rPr>
        <w:t>Protección</w:t>
      </w:r>
      <w:r w:rsidRPr="004D5BA3">
        <w:rPr>
          <w:rFonts w:ascii="Tahoma" w:hAnsi="Tahoma" w:cs="Tahoma"/>
        </w:rPr>
        <w:t xml:space="preserve"> S.A. a liberarla de su base de datos y a trasladar a Colpensiones todos los valores que hubiera recibido con ocasión de su afiliación. Adicionalmente, solicita que se condene a esta última a recibirla nuevamente como afiliada cotizante.</w:t>
      </w:r>
    </w:p>
    <w:p w14:paraId="5E6B9C35" w14:textId="77777777" w:rsidR="00936C5C" w:rsidRPr="004D5BA3" w:rsidRDefault="00936C5C" w:rsidP="004D5BA3">
      <w:pPr>
        <w:spacing w:before="0" w:beforeAutospacing="0" w:after="0" w:afterAutospacing="0" w:line="276" w:lineRule="auto"/>
        <w:ind w:firstLine="709"/>
        <w:contextualSpacing/>
        <w:rPr>
          <w:rFonts w:ascii="Tahoma" w:hAnsi="Tahoma" w:cs="Tahoma"/>
        </w:rPr>
      </w:pPr>
    </w:p>
    <w:p w14:paraId="61548028" w14:textId="39673A40" w:rsidR="00936C5C" w:rsidRPr="004D5BA3" w:rsidRDefault="00936C5C" w:rsidP="004D5BA3">
      <w:pPr>
        <w:spacing w:before="0" w:beforeAutospacing="0" w:after="0" w:afterAutospacing="0" w:line="276" w:lineRule="auto"/>
        <w:ind w:firstLine="709"/>
        <w:contextualSpacing/>
        <w:rPr>
          <w:rFonts w:ascii="Tahoma" w:hAnsi="Tahoma" w:cs="Tahoma"/>
        </w:rPr>
      </w:pPr>
      <w:r w:rsidRPr="004D5BA3">
        <w:rPr>
          <w:rFonts w:ascii="Tahoma" w:hAnsi="Tahoma" w:cs="Tahoma"/>
        </w:rPr>
        <w:t>Por último, pide que se condene a P</w:t>
      </w:r>
      <w:r w:rsidR="00705A59" w:rsidRPr="004D5BA3">
        <w:rPr>
          <w:rFonts w:ascii="Tahoma" w:hAnsi="Tahoma" w:cs="Tahoma"/>
        </w:rPr>
        <w:t>rotección</w:t>
      </w:r>
      <w:r w:rsidRPr="004D5BA3">
        <w:rPr>
          <w:rFonts w:ascii="Tahoma" w:hAnsi="Tahoma" w:cs="Tahoma"/>
        </w:rPr>
        <w:t xml:space="preserve"> S.A a cancelar las costas procesales y a lo extra y ultra petita debatido y probado en el proceso.</w:t>
      </w:r>
    </w:p>
    <w:p w14:paraId="01C575BF" w14:textId="77777777" w:rsidR="00936C5C" w:rsidRPr="004D5BA3" w:rsidRDefault="00936C5C" w:rsidP="004D5BA3">
      <w:pPr>
        <w:spacing w:before="0" w:beforeAutospacing="0" w:after="0" w:afterAutospacing="0" w:line="276" w:lineRule="auto"/>
        <w:ind w:left="360"/>
        <w:contextualSpacing/>
        <w:rPr>
          <w:rFonts w:ascii="Tahoma" w:hAnsi="Tahoma" w:cs="Tahoma"/>
        </w:rPr>
      </w:pPr>
    </w:p>
    <w:p w14:paraId="11B8379C" w14:textId="7399B219" w:rsidR="00936C5C" w:rsidRPr="004D5BA3" w:rsidRDefault="00936C5C" w:rsidP="004D5BA3">
      <w:pPr>
        <w:spacing w:before="0" w:beforeAutospacing="0" w:after="0" w:afterAutospacing="0" w:line="276" w:lineRule="auto"/>
        <w:ind w:firstLine="709"/>
        <w:contextualSpacing/>
        <w:rPr>
          <w:rFonts w:ascii="Tahoma" w:hAnsi="Tahoma" w:cs="Tahoma"/>
        </w:rPr>
      </w:pPr>
      <w:r w:rsidRPr="004D5BA3">
        <w:rPr>
          <w:rFonts w:ascii="Tahoma" w:hAnsi="Tahoma" w:cs="Tahoma"/>
        </w:rPr>
        <w:t>En sustento de lo pretendido, relata la demandante que el</w:t>
      </w:r>
      <w:r w:rsidR="00705A59" w:rsidRPr="004D5BA3">
        <w:rPr>
          <w:rFonts w:ascii="Tahoma" w:hAnsi="Tahoma" w:cs="Tahoma"/>
        </w:rPr>
        <w:t xml:space="preserve"> día</w:t>
      </w:r>
      <w:r w:rsidRPr="004D5BA3">
        <w:rPr>
          <w:rFonts w:ascii="Tahoma" w:hAnsi="Tahoma" w:cs="Tahoma"/>
        </w:rPr>
        <w:t xml:space="preserve"> </w:t>
      </w:r>
      <w:r w:rsidR="00705A59" w:rsidRPr="004D5BA3">
        <w:rPr>
          <w:rFonts w:ascii="Tahoma" w:hAnsi="Tahoma" w:cs="Tahoma"/>
        </w:rPr>
        <w:t>25 de enero de 1985</w:t>
      </w:r>
      <w:r w:rsidRPr="004D5BA3">
        <w:rPr>
          <w:rFonts w:ascii="Tahoma" w:hAnsi="Tahoma" w:cs="Tahoma"/>
        </w:rPr>
        <w:t xml:space="preserve"> </w:t>
      </w:r>
      <w:r w:rsidR="00705A59" w:rsidRPr="004D5BA3">
        <w:rPr>
          <w:rFonts w:ascii="Tahoma" w:hAnsi="Tahoma" w:cs="Tahoma"/>
        </w:rPr>
        <w:t>se afilió</w:t>
      </w:r>
      <w:r w:rsidRPr="004D5BA3">
        <w:rPr>
          <w:rFonts w:ascii="Tahoma" w:hAnsi="Tahoma" w:cs="Tahoma"/>
        </w:rPr>
        <w:t xml:space="preserve"> al RPM</w:t>
      </w:r>
      <w:r w:rsidR="00705A59" w:rsidRPr="004D5BA3">
        <w:rPr>
          <w:rFonts w:ascii="Tahoma" w:hAnsi="Tahoma" w:cs="Tahoma"/>
        </w:rPr>
        <w:t xml:space="preserve"> y posteriormente</w:t>
      </w:r>
      <w:r w:rsidRPr="004D5BA3">
        <w:rPr>
          <w:rFonts w:ascii="Tahoma" w:hAnsi="Tahoma" w:cs="Tahoma"/>
        </w:rPr>
        <w:t xml:space="preserve"> </w:t>
      </w:r>
      <w:r w:rsidR="00BA4216" w:rsidRPr="004D5BA3">
        <w:rPr>
          <w:rFonts w:ascii="Tahoma" w:hAnsi="Tahoma" w:cs="Tahoma"/>
        </w:rPr>
        <w:t xml:space="preserve">solicitó vinculación </w:t>
      </w:r>
      <w:r w:rsidR="00705A59" w:rsidRPr="004D5BA3">
        <w:rPr>
          <w:rFonts w:ascii="Tahoma" w:hAnsi="Tahoma" w:cs="Tahoma"/>
        </w:rPr>
        <w:t>a la AFP Protección S.A el día</w:t>
      </w:r>
      <w:r w:rsidR="00977C75" w:rsidRPr="004D5BA3">
        <w:rPr>
          <w:rFonts w:ascii="Tahoma" w:hAnsi="Tahoma" w:cs="Tahoma"/>
        </w:rPr>
        <w:t xml:space="preserve"> 10 de octubre de 1996.</w:t>
      </w:r>
    </w:p>
    <w:p w14:paraId="633A13F1" w14:textId="77777777" w:rsidR="00936C5C" w:rsidRPr="004D5BA3" w:rsidRDefault="00936C5C" w:rsidP="004D5BA3">
      <w:pPr>
        <w:spacing w:before="0" w:beforeAutospacing="0" w:after="0" w:afterAutospacing="0" w:line="276" w:lineRule="auto"/>
        <w:ind w:firstLine="0"/>
        <w:contextualSpacing/>
        <w:rPr>
          <w:rFonts w:ascii="Tahoma" w:hAnsi="Tahoma" w:cs="Tahoma"/>
        </w:rPr>
      </w:pPr>
    </w:p>
    <w:p w14:paraId="461BEE33" w14:textId="2014937F" w:rsidR="00936C5C" w:rsidRPr="004D5BA3" w:rsidRDefault="00936C5C" w:rsidP="004D5BA3">
      <w:pPr>
        <w:spacing w:before="0" w:beforeAutospacing="0" w:after="0" w:afterAutospacing="0" w:line="276" w:lineRule="auto"/>
        <w:ind w:firstLine="708"/>
        <w:contextualSpacing/>
        <w:rPr>
          <w:rFonts w:ascii="Tahoma" w:hAnsi="Tahoma" w:cs="Tahoma"/>
        </w:rPr>
      </w:pPr>
      <w:bookmarkStart w:id="9" w:name="_heading=h.30j0zll" w:colFirst="0" w:colLast="0"/>
      <w:bookmarkEnd w:id="9"/>
      <w:r w:rsidRPr="004D5BA3">
        <w:rPr>
          <w:rFonts w:ascii="Tahoma" w:hAnsi="Tahoma" w:cs="Tahoma"/>
        </w:rPr>
        <w:t xml:space="preserve">Refiere que el asesor de </w:t>
      </w:r>
      <w:r w:rsidR="00F06F26" w:rsidRPr="004D5BA3">
        <w:rPr>
          <w:rFonts w:ascii="Tahoma" w:hAnsi="Tahoma" w:cs="Tahoma"/>
        </w:rPr>
        <w:t>Protección</w:t>
      </w:r>
      <w:r w:rsidRPr="004D5BA3">
        <w:rPr>
          <w:rFonts w:ascii="Tahoma" w:hAnsi="Tahoma" w:cs="Tahoma"/>
        </w:rPr>
        <w:t xml:space="preserve"> que gestionó su traslado le aseguró</w:t>
      </w:r>
      <w:r w:rsidR="00C03A82" w:rsidRPr="004D5BA3">
        <w:rPr>
          <w:rFonts w:ascii="Tahoma" w:hAnsi="Tahoma" w:cs="Tahoma"/>
        </w:rPr>
        <w:t>, entre otras cosas</w:t>
      </w:r>
      <w:r w:rsidR="009031C3" w:rsidRPr="004D5BA3">
        <w:rPr>
          <w:rFonts w:ascii="Tahoma" w:hAnsi="Tahoma" w:cs="Tahoma"/>
        </w:rPr>
        <w:t>,</w:t>
      </w:r>
      <w:r w:rsidR="00C03A82" w:rsidRPr="004D5BA3">
        <w:rPr>
          <w:rFonts w:ascii="Tahoma" w:hAnsi="Tahoma" w:cs="Tahoma"/>
        </w:rPr>
        <w:t xml:space="preserve"> que</w:t>
      </w:r>
      <w:r w:rsidRPr="004D5BA3">
        <w:rPr>
          <w:rFonts w:ascii="Tahoma" w:hAnsi="Tahoma" w:cs="Tahoma"/>
        </w:rPr>
        <w:t xml:space="preserve"> </w:t>
      </w:r>
      <w:r w:rsidR="00C03A82" w:rsidRPr="004D5BA3">
        <w:rPr>
          <w:rFonts w:ascii="Tahoma" w:hAnsi="Tahoma" w:cs="Tahoma"/>
        </w:rPr>
        <w:t>se podría pensionar a más temprana edad de lo que lo haría en el RPM y que el monto de la pensión ser</w:t>
      </w:r>
      <w:r w:rsidR="008165A9" w:rsidRPr="004D5BA3">
        <w:rPr>
          <w:rFonts w:ascii="Tahoma" w:hAnsi="Tahoma" w:cs="Tahoma"/>
        </w:rPr>
        <w:t>í</w:t>
      </w:r>
      <w:r w:rsidR="00C03A82" w:rsidRPr="004D5BA3">
        <w:rPr>
          <w:rFonts w:ascii="Tahoma" w:hAnsi="Tahoma" w:cs="Tahoma"/>
        </w:rPr>
        <w:t>a mucho más alto en el RAIS,</w:t>
      </w:r>
      <w:r w:rsidRPr="004D5BA3">
        <w:rPr>
          <w:rFonts w:ascii="Tahoma" w:hAnsi="Tahoma" w:cs="Tahoma"/>
        </w:rPr>
        <w:t xml:space="preserve"> que podría </w:t>
      </w:r>
      <w:r w:rsidRPr="004D5BA3">
        <w:rPr>
          <w:rFonts w:ascii="Tahoma" w:hAnsi="Tahoma" w:cs="Tahoma"/>
        </w:rPr>
        <w:lastRenderedPageBreak/>
        <w:t>reclamar la devolución de saldos, incluido el bono pensional y</w:t>
      </w:r>
      <w:r w:rsidR="00C03A82" w:rsidRPr="004D5BA3">
        <w:rPr>
          <w:rFonts w:ascii="Tahoma" w:hAnsi="Tahoma" w:cs="Tahoma"/>
        </w:rPr>
        <w:t xml:space="preserve">, además, </w:t>
      </w:r>
      <w:r w:rsidRPr="004D5BA3">
        <w:rPr>
          <w:rFonts w:ascii="Tahoma" w:hAnsi="Tahoma" w:cs="Tahoma"/>
        </w:rPr>
        <w:t>que el seguro social estaba próximo a desaparecer</w:t>
      </w:r>
      <w:r w:rsidR="00A52E09" w:rsidRPr="004D5BA3">
        <w:rPr>
          <w:rFonts w:ascii="Tahoma" w:hAnsi="Tahoma" w:cs="Tahoma"/>
        </w:rPr>
        <w:t>.</w:t>
      </w:r>
    </w:p>
    <w:p w14:paraId="388DF8B7" w14:textId="77777777" w:rsidR="00936C5C" w:rsidRPr="004D5BA3" w:rsidRDefault="00936C5C" w:rsidP="004D5BA3">
      <w:pPr>
        <w:spacing w:before="0" w:beforeAutospacing="0" w:after="0" w:afterAutospacing="0" w:line="276" w:lineRule="auto"/>
        <w:ind w:firstLine="708"/>
        <w:contextualSpacing/>
        <w:rPr>
          <w:rFonts w:ascii="Tahoma" w:hAnsi="Tahoma" w:cs="Tahoma"/>
        </w:rPr>
      </w:pPr>
    </w:p>
    <w:p w14:paraId="6893CB18" w14:textId="35674447" w:rsidR="00BE4084" w:rsidRPr="004D5BA3" w:rsidRDefault="00936C5C" w:rsidP="004D5BA3">
      <w:pPr>
        <w:spacing w:before="0" w:beforeAutospacing="0" w:after="0" w:afterAutospacing="0" w:line="276" w:lineRule="auto"/>
        <w:ind w:firstLine="708"/>
        <w:contextualSpacing/>
        <w:rPr>
          <w:rFonts w:ascii="Tahoma" w:hAnsi="Tahoma" w:cs="Tahoma"/>
        </w:rPr>
      </w:pPr>
      <w:r w:rsidRPr="004D5BA3">
        <w:rPr>
          <w:rFonts w:ascii="Tahoma" w:hAnsi="Tahoma" w:cs="Tahoma"/>
        </w:rPr>
        <w:t>Agrega que P</w:t>
      </w:r>
      <w:r w:rsidR="00A52E09" w:rsidRPr="004D5BA3">
        <w:rPr>
          <w:rFonts w:ascii="Tahoma" w:hAnsi="Tahoma" w:cs="Tahoma"/>
        </w:rPr>
        <w:t>rotección</w:t>
      </w:r>
      <w:r w:rsidRPr="004D5BA3">
        <w:rPr>
          <w:rFonts w:ascii="Tahoma" w:hAnsi="Tahoma" w:cs="Tahoma"/>
        </w:rPr>
        <w:t xml:space="preserve"> S.A. le comunicó que no contaba con el soporte documental de la asesoría que le brindó al momento del traslado y, por último, señala que el </w:t>
      </w:r>
      <w:r w:rsidR="00A52E09" w:rsidRPr="004D5BA3">
        <w:rPr>
          <w:rFonts w:ascii="Tahoma" w:hAnsi="Tahoma" w:cs="Tahoma"/>
        </w:rPr>
        <w:t>4</w:t>
      </w:r>
      <w:r w:rsidRPr="004D5BA3">
        <w:rPr>
          <w:rFonts w:ascii="Tahoma" w:hAnsi="Tahoma" w:cs="Tahoma"/>
        </w:rPr>
        <w:t xml:space="preserve"> de </w:t>
      </w:r>
      <w:r w:rsidR="00A52E09" w:rsidRPr="004D5BA3">
        <w:rPr>
          <w:rFonts w:ascii="Tahoma" w:hAnsi="Tahoma" w:cs="Tahoma"/>
        </w:rPr>
        <w:t>abril</w:t>
      </w:r>
      <w:r w:rsidRPr="004D5BA3">
        <w:rPr>
          <w:rFonts w:ascii="Tahoma" w:hAnsi="Tahoma" w:cs="Tahoma"/>
        </w:rPr>
        <w:t xml:space="preserve"> de 20</w:t>
      </w:r>
      <w:r w:rsidR="00A52E09" w:rsidRPr="004D5BA3">
        <w:rPr>
          <w:rFonts w:ascii="Tahoma" w:hAnsi="Tahoma" w:cs="Tahoma"/>
        </w:rPr>
        <w:t xml:space="preserve">18 </w:t>
      </w:r>
      <w:r w:rsidRPr="004D5BA3">
        <w:rPr>
          <w:rFonts w:ascii="Tahoma" w:hAnsi="Tahoma" w:cs="Tahoma"/>
        </w:rPr>
        <w:t>Colpensiones negó su solicitud de traslado al régimen de prima media, bajo el argumento de que se</w:t>
      </w:r>
      <w:r w:rsidRPr="004D5BA3">
        <w:rPr>
          <w:rFonts w:ascii="Tahoma" w:hAnsi="Tahoma" w:cs="Tahoma"/>
          <w:i/>
        </w:rPr>
        <w:t xml:space="preserve"> </w:t>
      </w:r>
      <w:r w:rsidRPr="004D5BA3">
        <w:rPr>
          <w:rFonts w:ascii="Tahoma" w:hAnsi="Tahoma" w:cs="Tahoma"/>
        </w:rPr>
        <w:t>encontraba a diez años o menos del requisito de tiempo para pensionarse.</w:t>
      </w:r>
    </w:p>
    <w:p w14:paraId="55B32139" w14:textId="77777777" w:rsidR="007F1AC9" w:rsidRPr="004D5BA3" w:rsidRDefault="007F1AC9" w:rsidP="004D5BA3">
      <w:pPr>
        <w:spacing w:before="0" w:beforeAutospacing="0" w:after="0" w:afterAutospacing="0" w:line="276" w:lineRule="auto"/>
        <w:ind w:firstLine="708"/>
        <w:contextualSpacing/>
        <w:rPr>
          <w:rFonts w:ascii="Tahoma" w:hAnsi="Tahoma" w:cs="Tahoma"/>
        </w:rPr>
      </w:pPr>
    </w:p>
    <w:p w14:paraId="128BC31C" w14:textId="506B3964" w:rsidR="00BE4084" w:rsidRPr="004D5BA3" w:rsidRDefault="00BE4084" w:rsidP="004D5BA3">
      <w:pPr>
        <w:spacing w:before="0" w:beforeAutospacing="0" w:after="0" w:afterAutospacing="0" w:line="276" w:lineRule="auto"/>
        <w:ind w:firstLine="709"/>
        <w:rPr>
          <w:rFonts w:ascii="Tahoma" w:hAnsi="Tahoma" w:cs="Tahoma"/>
        </w:rPr>
      </w:pPr>
      <w:r w:rsidRPr="004D5BA3">
        <w:rPr>
          <w:rFonts w:ascii="Tahoma" w:hAnsi="Tahoma" w:cs="Tahoma"/>
          <w:b/>
        </w:rPr>
        <w:t>Colpensiones</w:t>
      </w:r>
      <w:r w:rsidRPr="004D5BA3">
        <w:rPr>
          <w:rFonts w:ascii="Tahoma" w:hAnsi="Tahoma" w:cs="Tahoma"/>
        </w:rPr>
        <w:t xml:space="preserve"> se opuso a la totalidad de las pretensiones de la demanda</w:t>
      </w:r>
      <w:r w:rsidR="009C58F1" w:rsidRPr="004D5BA3">
        <w:rPr>
          <w:rFonts w:ascii="Tahoma" w:hAnsi="Tahoma" w:cs="Tahoma"/>
        </w:rPr>
        <w:t xml:space="preserve"> y solicit</w:t>
      </w:r>
      <w:r w:rsidR="00E30491" w:rsidRPr="004D5BA3">
        <w:rPr>
          <w:rFonts w:ascii="Tahoma" w:hAnsi="Tahoma" w:cs="Tahoma"/>
        </w:rPr>
        <w:t>ó</w:t>
      </w:r>
      <w:r w:rsidR="009C58F1" w:rsidRPr="004D5BA3">
        <w:rPr>
          <w:rFonts w:ascii="Tahoma" w:hAnsi="Tahoma" w:cs="Tahoma"/>
        </w:rPr>
        <w:t xml:space="preserve"> que sean negadas, a</w:t>
      </w:r>
      <w:r w:rsidRPr="004D5BA3">
        <w:rPr>
          <w:rFonts w:ascii="Tahoma" w:hAnsi="Tahoma" w:cs="Tahoma"/>
        </w:rPr>
        <w:t xml:space="preserve">rguye </w:t>
      </w:r>
      <w:r w:rsidR="00AF60AE" w:rsidRPr="004D5BA3">
        <w:rPr>
          <w:rFonts w:ascii="Tahoma" w:hAnsi="Tahoma" w:cs="Tahoma"/>
        </w:rPr>
        <w:t xml:space="preserve">que </w:t>
      </w:r>
      <w:r w:rsidR="000E74CC" w:rsidRPr="004D5BA3">
        <w:rPr>
          <w:rFonts w:ascii="Tahoma" w:hAnsi="Tahoma" w:cs="Tahoma"/>
        </w:rPr>
        <w:t>l</w:t>
      </w:r>
      <w:r w:rsidR="009C58F1" w:rsidRPr="004D5BA3">
        <w:rPr>
          <w:rFonts w:ascii="Tahoma" w:hAnsi="Tahoma" w:cs="Tahoma"/>
        </w:rPr>
        <w:t xml:space="preserve">a actora no es afiliada al RPM, </w:t>
      </w:r>
      <w:r w:rsidR="00E30491" w:rsidRPr="004D5BA3">
        <w:rPr>
          <w:rFonts w:ascii="Tahoma" w:hAnsi="Tahoma" w:cs="Tahoma"/>
        </w:rPr>
        <w:t>como bien se indica en la demanda. En</w:t>
      </w:r>
      <w:r w:rsidRPr="004D5BA3">
        <w:rPr>
          <w:rFonts w:ascii="Tahoma" w:hAnsi="Tahoma" w:cs="Tahoma"/>
        </w:rPr>
        <w:t xml:space="preserve"> esa medida, invocó como excepciones de mérito las que denominó </w:t>
      </w:r>
      <w:r w:rsidR="00F13B33" w:rsidRPr="004D5BA3">
        <w:rPr>
          <w:rFonts w:ascii="Tahoma" w:hAnsi="Tahoma" w:cs="Tahoma"/>
        </w:rPr>
        <w:t>“Inexistencia de la obligación demandada”; “Prescripción” y “No condena en costas</w:t>
      </w:r>
      <w:r w:rsidR="003D0B82" w:rsidRPr="004D5BA3">
        <w:rPr>
          <w:rFonts w:ascii="Tahoma" w:hAnsi="Tahoma" w:cs="Tahoma"/>
        </w:rPr>
        <w:t>”</w:t>
      </w:r>
      <w:r w:rsidR="00F13B33" w:rsidRPr="004D5BA3">
        <w:rPr>
          <w:rFonts w:ascii="Tahoma" w:hAnsi="Tahoma" w:cs="Tahoma"/>
        </w:rPr>
        <w:t>.</w:t>
      </w:r>
    </w:p>
    <w:p w14:paraId="0F736F01" w14:textId="77777777" w:rsidR="009031C3" w:rsidRPr="004D5BA3" w:rsidRDefault="009031C3" w:rsidP="004D5BA3">
      <w:pPr>
        <w:spacing w:before="0" w:beforeAutospacing="0" w:after="0" w:afterAutospacing="0" w:line="276" w:lineRule="auto"/>
        <w:ind w:firstLine="708"/>
        <w:contextualSpacing/>
        <w:rPr>
          <w:rFonts w:ascii="Tahoma" w:hAnsi="Tahoma" w:cs="Tahoma"/>
        </w:rPr>
      </w:pPr>
    </w:p>
    <w:p w14:paraId="4037BF96" w14:textId="143CACF7" w:rsidR="00B570F3" w:rsidRPr="004D5BA3" w:rsidRDefault="00BE4084" w:rsidP="004D5BA3">
      <w:pPr>
        <w:spacing w:before="0" w:beforeAutospacing="0" w:after="0" w:afterAutospacing="0" w:line="276" w:lineRule="auto"/>
        <w:ind w:firstLine="708"/>
        <w:contextualSpacing/>
        <w:rPr>
          <w:rFonts w:ascii="Tahoma" w:eastAsia="Calibri" w:hAnsi="Tahoma" w:cs="Tahoma"/>
        </w:rPr>
      </w:pPr>
      <w:r w:rsidRPr="004D5BA3">
        <w:rPr>
          <w:rFonts w:ascii="Tahoma" w:hAnsi="Tahoma" w:cs="Tahoma"/>
        </w:rPr>
        <w:t>Por su parte,</w:t>
      </w:r>
      <w:r w:rsidRPr="004D5BA3">
        <w:rPr>
          <w:rFonts w:ascii="Tahoma" w:hAnsi="Tahoma" w:cs="Tahoma"/>
          <w:b/>
        </w:rPr>
        <w:t xml:space="preserve"> P</w:t>
      </w:r>
      <w:r w:rsidR="00E30491" w:rsidRPr="004D5BA3">
        <w:rPr>
          <w:rFonts w:ascii="Tahoma" w:hAnsi="Tahoma" w:cs="Tahoma"/>
          <w:b/>
        </w:rPr>
        <w:t>rotección</w:t>
      </w:r>
      <w:r w:rsidRPr="004D5BA3">
        <w:rPr>
          <w:rFonts w:ascii="Tahoma" w:hAnsi="Tahoma" w:cs="Tahoma"/>
          <w:b/>
        </w:rPr>
        <w:t xml:space="preserve"> S.A</w:t>
      </w:r>
      <w:r w:rsidRPr="004D5BA3">
        <w:rPr>
          <w:rFonts w:ascii="Tahoma" w:hAnsi="Tahoma" w:cs="Tahoma"/>
        </w:rPr>
        <w:t xml:space="preserve"> se opuso a lo pretendido por la demandante, señalando </w:t>
      </w:r>
      <w:r w:rsidRPr="004D5BA3">
        <w:rPr>
          <w:rFonts w:ascii="Tahoma" w:eastAsia="Calibri" w:hAnsi="Tahoma" w:cs="Tahoma"/>
        </w:rPr>
        <w:t>que</w:t>
      </w:r>
      <w:r w:rsidR="00B570F3" w:rsidRPr="004D5BA3">
        <w:rPr>
          <w:rFonts w:ascii="Tahoma" w:eastAsia="Calibri" w:hAnsi="Tahoma" w:cs="Tahoma"/>
        </w:rPr>
        <w:t xml:space="preserve"> el acto jurídico que dio lugar a la vinculación de la actora a la AFP Colmena, luego ING, hoy Protección, se realizó conforme lo establece la ley. Reitera que ING, hoy Protección, y Colmena, eran personas jurídicas diferentes para la época en la que el demandante se </w:t>
      </w:r>
      <w:r w:rsidR="00323E4B" w:rsidRPr="004D5BA3">
        <w:rPr>
          <w:rFonts w:ascii="Tahoma" w:eastAsia="Calibri" w:hAnsi="Tahoma" w:cs="Tahoma"/>
        </w:rPr>
        <w:t>trasladó</w:t>
      </w:r>
      <w:r w:rsidR="00B570F3" w:rsidRPr="004D5BA3">
        <w:rPr>
          <w:rFonts w:ascii="Tahoma" w:eastAsia="Calibri" w:hAnsi="Tahoma" w:cs="Tahoma"/>
        </w:rPr>
        <w:t xml:space="preserve"> de </w:t>
      </w:r>
      <w:r w:rsidR="00323E4B" w:rsidRPr="004D5BA3">
        <w:rPr>
          <w:rFonts w:ascii="Tahoma" w:eastAsia="Calibri" w:hAnsi="Tahoma" w:cs="Tahoma"/>
        </w:rPr>
        <w:t>régimen</w:t>
      </w:r>
      <w:r w:rsidR="00B570F3" w:rsidRPr="004D5BA3">
        <w:rPr>
          <w:rFonts w:ascii="Tahoma" w:eastAsia="Calibri" w:hAnsi="Tahoma" w:cs="Tahoma"/>
        </w:rPr>
        <w:t xml:space="preserve"> </w:t>
      </w:r>
      <w:r w:rsidR="00323E4B" w:rsidRPr="004D5BA3">
        <w:rPr>
          <w:rFonts w:ascii="Tahoma" w:eastAsia="Calibri" w:hAnsi="Tahoma" w:cs="Tahoma"/>
        </w:rPr>
        <w:t xml:space="preserve">y fue esta última y no ING, hoy </w:t>
      </w:r>
      <w:r w:rsidR="009031C3" w:rsidRPr="004D5BA3">
        <w:rPr>
          <w:rFonts w:ascii="Tahoma" w:eastAsia="Calibri" w:hAnsi="Tahoma" w:cs="Tahoma"/>
        </w:rPr>
        <w:t>P</w:t>
      </w:r>
      <w:r w:rsidR="00323E4B" w:rsidRPr="004D5BA3">
        <w:rPr>
          <w:rFonts w:ascii="Tahoma" w:eastAsia="Calibri" w:hAnsi="Tahoma" w:cs="Tahoma"/>
        </w:rPr>
        <w:t>rotección, la entidad que gestion</w:t>
      </w:r>
      <w:r w:rsidR="009031C3" w:rsidRPr="004D5BA3">
        <w:rPr>
          <w:rFonts w:ascii="Tahoma" w:eastAsia="Calibri" w:hAnsi="Tahoma" w:cs="Tahoma"/>
        </w:rPr>
        <w:t>ó</w:t>
      </w:r>
      <w:r w:rsidR="00323E4B" w:rsidRPr="004D5BA3">
        <w:rPr>
          <w:rFonts w:ascii="Tahoma" w:eastAsia="Calibri" w:hAnsi="Tahoma" w:cs="Tahoma"/>
        </w:rPr>
        <w:t xml:space="preserve"> dicho traslado. </w:t>
      </w:r>
      <w:r w:rsidR="00B570F3" w:rsidRPr="004D5BA3">
        <w:rPr>
          <w:rFonts w:ascii="Tahoma" w:eastAsia="Calibri" w:hAnsi="Tahoma" w:cs="Tahoma"/>
        </w:rPr>
        <w:t xml:space="preserve"> </w:t>
      </w:r>
    </w:p>
    <w:p w14:paraId="0CE3C609" w14:textId="77777777" w:rsidR="00B570F3" w:rsidRPr="004D5BA3" w:rsidRDefault="00B570F3" w:rsidP="004D5BA3">
      <w:pPr>
        <w:spacing w:before="0" w:beforeAutospacing="0" w:after="0" w:afterAutospacing="0" w:line="276" w:lineRule="auto"/>
        <w:ind w:firstLine="0"/>
        <w:contextualSpacing/>
        <w:rPr>
          <w:rFonts w:ascii="Tahoma" w:eastAsia="Calibri" w:hAnsi="Tahoma" w:cs="Tahoma"/>
        </w:rPr>
      </w:pPr>
    </w:p>
    <w:p w14:paraId="16C8D00F" w14:textId="1C3EB8EC" w:rsidR="00BE4084" w:rsidRPr="004D5BA3" w:rsidRDefault="00323E4B" w:rsidP="004D5BA3">
      <w:pPr>
        <w:spacing w:before="0" w:beforeAutospacing="0" w:after="0" w:afterAutospacing="0" w:line="276" w:lineRule="auto"/>
        <w:ind w:firstLine="708"/>
        <w:contextualSpacing/>
        <w:rPr>
          <w:rFonts w:ascii="Tahoma" w:hAnsi="Tahoma" w:cs="Tahoma"/>
        </w:rPr>
      </w:pPr>
      <w:r w:rsidRPr="004D5BA3">
        <w:rPr>
          <w:rFonts w:ascii="Tahoma" w:eastAsia="Calibri" w:hAnsi="Tahoma" w:cs="Tahoma"/>
        </w:rPr>
        <w:t>R</w:t>
      </w:r>
      <w:r w:rsidRPr="004D5BA3">
        <w:rPr>
          <w:rFonts w:ascii="Tahoma" w:hAnsi="Tahoma" w:cs="Tahoma"/>
        </w:rPr>
        <w:t xml:space="preserve">efiere que la afiliación de la actora a la AFP Colmena, es un acto jurídico válido, en la medida en que aquella suscribió la solicitud de vinculación a dicha AFP, de manera libre, </w:t>
      </w:r>
      <w:r w:rsidR="00C21FA7" w:rsidRPr="004D5BA3">
        <w:rPr>
          <w:rFonts w:ascii="Tahoma" w:hAnsi="Tahoma" w:cs="Tahoma"/>
        </w:rPr>
        <w:t>espontánea</w:t>
      </w:r>
      <w:r w:rsidRPr="004D5BA3">
        <w:rPr>
          <w:rFonts w:ascii="Tahoma" w:hAnsi="Tahoma" w:cs="Tahoma"/>
        </w:rPr>
        <w:t xml:space="preserve"> y sin presiones, luego de haber recibido </w:t>
      </w:r>
      <w:r w:rsidR="00C21FA7" w:rsidRPr="004D5BA3">
        <w:rPr>
          <w:rFonts w:ascii="Tahoma" w:hAnsi="Tahoma" w:cs="Tahoma"/>
        </w:rPr>
        <w:t>asesoría, respecto a todas las implicaciones de su decisión.</w:t>
      </w:r>
    </w:p>
    <w:p w14:paraId="3681BF5C" w14:textId="77777777" w:rsidR="00BE4084" w:rsidRPr="004D5BA3" w:rsidRDefault="00BE4084" w:rsidP="004D5BA3">
      <w:pPr>
        <w:spacing w:before="0" w:beforeAutospacing="0" w:after="0" w:afterAutospacing="0" w:line="276" w:lineRule="auto"/>
        <w:ind w:firstLine="0"/>
        <w:contextualSpacing/>
        <w:rPr>
          <w:rFonts w:ascii="Tahoma" w:eastAsia="Calibri" w:hAnsi="Tahoma" w:cs="Tahoma"/>
        </w:rPr>
      </w:pPr>
    </w:p>
    <w:p w14:paraId="3F859FD3" w14:textId="77777777" w:rsidR="00C21FA7" w:rsidRPr="004D5BA3" w:rsidRDefault="00BE4084" w:rsidP="004D5BA3">
      <w:pPr>
        <w:spacing w:before="0" w:beforeAutospacing="0" w:after="0" w:afterAutospacing="0" w:line="276" w:lineRule="auto"/>
        <w:ind w:firstLine="426"/>
        <w:contextualSpacing/>
        <w:rPr>
          <w:rFonts w:ascii="Tahoma" w:eastAsia="Calibri" w:hAnsi="Tahoma" w:cs="Tahoma"/>
        </w:rPr>
      </w:pPr>
      <w:r w:rsidRPr="004D5BA3">
        <w:rPr>
          <w:rFonts w:ascii="Tahoma" w:eastAsia="Calibri" w:hAnsi="Tahoma" w:cs="Tahoma"/>
        </w:rPr>
        <w:t>Alegó que la demandante no puede afiliarse al RPM de conformidad con la prohibición legal del literal e) del artículo 2 de la Ley 797 de 2003,</w:t>
      </w:r>
      <w:r w:rsidR="00393E5C" w:rsidRPr="004D5BA3">
        <w:rPr>
          <w:rFonts w:ascii="Tahoma" w:hAnsi="Tahoma" w:cs="Tahoma"/>
          <w:shd w:val="clear" w:color="auto" w:fill="FAF9F8"/>
        </w:rPr>
        <w:t xml:space="preserve"> que modificó el literal e) del artículo 13 de la Ley 100 de 1993</w:t>
      </w:r>
      <w:r w:rsidRPr="004D5BA3">
        <w:rPr>
          <w:rFonts w:ascii="Tahoma" w:eastAsia="Calibri" w:hAnsi="Tahoma" w:cs="Tahoma"/>
        </w:rPr>
        <w:t xml:space="preserve"> y porque no es beneficiario del régimen de transición</w:t>
      </w:r>
      <w:r w:rsidR="00393E5C" w:rsidRPr="004D5BA3">
        <w:rPr>
          <w:rFonts w:ascii="Tahoma" w:eastAsia="Calibri" w:hAnsi="Tahoma" w:cs="Tahoma"/>
        </w:rPr>
        <w:t>,</w:t>
      </w:r>
      <w:r w:rsidR="00393E5C" w:rsidRPr="004D5BA3">
        <w:rPr>
          <w:rFonts w:ascii="Tahoma" w:hAnsi="Tahoma" w:cs="Tahoma"/>
        </w:rPr>
        <w:t xml:space="preserve"> puesto que al 1 de abril de 1994 tenía menos de 35 años de edad, y no había cotizado más de 15 años de servicios.</w:t>
      </w:r>
    </w:p>
    <w:p w14:paraId="3BBD3E70" w14:textId="77777777" w:rsidR="00C21FA7" w:rsidRPr="004D5BA3" w:rsidRDefault="00C21FA7" w:rsidP="004D5BA3">
      <w:pPr>
        <w:spacing w:before="0" w:beforeAutospacing="0" w:after="0" w:afterAutospacing="0" w:line="276" w:lineRule="auto"/>
        <w:ind w:firstLine="426"/>
        <w:contextualSpacing/>
        <w:rPr>
          <w:rFonts w:ascii="Tahoma" w:eastAsia="Calibri" w:hAnsi="Tahoma" w:cs="Tahoma"/>
        </w:rPr>
      </w:pPr>
    </w:p>
    <w:p w14:paraId="3E72D5A4" w14:textId="6A4161E7" w:rsidR="00CA349D" w:rsidRPr="004D5BA3" w:rsidRDefault="00BE4084" w:rsidP="004D5BA3">
      <w:pPr>
        <w:spacing w:before="0" w:beforeAutospacing="0" w:after="0" w:afterAutospacing="0" w:line="276" w:lineRule="auto"/>
        <w:ind w:firstLine="426"/>
        <w:contextualSpacing/>
        <w:rPr>
          <w:rFonts w:ascii="Tahoma" w:hAnsi="Tahoma" w:cs="Tahoma"/>
          <w:i/>
          <w:iCs/>
        </w:rPr>
      </w:pPr>
      <w:r w:rsidRPr="004D5BA3">
        <w:rPr>
          <w:rFonts w:ascii="Tahoma" w:hAnsi="Tahoma" w:cs="Tahoma"/>
        </w:rPr>
        <w:t xml:space="preserve">En virtud de lo antedicho, como excepciones perentorias esgrimió las de </w:t>
      </w:r>
      <w:r w:rsidRPr="004D5BA3">
        <w:rPr>
          <w:rFonts w:ascii="Tahoma" w:hAnsi="Tahoma" w:cs="Tahoma"/>
          <w:i/>
          <w:iCs/>
        </w:rPr>
        <w:t>“Validez y eficacia de la afiliación al RAIS e inexistencia de vicios en el consentimiento”;</w:t>
      </w:r>
      <w:r w:rsidR="00C21FA7" w:rsidRPr="004D5BA3">
        <w:rPr>
          <w:rFonts w:ascii="Tahoma" w:hAnsi="Tahoma" w:cs="Tahoma"/>
          <w:i/>
          <w:iCs/>
        </w:rPr>
        <w:t xml:space="preserve"> Saneamiento de la supuesta nulidad relativa”;</w:t>
      </w:r>
      <w:r w:rsidRPr="004D5BA3">
        <w:rPr>
          <w:rFonts w:ascii="Tahoma" w:hAnsi="Tahoma" w:cs="Tahoma"/>
          <w:i/>
          <w:iCs/>
        </w:rPr>
        <w:t xml:space="preserve"> “Prescripción”; “Buena fe”; e “innominada o genérica”.</w:t>
      </w:r>
    </w:p>
    <w:p w14:paraId="118DA29E" w14:textId="6B794F61" w:rsidR="001032FD" w:rsidRDefault="001032FD" w:rsidP="001032FD">
      <w:pPr>
        <w:spacing w:before="0" w:beforeAutospacing="0" w:after="0" w:afterAutospacing="0" w:line="276" w:lineRule="auto"/>
        <w:ind w:firstLine="0"/>
        <w:rPr>
          <w:rFonts w:ascii="Tahoma" w:eastAsia="Times New Roman" w:hAnsi="Tahoma" w:cs="Tahoma"/>
          <w:lang w:eastAsia="es-MX"/>
        </w:rPr>
      </w:pPr>
    </w:p>
    <w:p w14:paraId="27E731BA" w14:textId="77777777" w:rsidR="00585829" w:rsidRPr="003F7A4F" w:rsidRDefault="00585829" w:rsidP="001032FD">
      <w:pPr>
        <w:spacing w:before="0" w:beforeAutospacing="0" w:after="0" w:afterAutospacing="0" w:line="276" w:lineRule="auto"/>
        <w:ind w:firstLine="0"/>
        <w:rPr>
          <w:rFonts w:ascii="Tahoma" w:eastAsia="Times New Roman" w:hAnsi="Tahoma" w:cs="Tahoma"/>
          <w:lang w:eastAsia="es-MX"/>
        </w:rPr>
      </w:pPr>
    </w:p>
    <w:p w14:paraId="01A43D5A" w14:textId="77777777" w:rsidR="001032FD" w:rsidRPr="001032FD" w:rsidRDefault="001032FD" w:rsidP="001032FD">
      <w:pPr>
        <w:pStyle w:val="Prrafodelista"/>
        <w:numPr>
          <w:ilvl w:val="0"/>
          <w:numId w:val="1"/>
        </w:numPr>
        <w:spacing w:line="276" w:lineRule="auto"/>
        <w:ind w:left="426" w:hanging="426"/>
        <w:jc w:val="center"/>
        <w:rPr>
          <w:rFonts w:cs="Tahoma"/>
          <w:b/>
          <w:bCs/>
          <w:szCs w:val="24"/>
        </w:rPr>
      </w:pPr>
      <w:r w:rsidRPr="001032FD">
        <w:rPr>
          <w:rFonts w:cs="Tahoma"/>
          <w:b/>
          <w:bCs/>
          <w:szCs w:val="24"/>
        </w:rPr>
        <w:t>SENTENCIA DE PRIMERA INSTANCIA</w:t>
      </w:r>
    </w:p>
    <w:p w14:paraId="5FEA6A0E" w14:textId="77777777" w:rsidR="009031C3" w:rsidRPr="004D5BA3" w:rsidRDefault="009031C3" w:rsidP="004D5BA3">
      <w:pPr>
        <w:spacing w:before="0" w:beforeAutospacing="0" w:after="0" w:afterAutospacing="0" w:line="276" w:lineRule="auto"/>
        <w:ind w:firstLine="426"/>
        <w:contextualSpacing/>
        <w:rPr>
          <w:rFonts w:ascii="Tahoma" w:eastAsia="Calibri" w:hAnsi="Tahoma" w:cs="Tahoma"/>
        </w:rPr>
      </w:pPr>
    </w:p>
    <w:p w14:paraId="6E86804B" w14:textId="69E9FEE8" w:rsidR="004122B8" w:rsidRPr="004D5BA3" w:rsidRDefault="009031C3" w:rsidP="004D5BA3">
      <w:pPr>
        <w:spacing w:before="0" w:beforeAutospacing="0" w:after="0" w:afterAutospacing="0" w:line="276" w:lineRule="auto"/>
        <w:ind w:firstLine="709"/>
        <w:rPr>
          <w:rFonts w:ascii="Tahoma" w:hAnsi="Tahoma" w:cs="Tahoma"/>
        </w:rPr>
      </w:pPr>
      <w:r w:rsidRPr="004D5BA3">
        <w:rPr>
          <w:rFonts w:ascii="Tahoma" w:eastAsia="Calibri" w:hAnsi="Tahoma" w:cs="Tahoma"/>
        </w:rPr>
        <w:t>La</w:t>
      </w:r>
      <w:r w:rsidR="004122B8" w:rsidRPr="004D5BA3">
        <w:rPr>
          <w:rFonts w:ascii="Tahoma" w:eastAsia="Calibri" w:hAnsi="Tahoma" w:cs="Tahoma"/>
        </w:rPr>
        <w:t xml:space="preserve"> Juez</w:t>
      </w:r>
      <w:r w:rsidR="008A2700" w:rsidRPr="004D5BA3">
        <w:rPr>
          <w:rFonts w:ascii="Tahoma" w:eastAsia="Calibri" w:hAnsi="Tahoma" w:cs="Tahoma"/>
        </w:rPr>
        <w:t>a</w:t>
      </w:r>
      <w:r w:rsidR="004122B8" w:rsidRPr="004D5BA3">
        <w:rPr>
          <w:rFonts w:ascii="Tahoma" w:eastAsia="Calibri" w:hAnsi="Tahoma" w:cs="Tahoma"/>
        </w:rPr>
        <w:t xml:space="preserve"> de primera instancia decretó no probados los medios exceptivos propuestos por las codemandadas y </w:t>
      </w:r>
      <w:r w:rsidR="000C60AA" w:rsidRPr="004D5BA3">
        <w:rPr>
          <w:rFonts w:ascii="Tahoma" w:hAnsi="Tahoma" w:cs="Tahoma"/>
        </w:rPr>
        <w:t>declaró la ineficaz el traslado del régimen de prima media con prestación definida al régimen de ahorro individual con solidaridad efectuado la señora Roció Sierra Delgado el 10 de octubre de 1996, a través de la A.F.P Cesantías y Pensiones Colmena AIG, hoy Protección S.A.</w:t>
      </w:r>
    </w:p>
    <w:p w14:paraId="3F959567" w14:textId="77777777" w:rsidR="009031C3" w:rsidRPr="004D5BA3" w:rsidRDefault="009031C3" w:rsidP="004D5BA3">
      <w:pPr>
        <w:spacing w:before="0" w:beforeAutospacing="0" w:after="0" w:afterAutospacing="0" w:line="276" w:lineRule="auto"/>
        <w:ind w:firstLine="709"/>
        <w:rPr>
          <w:rFonts w:ascii="Tahoma" w:hAnsi="Tahoma" w:cs="Tahoma"/>
        </w:rPr>
      </w:pPr>
    </w:p>
    <w:p w14:paraId="7831F6FF" w14:textId="48133519" w:rsidR="00296023" w:rsidRPr="004D5BA3" w:rsidRDefault="004122B8" w:rsidP="004D5BA3">
      <w:pPr>
        <w:spacing w:before="0" w:beforeAutospacing="0" w:after="0" w:afterAutospacing="0" w:line="276" w:lineRule="auto"/>
        <w:ind w:firstLine="709"/>
        <w:rPr>
          <w:rFonts w:ascii="Tahoma" w:hAnsi="Tahoma" w:cs="Tahoma"/>
        </w:rPr>
      </w:pPr>
      <w:r w:rsidRPr="004D5BA3">
        <w:rPr>
          <w:rFonts w:ascii="Tahoma" w:eastAsia="Calibri" w:hAnsi="Tahoma" w:cs="Tahoma"/>
        </w:rPr>
        <w:t xml:space="preserve">En consecuencia, ordenó a </w:t>
      </w:r>
      <w:r w:rsidR="000C60AA" w:rsidRPr="004D5BA3">
        <w:rPr>
          <w:rFonts w:ascii="Tahoma" w:eastAsia="Times New Roman" w:hAnsi="Tahoma" w:cs="Tahoma"/>
        </w:rPr>
        <w:t>Protección</w:t>
      </w:r>
      <w:r w:rsidR="00004F2F" w:rsidRPr="004D5BA3">
        <w:rPr>
          <w:rFonts w:ascii="Tahoma" w:eastAsia="Times New Roman" w:hAnsi="Tahoma" w:cs="Tahoma"/>
        </w:rPr>
        <w:t xml:space="preserve"> </w:t>
      </w:r>
      <w:r w:rsidRPr="004D5BA3">
        <w:rPr>
          <w:rFonts w:ascii="Tahoma" w:eastAsia="Times New Roman" w:hAnsi="Tahoma" w:cs="Tahoma"/>
        </w:rPr>
        <w:t xml:space="preserve">S.A., </w:t>
      </w:r>
      <w:r w:rsidR="000C60AA" w:rsidRPr="004D5BA3">
        <w:rPr>
          <w:rFonts w:ascii="Tahoma" w:eastAsia="Times New Roman" w:hAnsi="Tahoma" w:cs="Tahoma"/>
        </w:rPr>
        <w:t xml:space="preserve">trasladar a Colpensiones </w:t>
      </w:r>
      <w:r w:rsidR="000C60AA" w:rsidRPr="004D5BA3">
        <w:rPr>
          <w:rFonts w:ascii="Tahoma" w:hAnsi="Tahoma" w:cs="Tahoma"/>
        </w:rPr>
        <w:t xml:space="preserve">todos los aportes que reposen en la cuenta de ahorro individual de la parte demandante, junto con los intereses, rendimientos financieros y </w:t>
      </w:r>
      <w:r w:rsidR="009031C3" w:rsidRPr="004D5BA3">
        <w:rPr>
          <w:rFonts w:ascii="Tahoma" w:hAnsi="Tahoma" w:cs="Tahoma"/>
        </w:rPr>
        <w:t xml:space="preserve">a </w:t>
      </w:r>
      <w:r w:rsidR="000C60AA" w:rsidRPr="004D5BA3">
        <w:rPr>
          <w:rFonts w:ascii="Tahoma" w:hAnsi="Tahoma" w:cs="Tahoma"/>
        </w:rPr>
        <w:t>restituir con cargo a sus propios recursos, el valor que durante todo el tiempo de vinculación a dicho régimen de la demandante destinó a financiar  los gastos  de  administración,  las  primas  que  respaldan  la  garantía  de pensión  mínima  y  las  primas  de  los  seguros  de  invalidez  y  sobrevivientes, debidamente indexadas.</w:t>
      </w:r>
    </w:p>
    <w:p w14:paraId="23E8D8C3" w14:textId="77777777" w:rsidR="009031C3" w:rsidRPr="004D5BA3" w:rsidRDefault="009031C3" w:rsidP="004D5BA3">
      <w:pPr>
        <w:spacing w:before="0" w:beforeAutospacing="0" w:after="0" w:afterAutospacing="0" w:line="276" w:lineRule="auto"/>
        <w:ind w:firstLine="709"/>
        <w:rPr>
          <w:rFonts w:ascii="Tahoma" w:hAnsi="Tahoma" w:cs="Tahoma"/>
        </w:rPr>
      </w:pPr>
    </w:p>
    <w:p w14:paraId="7782754F" w14:textId="40463A05" w:rsidR="000C60AA" w:rsidRPr="004D5BA3" w:rsidRDefault="000C60AA" w:rsidP="004D5BA3">
      <w:pPr>
        <w:spacing w:before="0" w:beforeAutospacing="0" w:after="0" w:afterAutospacing="0" w:line="276" w:lineRule="auto"/>
        <w:ind w:firstLine="709"/>
        <w:rPr>
          <w:rFonts w:ascii="Tahoma" w:hAnsi="Tahoma" w:cs="Tahoma"/>
        </w:rPr>
      </w:pPr>
      <w:r w:rsidRPr="004D5BA3">
        <w:rPr>
          <w:rFonts w:ascii="Tahoma" w:eastAsia="Calibri" w:hAnsi="Tahoma" w:cs="Tahoma"/>
        </w:rPr>
        <w:t xml:space="preserve">Por otra parte, ordenó a Colpensiones que acepte el traslado de la actora, </w:t>
      </w:r>
      <w:r w:rsidRPr="004D5BA3">
        <w:rPr>
          <w:rFonts w:ascii="Tahoma" w:hAnsi="Tahoma" w:cs="Tahoma"/>
          <w:lang w:val="es-MX"/>
        </w:rPr>
        <w:t>sin dilaciones y dispuso comunicar</w:t>
      </w:r>
      <w:r w:rsidR="00195488" w:rsidRPr="004D5BA3">
        <w:rPr>
          <w:rFonts w:ascii="Tahoma" w:hAnsi="Tahoma" w:cs="Tahoma"/>
          <w:lang w:val="es-MX"/>
        </w:rPr>
        <w:t xml:space="preserve"> la decisión a la OBP del Ministerio de Hacienda y Crédito Público,</w:t>
      </w:r>
      <w:r w:rsidR="00195488" w:rsidRPr="004D5BA3">
        <w:rPr>
          <w:rFonts w:ascii="Tahoma" w:hAnsi="Tahoma" w:cs="Tahoma"/>
        </w:rPr>
        <w:t xml:space="preserve"> para que, en caso de haber emitido el bono pensional, proceda con la anulación del mismo mediante</w:t>
      </w:r>
      <w:r w:rsidR="00CC682A">
        <w:rPr>
          <w:rFonts w:ascii="Tahoma" w:hAnsi="Tahoma" w:cs="Tahoma"/>
        </w:rPr>
        <w:t xml:space="preserve"> </w:t>
      </w:r>
      <w:r w:rsidR="00195488" w:rsidRPr="004D5BA3">
        <w:rPr>
          <w:rFonts w:ascii="Tahoma" w:hAnsi="Tahoma" w:cs="Tahoma"/>
        </w:rPr>
        <w:t>trámite interno</w:t>
      </w:r>
      <w:r w:rsidR="004260FB" w:rsidRPr="004D5BA3">
        <w:rPr>
          <w:rFonts w:ascii="Tahoma" w:hAnsi="Tahoma" w:cs="Tahoma"/>
        </w:rPr>
        <w:t>.</w:t>
      </w:r>
    </w:p>
    <w:p w14:paraId="765A09ED" w14:textId="77777777" w:rsidR="009031C3" w:rsidRPr="004D5BA3" w:rsidRDefault="009031C3" w:rsidP="004D5BA3">
      <w:pPr>
        <w:spacing w:before="0" w:beforeAutospacing="0" w:after="0" w:afterAutospacing="0" w:line="276" w:lineRule="auto"/>
        <w:ind w:firstLine="709"/>
        <w:rPr>
          <w:rFonts w:ascii="Tahoma" w:hAnsi="Tahoma" w:cs="Tahoma"/>
        </w:rPr>
      </w:pPr>
    </w:p>
    <w:p w14:paraId="03977CED" w14:textId="04CC5482" w:rsidR="00305C60" w:rsidRPr="004D5BA3" w:rsidRDefault="00305C60" w:rsidP="004D5BA3">
      <w:pPr>
        <w:spacing w:before="0" w:beforeAutospacing="0" w:after="0" w:afterAutospacing="0" w:line="276" w:lineRule="auto"/>
        <w:ind w:firstLine="709"/>
        <w:rPr>
          <w:rFonts w:ascii="Tahoma" w:eastAsia="Calibri" w:hAnsi="Tahoma" w:cs="Tahoma"/>
        </w:rPr>
      </w:pPr>
      <w:r w:rsidRPr="004D5BA3">
        <w:rPr>
          <w:rFonts w:ascii="Tahoma" w:eastAsia="Calibri" w:hAnsi="Tahoma" w:cs="Tahoma"/>
        </w:rPr>
        <w:t xml:space="preserve">Por último, condenó en costas a </w:t>
      </w:r>
      <w:r w:rsidR="00195488" w:rsidRPr="004D5BA3">
        <w:rPr>
          <w:rFonts w:ascii="Tahoma" w:eastAsia="Calibri" w:hAnsi="Tahoma" w:cs="Tahoma"/>
        </w:rPr>
        <w:t xml:space="preserve">Protección </w:t>
      </w:r>
      <w:r w:rsidRPr="004D5BA3">
        <w:rPr>
          <w:rFonts w:ascii="Tahoma" w:eastAsia="Calibri" w:hAnsi="Tahoma" w:cs="Tahoma"/>
        </w:rPr>
        <w:t>S.A. a favor de la demandante en un 100%.</w:t>
      </w:r>
    </w:p>
    <w:p w14:paraId="2DD2BF4B" w14:textId="77777777" w:rsidR="009031C3" w:rsidRPr="004D5BA3" w:rsidRDefault="009031C3" w:rsidP="004D5BA3">
      <w:pPr>
        <w:spacing w:before="0" w:beforeAutospacing="0" w:after="0" w:afterAutospacing="0" w:line="276" w:lineRule="auto"/>
        <w:ind w:firstLine="709"/>
        <w:rPr>
          <w:rFonts w:ascii="Tahoma" w:eastAsia="Calibri" w:hAnsi="Tahoma" w:cs="Tahoma"/>
        </w:rPr>
      </w:pPr>
    </w:p>
    <w:p w14:paraId="7EE827A7" w14:textId="33096634" w:rsidR="00195488" w:rsidRPr="004D5BA3" w:rsidRDefault="00195488" w:rsidP="004D5BA3">
      <w:pPr>
        <w:spacing w:before="0" w:beforeAutospacing="0" w:after="0" w:afterAutospacing="0" w:line="276" w:lineRule="auto"/>
        <w:rPr>
          <w:rFonts w:ascii="Tahoma" w:hAnsi="Tahoma" w:cs="Tahoma"/>
        </w:rPr>
      </w:pPr>
      <w:r w:rsidRPr="004D5BA3">
        <w:rPr>
          <w:rFonts w:ascii="Tahoma" w:eastAsia="Calibri" w:hAnsi="Tahoma" w:cs="Tahoma"/>
          <w:lang w:val="es-ES"/>
        </w:rPr>
        <w:t xml:space="preserve">Para llegar a tal determinación el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la AFP Protección </w:t>
      </w:r>
      <w:r w:rsidRPr="004D5BA3">
        <w:rPr>
          <w:rFonts w:ascii="Tahoma" w:hAnsi="Tahoma" w:cs="Tahoma"/>
        </w:rPr>
        <w:t>S.A. incumplió con la carga de la prueba que le correspondía en el proceso, tendiente a acreditar que llevó a cabo el deber de información</w:t>
      </w:r>
      <w:r w:rsidR="00940C8D" w:rsidRPr="004D5BA3">
        <w:rPr>
          <w:rFonts w:ascii="Tahoma" w:hAnsi="Tahoma" w:cs="Tahoma"/>
        </w:rPr>
        <w:t>, en tanto que, la sola suscripción del formulario de afiliación por sí solo no logra demostrar la información que se brindó a la promotora de la litis al momento de afiliarse, a pesar de que en él exista una cláusula que refiera que la afiliación del demandante fue libre, consciente y voluntaria.</w:t>
      </w:r>
      <w:r w:rsidRPr="004D5BA3">
        <w:rPr>
          <w:rFonts w:ascii="Tahoma" w:eastAsia="Calibri" w:hAnsi="Tahoma" w:cs="Tahoma"/>
          <w:lang w:val="es-ES"/>
        </w:rPr>
        <w:t xml:space="preserve"> </w:t>
      </w:r>
    </w:p>
    <w:p w14:paraId="26B7F446" w14:textId="77777777" w:rsidR="0094119B" w:rsidRDefault="0094119B" w:rsidP="004D5BA3">
      <w:pPr>
        <w:spacing w:before="0" w:beforeAutospacing="0" w:after="0" w:afterAutospacing="0" w:line="276" w:lineRule="auto"/>
        <w:ind w:firstLine="700"/>
        <w:rPr>
          <w:rFonts w:ascii="Tahoma" w:eastAsia="Times New Roman" w:hAnsi="Tahoma" w:cs="Tahoma"/>
          <w:color w:val="000000"/>
          <w:lang w:eastAsia="es-MX"/>
        </w:rPr>
      </w:pPr>
    </w:p>
    <w:p w14:paraId="4A4B5166" w14:textId="10A1B561" w:rsidR="006B1C70" w:rsidRPr="004D5BA3" w:rsidRDefault="006B1C70" w:rsidP="004D5BA3">
      <w:pPr>
        <w:spacing w:before="0" w:beforeAutospacing="0" w:after="0" w:afterAutospacing="0" w:line="276" w:lineRule="auto"/>
        <w:ind w:firstLine="700"/>
        <w:rPr>
          <w:rFonts w:ascii="Tahoma" w:eastAsia="Times New Roman" w:hAnsi="Tahoma" w:cs="Tahoma"/>
          <w:color w:val="000000"/>
          <w:lang w:eastAsia="es-MX"/>
        </w:rPr>
      </w:pPr>
      <w:r w:rsidRPr="004D5BA3">
        <w:rPr>
          <w:rFonts w:ascii="Tahoma" w:eastAsia="Times New Roman" w:hAnsi="Tahoma" w:cs="Tahoma"/>
          <w:color w:val="000000"/>
          <w:lang w:eastAsia="es-MX"/>
        </w:rPr>
        <w:t xml:space="preserve">Del interrogatorio rendido por </w:t>
      </w:r>
      <w:r w:rsidR="00615E26" w:rsidRPr="004D5BA3">
        <w:rPr>
          <w:rFonts w:ascii="Tahoma" w:eastAsia="Times New Roman" w:hAnsi="Tahoma" w:cs="Tahoma"/>
          <w:color w:val="000000"/>
          <w:lang w:eastAsia="es-MX"/>
        </w:rPr>
        <w:t>la</w:t>
      </w:r>
      <w:r w:rsidRPr="004D5BA3">
        <w:rPr>
          <w:rFonts w:ascii="Tahoma" w:eastAsia="Times New Roman" w:hAnsi="Tahoma" w:cs="Tahoma"/>
          <w:color w:val="000000"/>
          <w:lang w:eastAsia="es-MX"/>
        </w:rPr>
        <w:t xml:space="preserve"> actor</w:t>
      </w:r>
      <w:r w:rsidR="00615E26" w:rsidRPr="004D5BA3">
        <w:rPr>
          <w:rFonts w:ascii="Tahoma" w:eastAsia="Times New Roman" w:hAnsi="Tahoma" w:cs="Tahoma"/>
          <w:color w:val="000000"/>
          <w:lang w:eastAsia="es-MX"/>
        </w:rPr>
        <w:t>a</w:t>
      </w:r>
      <w:r w:rsidRPr="004D5BA3">
        <w:rPr>
          <w:rFonts w:ascii="Tahoma" w:eastAsia="Times New Roman" w:hAnsi="Tahoma" w:cs="Tahoma"/>
          <w:color w:val="000000"/>
          <w:lang w:eastAsia="es-MX"/>
        </w:rPr>
        <w:t>, no sé logró tener ninguna confesión que permitiera concluir que el fondo sí cumplió con su deber de información, ya que la información que le dieron no cumplió con los requisitos normativos.</w:t>
      </w:r>
    </w:p>
    <w:p w14:paraId="2A7BBE56" w14:textId="77777777" w:rsidR="0094119B" w:rsidRDefault="0094119B" w:rsidP="004D5BA3">
      <w:pPr>
        <w:spacing w:before="0" w:beforeAutospacing="0" w:after="0" w:afterAutospacing="0" w:line="276" w:lineRule="auto"/>
        <w:rPr>
          <w:rFonts w:ascii="Tahoma" w:hAnsi="Tahoma" w:cs="Tahoma"/>
        </w:rPr>
      </w:pPr>
    </w:p>
    <w:p w14:paraId="6D5F6C3A" w14:textId="6841AEB3" w:rsidR="00536C8C" w:rsidRPr="004D5BA3" w:rsidRDefault="00536C8C" w:rsidP="004D5BA3">
      <w:pPr>
        <w:spacing w:before="0" w:beforeAutospacing="0" w:after="0" w:afterAutospacing="0" w:line="276" w:lineRule="auto"/>
        <w:rPr>
          <w:rFonts w:ascii="Tahoma" w:hAnsi="Tahoma" w:cs="Tahoma"/>
        </w:rPr>
      </w:pPr>
      <w:r w:rsidRPr="004D5BA3">
        <w:rPr>
          <w:rFonts w:ascii="Tahoma" w:hAnsi="Tahoma" w:cs="Tahoma"/>
        </w:rPr>
        <w:t xml:space="preserve">Resaltó que los actos de relacionamiento deben demostrar que desapareció la falta de asimetría en la información al momento de la afiliación, pero en el caso </w:t>
      </w:r>
      <w:r w:rsidR="00526A16" w:rsidRPr="004D5BA3">
        <w:rPr>
          <w:rFonts w:ascii="Tahoma" w:hAnsi="Tahoma" w:cs="Tahoma"/>
        </w:rPr>
        <w:t xml:space="preserve">esto </w:t>
      </w:r>
      <w:r w:rsidRPr="004D5BA3">
        <w:rPr>
          <w:rFonts w:ascii="Tahoma" w:hAnsi="Tahoma" w:cs="Tahoma"/>
        </w:rPr>
        <w:t xml:space="preserve">no se logró demostrar. </w:t>
      </w:r>
    </w:p>
    <w:p w14:paraId="28108C5D" w14:textId="77777777" w:rsidR="006B1C70" w:rsidRPr="004D5BA3" w:rsidRDefault="006B1C70" w:rsidP="004D5BA3">
      <w:pPr>
        <w:spacing w:before="0" w:beforeAutospacing="0" w:after="0" w:afterAutospacing="0" w:line="276" w:lineRule="auto"/>
        <w:rPr>
          <w:rFonts w:ascii="Tahoma" w:hAnsi="Tahoma" w:cs="Tahoma"/>
        </w:rPr>
      </w:pPr>
    </w:p>
    <w:p w14:paraId="6498BD91" w14:textId="7914A66F" w:rsidR="00195488" w:rsidRPr="004D5BA3" w:rsidRDefault="00195488" w:rsidP="004D5BA3">
      <w:pPr>
        <w:spacing w:before="0" w:beforeAutospacing="0" w:after="0" w:afterAutospacing="0" w:line="276" w:lineRule="auto"/>
        <w:rPr>
          <w:rFonts w:ascii="Tahoma" w:eastAsia="Calibri" w:hAnsi="Tahoma" w:cs="Tahoma"/>
        </w:rPr>
      </w:pPr>
      <w:r w:rsidRPr="004D5BA3">
        <w:rPr>
          <w:rFonts w:ascii="Tahoma" w:eastAsia="Calibri" w:hAnsi="Tahoma" w:cs="Tahoma"/>
        </w:rPr>
        <w:t>Por lo dicho, concluyó que la decisión de la parte demandante no estuvo precedida de la compresión suficiente ni el real consentimiento para llevarla a cabo, razón por la cual debía declarase la ineficacia del acto de traslado.</w:t>
      </w:r>
    </w:p>
    <w:p w14:paraId="2841DBD9" w14:textId="019BE07D" w:rsidR="009031C3" w:rsidRPr="004D5BA3" w:rsidRDefault="009031C3" w:rsidP="004D5BA3">
      <w:pPr>
        <w:spacing w:before="0" w:beforeAutospacing="0" w:after="0" w:afterAutospacing="0" w:line="276" w:lineRule="auto"/>
        <w:rPr>
          <w:rFonts w:ascii="Tahoma" w:eastAsia="Calibri" w:hAnsi="Tahoma" w:cs="Tahoma"/>
        </w:rPr>
      </w:pPr>
    </w:p>
    <w:p w14:paraId="53FFC7EB" w14:textId="77777777" w:rsidR="009031C3" w:rsidRPr="004D5BA3" w:rsidRDefault="009031C3" w:rsidP="004D5BA3">
      <w:pPr>
        <w:spacing w:before="0" w:beforeAutospacing="0" w:after="0" w:afterAutospacing="0" w:line="276" w:lineRule="auto"/>
        <w:rPr>
          <w:rFonts w:ascii="Tahoma" w:eastAsia="Calibri" w:hAnsi="Tahoma" w:cs="Tahoma"/>
        </w:rPr>
      </w:pPr>
    </w:p>
    <w:p w14:paraId="198C1584" w14:textId="39ECE058" w:rsidR="003A169D" w:rsidRPr="004D5BA3" w:rsidRDefault="00792794" w:rsidP="004D5BA3">
      <w:pPr>
        <w:pStyle w:val="Prrafodelista"/>
        <w:numPr>
          <w:ilvl w:val="0"/>
          <w:numId w:val="1"/>
        </w:numPr>
        <w:spacing w:line="276" w:lineRule="auto"/>
        <w:ind w:left="426" w:hanging="426"/>
        <w:jc w:val="center"/>
        <w:rPr>
          <w:rFonts w:cs="Tahoma"/>
          <w:b/>
          <w:bCs/>
          <w:szCs w:val="24"/>
        </w:rPr>
      </w:pPr>
      <w:r w:rsidRPr="004D5BA3">
        <w:rPr>
          <w:rFonts w:cs="Tahoma"/>
          <w:b/>
          <w:bCs/>
          <w:szCs w:val="24"/>
        </w:rPr>
        <w:t>Recursos de apelación y procedencia de la consulta</w:t>
      </w:r>
    </w:p>
    <w:p w14:paraId="603427BC" w14:textId="4DDE7D4A" w:rsidR="009031C3" w:rsidRPr="004D5BA3" w:rsidRDefault="009031C3" w:rsidP="00585829">
      <w:pPr>
        <w:pStyle w:val="Prrafodelista"/>
        <w:spacing w:line="276" w:lineRule="auto"/>
        <w:rPr>
          <w:rFonts w:eastAsia="Times New Roman" w:cs="Tahoma"/>
          <w:b/>
          <w:bCs/>
          <w:color w:val="000000"/>
          <w:szCs w:val="24"/>
          <w:lang w:eastAsia="es-MX"/>
        </w:rPr>
      </w:pPr>
    </w:p>
    <w:p w14:paraId="29C103C0" w14:textId="16A5582B" w:rsidR="000801D6" w:rsidRPr="004D5BA3" w:rsidRDefault="000801D6" w:rsidP="004D5BA3">
      <w:pPr>
        <w:pStyle w:val="Prrafodelista"/>
        <w:spacing w:line="276" w:lineRule="auto"/>
        <w:ind w:left="142" w:firstLine="567"/>
        <w:rPr>
          <w:rFonts w:eastAsia="Times New Roman" w:cs="Tahoma"/>
          <w:color w:val="000000"/>
          <w:szCs w:val="24"/>
          <w:lang w:eastAsia="es-MX"/>
        </w:rPr>
      </w:pPr>
      <w:r w:rsidRPr="004D5BA3">
        <w:rPr>
          <w:rFonts w:eastAsia="Times New Roman" w:cs="Tahoma"/>
          <w:b/>
          <w:bCs/>
          <w:color w:val="000000"/>
          <w:szCs w:val="24"/>
          <w:lang w:eastAsia="es-MX"/>
        </w:rPr>
        <w:t xml:space="preserve">Protección S.A. </w:t>
      </w:r>
      <w:r w:rsidR="00BE06FA" w:rsidRPr="004D5BA3">
        <w:rPr>
          <w:rFonts w:eastAsia="Times New Roman" w:cs="Tahoma"/>
          <w:color w:val="000000"/>
          <w:szCs w:val="24"/>
          <w:lang w:eastAsia="es-MX"/>
        </w:rPr>
        <w:t>atacó la sentencia arguyendo</w:t>
      </w:r>
      <w:r w:rsidRPr="004D5BA3">
        <w:rPr>
          <w:rFonts w:eastAsia="Times New Roman" w:cs="Tahoma"/>
          <w:b/>
          <w:bCs/>
          <w:color w:val="000000"/>
          <w:szCs w:val="24"/>
          <w:lang w:eastAsia="es-MX"/>
        </w:rPr>
        <w:t xml:space="preserve"> </w:t>
      </w:r>
      <w:r w:rsidRPr="004D5BA3">
        <w:rPr>
          <w:rFonts w:eastAsia="Times New Roman" w:cs="Tahoma"/>
          <w:color w:val="000000"/>
          <w:szCs w:val="24"/>
          <w:lang w:eastAsia="es-MX"/>
        </w:rPr>
        <w:t xml:space="preserve">que cumplió con el deber de información que la ley imponía para la época del traslado, no era obligación de los fondos privados documentar la asesoría suministrada a los afiliados, ya que esta se </w:t>
      </w:r>
      <w:r w:rsidRPr="004D5BA3">
        <w:rPr>
          <w:rFonts w:eastAsia="Times New Roman" w:cs="Tahoma"/>
          <w:color w:val="000000"/>
          <w:szCs w:val="24"/>
          <w:lang w:eastAsia="es-MX"/>
        </w:rPr>
        <w:lastRenderedPageBreak/>
        <w:t xml:space="preserve">suministraba de manera verbal. Adicionalmente, </w:t>
      </w:r>
      <w:r w:rsidR="00072167" w:rsidRPr="004D5BA3">
        <w:rPr>
          <w:rFonts w:eastAsia="Times New Roman" w:cs="Tahoma"/>
          <w:color w:val="000000"/>
          <w:szCs w:val="24"/>
          <w:lang w:eastAsia="es-MX"/>
        </w:rPr>
        <w:t xml:space="preserve">no </w:t>
      </w:r>
      <w:r w:rsidRPr="004D5BA3">
        <w:rPr>
          <w:rFonts w:eastAsia="Times New Roman" w:cs="Tahoma"/>
          <w:color w:val="000000"/>
          <w:szCs w:val="24"/>
          <w:lang w:eastAsia="es-MX"/>
        </w:rPr>
        <w:t xml:space="preserve">puede </w:t>
      </w:r>
      <w:r w:rsidR="006761BB" w:rsidRPr="004D5BA3">
        <w:rPr>
          <w:rFonts w:eastAsia="Times New Roman" w:cs="Tahoma"/>
          <w:color w:val="000000"/>
          <w:szCs w:val="24"/>
          <w:lang w:eastAsia="es-MX"/>
        </w:rPr>
        <w:t>pasarse por alto que la demandante tiene una formación académica en contaduría, esto le permitía tomar la decisión más conveniente a sus intereses.</w:t>
      </w:r>
    </w:p>
    <w:p w14:paraId="6CB99BFD" w14:textId="77777777" w:rsidR="000801D6" w:rsidRPr="004D5BA3" w:rsidRDefault="000801D6" w:rsidP="004D5BA3">
      <w:pPr>
        <w:pStyle w:val="Prrafodelista"/>
        <w:spacing w:line="276" w:lineRule="auto"/>
        <w:ind w:left="142" w:firstLine="567"/>
        <w:rPr>
          <w:rFonts w:eastAsia="Times New Roman" w:cs="Tahoma"/>
          <w:color w:val="000000"/>
          <w:szCs w:val="24"/>
          <w:lang w:eastAsia="es-MX"/>
        </w:rPr>
      </w:pPr>
    </w:p>
    <w:p w14:paraId="27A21E71" w14:textId="4D989C04" w:rsidR="000801D6" w:rsidRPr="004D5BA3" w:rsidRDefault="000801D6" w:rsidP="004D5BA3">
      <w:pPr>
        <w:pStyle w:val="Prrafodelista"/>
        <w:spacing w:line="276" w:lineRule="auto"/>
        <w:ind w:left="142" w:firstLine="567"/>
        <w:rPr>
          <w:rFonts w:eastAsia="Times New Roman" w:cs="Tahoma"/>
          <w:color w:val="000000"/>
          <w:szCs w:val="24"/>
          <w:lang w:eastAsia="es-MX"/>
        </w:rPr>
      </w:pPr>
      <w:r w:rsidRPr="004D5BA3">
        <w:rPr>
          <w:rFonts w:eastAsia="Times New Roman" w:cs="Tahoma"/>
          <w:color w:val="000000"/>
          <w:szCs w:val="24"/>
          <w:lang w:eastAsia="es-MX"/>
        </w:rPr>
        <w:t xml:space="preserve">Asimismo, afirmó que quedaron acreditados los actos de relacionamiento, </w:t>
      </w:r>
      <w:r w:rsidR="00DB576B" w:rsidRPr="004D5BA3">
        <w:rPr>
          <w:rFonts w:eastAsia="Times New Roman" w:cs="Tahoma"/>
          <w:color w:val="000000"/>
          <w:szCs w:val="24"/>
          <w:lang w:eastAsia="es-MX"/>
        </w:rPr>
        <w:t xml:space="preserve">por cuanto </w:t>
      </w:r>
      <w:r w:rsidR="00C9279D" w:rsidRPr="004D5BA3">
        <w:rPr>
          <w:rFonts w:eastAsia="Times New Roman" w:cs="Tahoma"/>
          <w:color w:val="000000"/>
          <w:szCs w:val="24"/>
          <w:lang w:eastAsia="es-MX"/>
        </w:rPr>
        <w:t>la</w:t>
      </w:r>
      <w:r w:rsidRPr="004D5BA3">
        <w:rPr>
          <w:rFonts w:eastAsia="Times New Roman" w:cs="Tahoma"/>
          <w:color w:val="000000"/>
          <w:szCs w:val="24"/>
          <w:lang w:eastAsia="es-MX"/>
        </w:rPr>
        <w:t xml:space="preserve"> afiliad</w:t>
      </w:r>
      <w:r w:rsidR="00C9279D" w:rsidRPr="004D5BA3">
        <w:rPr>
          <w:rFonts w:eastAsia="Times New Roman" w:cs="Tahoma"/>
          <w:color w:val="000000"/>
          <w:szCs w:val="24"/>
          <w:lang w:eastAsia="es-MX"/>
        </w:rPr>
        <w:t>a</w:t>
      </w:r>
      <w:r w:rsidRPr="004D5BA3">
        <w:rPr>
          <w:rFonts w:eastAsia="Times New Roman" w:cs="Tahoma"/>
          <w:color w:val="000000"/>
          <w:szCs w:val="24"/>
          <w:lang w:eastAsia="es-MX"/>
        </w:rPr>
        <w:t xml:space="preserve"> c</w:t>
      </w:r>
      <w:r w:rsidR="00C9279D" w:rsidRPr="004D5BA3">
        <w:rPr>
          <w:rFonts w:eastAsia="Times New Roman" w:cs="Tahoma"/>
          <w:color w:val="000000"/>
          <w:szCs w:val="24"/>
          <w:lang w:eastAsia="es-MX"/>
        </w:rPr>
        <w:t>o</w:t>
      </w:r>
      <w:r w:rsidRPr="004D5BA3">
        <w:rPr>
          <w:rFonts w:eastAsia="Times New Roman" w:cs="Tahoma"/>
          <w:color w:val="000000"/>
          <w:szCs w:val="24"/>
          <w:lang w:eastAsia="es-MX"/>
        </w:rPr>
        <w:t>nt</w:t>
      </w:r>
      <w:r w:rsidR="00C9279D" w:rsidRPr="004D5BA3">
        <w:rPr>
          <w:rFonts w:eastAsia="Times New Roman" w:cs="Tahoma"/>
          <w:color w:val="000000"/>
          <w:szCs w:val="24"/>
          <w:lang w:eastAsia="es-MX"/>
        </w:rPr>
        <w:t>aba</w:t>
      </w:r>
      <w:r w:rsidRPr="004D5BA3">
        <w:rPr>
          <w:rFonts w:eastAsia="Times New Roman" w:cs="Tahoma"/>
          <w:color w:val="000000"/>
          <w:szCs w:val="24"/>
          <w:lang w:eastAsia="es-MX"/>
        </w:rPr>
        <w:t xml:space="preserve"> con herramientas legales a su alcance para retornar al RPM y no lo hizo en virtud de que se enc</w:t>
      </w:r>
      <w:r w:rsidR="00C9279D" w:rsidRPr="004D5BA3">
        <w:rPr>
          <w:rFonts w:eastAsia="Times New Roman" w:cs="Tahoma"/>
          <w:color w:val="000000"/>
          <w:szCs w:val="24"/>
          <w:lang w:eastAsia="es-MX"/>
        </w:rPr>
        <w:t>o</w:t>
      </w:r>
      <w:r w:rsidRPr="004D5BA3">
        <w:rPr>
          <w:rFonts w:eastAsia="Times New Roman" w:cs="Tahoma"/>
          <w:color w:val="000000"/>
          <w:szCs w:val="24"/>
          <w:lang w:eastAsia="es-MX"/>
        </w:rPr>
        <w:t>ntra</w:t>
      </w:r>
      <w:r w:rsidR="00C9279D" w:rsidRPr="004D5BA3">
        <w:rPr>
          <w:rFonts w:eastAsia="Times New Roman" w:cs="Tahoma"/>
          <w:color w:val="000000"/>
          <w:szCs w:val="24"/>
          <w:lang w:eastAsia="es-MX"/>
        </w:rPr>
        <w:t>ba</w:t>
      </w:r>
      <w:r w:rsidRPr="004D5BA3">
        <w:rPr>
          <w:rFonts w:eastAsia="Times New Roman" w:cs="Tahoma"/>
          <w:color w:val="000000"/>
          <w:szCs w:val="24"/>
          <w:lang w:eastAsia="es-MX"/>
        </w:rPr>
        <w:t xml:space="preserve"> conforme con su permanencia al interior de RAIS, </w:t>
      </w:r>
      <w:r w:rsidR="00610795" w:rsidRPr="004D5BA3">
        <w:rPr>
          <w:rFonts w:eastAsia="Times New Roman" w:cs="Tahoma"/>
          <w:color w:val="000000"/>
          <w:szCs w:val="24"/>
          <w:lang w:eastAsia="es-MX"/>
        </w:rPr>
        <w:t xml:space="preserve">de modo que </w:t>
      </w:r>
      <w:r w:rsidRPr="004D5BA3">
        <w:rPr>
          <w:rFonts w:eastAsia="Times New Roman" w:cs="Tahoma"/>
          <w:color w:val="000000"/>
          <w:szCs w:val="24"/>
          <w:lang w:eastAsia="es-MX"/>
        </w:rPr>
        <w:t>con los actos sucesivos perpetrados por cuenta de la demandante se ratificó su interés de permanecer allí vinculada.</w:t>
      </w:r>
      <w:r w:rsidR="00C9279D" w:rsidRPr="004D5BA3">
        <w:rPr>
          <w:rFonts w:eastAsia="Times New Roman" w:cs="Tahoma"/>
          <w:color w:val="000000"/>
          <w:szCs w:val="24"/>
          <w:lang w:eastAsia="es-MX"/>
        </w:rPr>
        <w:t xml:space="preserve"> De esa manera, si la actora sintió que se le genero algún tipo de perjuicio al momento de adoptar la decisión de traslado de </w:t>
      </w:r>
      <w:r w:rsidR="006C3E13" w:rsidRPr="004D5BA3">
        <w:rPr>
          <w:rFonts w:eastAsia="Times New Roman" w:cs="Tahoma"/>
          <w:color w:val="000000"/>
          <w:szCs w:val="24"/>
          <w:lang w:eastAsia="es-MX"/>
        </w:rPr>
        <w:t>régimen</w:t>
      </w:r>
      <w:r w:rsidR="00C9279D" w:rsidRPr="004D5BA3">
        <w:rPr>
          <w:rFonts w:eastAsia="Times New Roman" w:cs="Tahoma"/>
          <w:color w:val="000000"/>
          <w:szCs w:val="24"/>
          <w:lang w:eastAsia="es-MX"/>
        </w:rPr>
        <w:t xml:space="preserve"> pensional</w:t>
      </w:r>
      <w:r w:rsidR="006C3E13" w:rsidRPr="004D5BA3">
        <w:rPr>
          <w:rFonts w:eastAsia="Times New Roman" w:cs="Tahoma"/>
          <w:color w:val="000000"/>
          <w:szCs w:val="24"/>
          <w:lang w:eastAsia="es-MX"/>
        </w:rPr>
        <w:t>, debió haber acudido a la acción de resarcimiento de perjuicios.</w:t>
      </w:r>
    </w:p>
    <w:p w14:paraId="11768D53" w14:textId="77777777" w:rsidR="000801D6" w:rsidRPr="004D5BA3" w:rsidRDefault="000801D6" w:rsidP="004D5BA3">
      <w:pPr>
        <w:pStyle w:val="Prrafodelista"/>
        <w:spacing w:line="276" w:lineRule="auto"/>
        <w:ind w:left="142" w:firstLine="567"/>
        <w:rPr>
          <w:rFonts w:eastAsia="Times New Roman" w:cs="Tahoma"/>
          <w:color w:val="000000"/>
          <w:szCs w:val="24"/>
          <w:lang w:eastAsia="es-MX"/>
        </w:rPr>
      </w:pPr>
    </w:p>
    <w:p w14:paraId="0C186C71" w14:textId="3DA2A639" w:rsidR="000801D6" w:rsidRPr="004D5BA3" w:rsidRDefault="000801D6" w:rsidP="004D5BA3">
      <w:pPr>
        <w:pStyle w:val="Prrafodelista"/>
        <w:spacing w:line="276" w:lineRule="auto"/>
        <w:ind w:left="142" w:firstLine="567"/>
        <w:rPr>
          <w:rFonts w:eastAsia="Times New Roman" w:cs="Tahoma"/>
          <w:color w:val="000000"/>
          <w:szCs w:val="24"/>
          <w:lang w:eastAsia="es-MX"/>
        </w:rPr>
      </w:pPr>
      <w:r w:rsidRPr="004D5BA3">
        <w:rPr>
          <w:rFonts w:eastAsia="Times New Roman" w:cs="Tahoma"/>
          <w:color w:val="000000"/>
          <w:szCs w:val="24"/>
          <w:lang w:eastAsia="es-MX"/>
        </w:rPr>
        <w:t xml:space="preserve">En ese orden de ideas, alegó que se encuentra en desacuerdo con (a) la devolución de los </w:t>
      </w:r>
      <w:r w:rsidRPr="004D5BA3">
        <w:rPr>
          <w:rFonts w:eastAsia="Times New Roman" w:cs="Tahoma"/>
          <w:b/>
          <w:bCs/>
          <w:color w:val="000000"/>
          <w:szCs w:val="24"/>
          <w:lang w:eastAsia="es-MX"/>
        </w:rPr>
        <w:t>gastos de administración</w:t>
      </w:r>
      <w:r w:rsidRPr="004D5BA3">
        <w:rPr>
          <w:rFonts w:eastAsia="Times New Roman" w:cs="Tahoma"/>
          <w:color w:val="000000"/>
          <w:szCs w:val="24"/>
          <w:lang w:eastAsia="es-MX"/>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4D5BA3">
        <w:rPr>
          <w:rFonts w:eastAsia="Times New Roman" w:cs="Tahoma"/>
          <w:b/>
          <w:bCs/>
          <w:color w:val="000000"/>
          <w:szCs w:val="24"/>
          <w:lang w:eastAsia="es-MX"/>
        </w:rPr>
        <w:t>prima de seguro previsional</w:t>
      </w:r>
      <w:r w:rsidRPr="004D5BA3">
        <w:rPr>
          <w:rFonts w:eastAsia="Times New Roman" w:cs="Tahoma"/>
          <w:color w:val="000000"/>
          <w:szCs w:val="24"/>
          <w:lang w:eastAsia="es-MX"/>
        </w:rPr>
        <w:t xml:space="preserve"> que eran primas encaminadas a proteger la suerte del demandante; c) los </w:t>
      </w:r>
      <w:r w:rsidRPr="004D5BA3">
        <w:rPr>
          <w:rFonts w:eastAsia="Times New Roman" w:cs="Tahoma"/>
          <w:b/>
          <w:bCs/>
          <w:color w:val="000000"/>
          <w:szCs w:val="24"/>
          <w:lang w:eastAsia="es-MX"/>
        </w:rPr>
        <w:t xml:space="preserve">aportes asistenciales </w:t>
      </w:r>
      <w:r w:rsidRPr="004D5BA3">
        <w:rPr>
          <w:rFonts w:eastAsia="Times New Roman" w:cs="Tahoma"/>
          <w:color w:val="000000"/>
          <w:szCs w:val="24"/>
          <w:lang w:eastAsia="es-MX"/>
        </w:rPr>
        <w:t>destinados al fondo de solidaridad, son un cobro que se genera  a consecuencia  de una orden legal.</w:t>
      </w:r>
    </w:p>
    <w:p w14:paraId="23CFBC83" w14:textId="77777777" w:rsidR="006761BB" w:rsidRPr="004D5BA3" w:rsidRDefault="006761BB" w:rsidP="004D5BA3">
      <w:pPr>
        <w:pStyle w:val="Prrafodelista"/>
        <w:spacing w:line="276" w:lineRule="auto"/>
        <w:ind w:left="142" w:firstLine="567"/>
        <w:rPr>
          <w:rFonts w:eastAsia="Times New Roman" w:cs="Tahoma"/>
          <w:color w:val="000000"/>
          <w:szCs w:val="24"/>
          <w:lang w:eastAsia="es-MX"/>
        </w:rPr>
      </w:pPr>
    </w:p>
    <w:p w14:paraId="1634CF89" w14:textId="79C3214B" w:rsidR="007B5FF2" w:rsidRPr="004D5BA3" w:rsidRDefault="000801D6" w:rsidP="004D5BA3">
      <w:pPr>
        <w:pStyle w:val="Prrafodelista"/>
        <w:spacing w:line="276" w:lineRule="auto"/>
        <w:ind w:left="142" w:firstLine="567"/>
        <w:rPr>
          <w:rFonts w:eastAsia="Times New Roman" w:cs="Tahoma"/>
          <w:color w:val="000000"/>
          <w:szCs w:val="24"/>
          <w:lang w:eastAsia="es-MX"/>
        </w:rPr>
      </w:pPr>
      <w:r w:rsidRPr="004D5BA3">
        <w:rPr>
          <w:rFonts w:eastAsia="Times New Roman" w:cs="Tahoma"/>
          <w:color w:val="000000"/>
          <w:szCs w:val="24"/>
          <w:lang w:eastAsia="es-MX"/>
        </w:rPr>
        <w:t>Por último, señaló que no se encuentra conforme con la condena en costas, ya que considera que en el proceso no se observa que haya una actuación de mala fe por su parte.</w:t>
      </w:r>
    </w:p>
    <w:p w14:paraId="69A99650" w14:textId="77777777"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676F7489" w14:textId="18CD38C2" w:rsidR="00002AFB" w:rsidRPr="004D5BA3" w:rsidRDefault="00D3103D" w:rsidP="004D5BA3">
      <w:pPr>
        <w:spacing w:before="0" w:beforeAutospacing="0" w:after="0" w:afterAutospacing="0" w:line="276" w:lineRule="auto"/>
        <w:ind w:firstLine="860"/>
        <w:rPr>
          <w:rFonts w:ascii="Tahoma" w:eastAsia="Times New Roman" w:hAnsi="Tahoma" w:cs="Tahoma"/>
          <w:color w:val="000000"/>
          <w:lang w:eastAsia="es-MX"/>
        </w:rPr>
      </w:pPr>
      <w:r w:rsidRPr="004D5BA3">
        <w:rPr>
          <w:rFonts w:ascii="Tahoma" w:eastAsia="Times New Roman" w:hAnsi="Tahoma" w:cs="Tahoma"/>
          <w:color w:val="000000"/>
          <w:lang w:eastAsia="es-MX"/>
        </w:rPr>
        <w:t xml:space="preserve">Por su parte, </w:t>
      </w:r>
      <w:r w:rsidRPr="004D5BA3">
        <w:rPr>
          <w:rFonts w:ascii="Tahoma" w:eastAsia="Times New Roman" w:hAnsi="Tahoma" w:cs="Tahoma"/>
          <w:b/>
          <w:bCs/>
          <w:color w:val="000000"/>
          <w:lang w:eastAsia="es-MX"/>
        </w:rPr>
        <w:t xml:space="preserve">Colpensiones </w:t>
      </w:r>
      <w:r w:rsidRPr="004D5BA3">
        <w:rPr>
          <w:rFonts w:ascii="Tahoma" w:eastAsia="Times New Roman" w:hAnsi="Tahoma" w:cs="Tahoma"/>
          <w:color w:val="000000"/>
          <w:lang w:eastAsia="es-MX"/>
        </w:rPr>
        <w:t xml:space="preserve">en su alzada, atacó la decisión cimentando su inconformidad en que </w:t>
      </w:r>
      <w:r w:rsidR="00002AFB" w:rsidRPr="004D5BA3">
        <w:rPr>
          <w:rFonts w:ascii="Tahoma" w:eastAsia="Times New Roman" w:hAnsi="Tahoma" w:cs="Tahoma"/>
          <w:color w:val="000000"/>
          <w:lang w:eastAsia="es-MX"/>
        </w:rPr>
        <w:t>se desprende del interrogatorio de parte rendido por la actora</w:t>
      </w:r>
      <w:r w:rsidR="00610795" w:rsidRPr="004D5BA3">
        <w:rPr>
          <w:rFonts w:ascii="Tahoma" w:eastAsia="Times New Roman" w:hAnsi="Tahoma" w:cs="Tahoma"/>
          <w:color w:val="000000"/>
          <w:lang w:eastAsia="es-MX"/>
        </w:rPr>
        <w:t xml:space="preserve">, </w:t>
      </w:r>
      <w:r w:rsidR="00002AFB" w:rsidRPr="004D5BA3">
        <w:rPr>
          <w:rFonts w:ascii="Tahoma" w:eastAsia="Times New Roman" w:hAnsi="Tahoma" w:cs="Tahoma"/>
          <w:color w:val="000000"/>
          <w:lang w:eastAsia="es-MX"/>
        </w:rPr>
        <w:t>que la AFP si le brind</w:t>
      </w:r>
      <w:r w:rsidR="00B066CE" w:rsidRPr="004D5BA3">
        <w:rPr>
          <w:rFonts w:ascii="Tahoma" w:eastAsia="Times New Roman" w:hAnsi="Tahoma" w:cs="Tahoma"/>
          <w:color w:val="000000"/>
          <w:lang w:eastAsia="es-MX"/>
        </w:rPr>
        <w:t>ó</w:t>
      </w:r>
      <w:r w:rsidR="00002AFB" w:rsidRPr="004D5BA3">
        <w:rPr>
          <w:rFonts w:ascii="Tahoma" w:eastAsia="Times New Roman" w:hAnsi="Tahoma" w:cs="Tahoma"/>
          <w:color w:val="000000"/>
          <w:lang w:eastAsia="es-MX"/>
        </w:rPr>
        <w:t xml:space="preserve"> la información adecuada</w:t>
      </w:r>
      <w:r w:rsidR="00610795" w:rsidRPr="004D5BA3">
        <w:rPr>
          <w:rFonts w:ascii="Tahoma" w:eastAsia="Times New Roman" w:hAnsi="Tahoma" w:cs="Tahoma"/>
          <w:color w:val="000000"/>
          <w:lang w:eastAsia="es-MX"/>
        </w:rPr>
        <w:t xml:space="preserve"> pues</w:t>
      </w:r>
      <w:r w:rsidR="00002AFB" w:rsidRPr="004D5BA3">
        <w:rPr>
          <w:rFonts w:ascii="Tahoma" w:eastAsia="Times New Roman" w:hAnsi="Tahoma" w:cs="Tahoma"/>
          <w:color w:val="000000"/>
          <w:lang w:eastAsia="es-MX"/>
        </w:rPr>
        <w:t xml:space="preserve"> le informó las condiciones del régimen de pensiones que estaba contratando.</w:t>
      </w:r>
      <w:r w:rsidR="00072167" w:rsidRPr="004D5BA3">
        <w:rPr>
          <w:rFonts w:ascii="Tahoma" w:eastAsia="Times New Roman" w:hAnsi="Tahoma" w:cs="Tahoma"/>
          <w:color w:val="000000"/>
          <w:lang w:eastAsia="es-MX"/>
        </w:rPr>
        <w:t xml:space="preserve"> Además, manifestó que la afiliada no estaba exonerada del deber de informarse al momento del traslado, en razón de que se trata de una decisión de gran importancia para su futuro pensional.</w:t>
      </w:r>
    </w:p>
    <w:p w14:paraId="140722AD" w14:textId="77777777"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4FBFE292" w14:textId="10E84491" w:rsidR="00002AFB" w:rsidRPr="004D5BA3" w:rsidRDefault="00002AFB" w:rsidP="004D5BA3">
      <w:pPr>
        <w:spacing w:before="0" w:beforeAutospacing="0" w:after="0" w:afterAutospacing="0" w:line="276" w:lineRule="auto"/>
        <w:ind w:firstLine="860"/>
        <w:rPr>
          <w:rFonts w:ascii="Tahoma" w:eastAsia="Times New Roman" w:hAnsi="Tahoma" w:cs="Tahoma"/>
          <w:color w:val="000000"/>
          <w:lang w:eastAsia="es-MX"/>
        </w:rPr>
      </w:pPr>
      <w:r w:rsidRPr="004D5BA3">
        <w:rPr>
          <w:rFonts w:ascii="Tahoma" w:eastAsia="Times New Roman" w:hAnsi="Tahoma" w:cs="Tahoma"/>
          <w:color w:val="000000"/>
          <w:lang w:eastAsia="es-MX"/>
        </w:rPr>
        <w:t>Refirió que la sanción por la omisión del deber de información es el resarcimiento de perjuicios, es decir, la falta de información por parte del AFP no conlleva a la declaratoria de ineficacia del traslado de régimen.</w:t>
      </w:r>
    </w:p>
    <w:p w14:paraId="399B2E24" w14:textId="77777777"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0F63D5B5" w14:textId="7E86E21E" w:rsidR="00002AFB" w:rsidRPr="004D5BA3" w:rsidRDefault="00002AFB" w:rsidP="004D5BA3">
      <w:pPr>
        <w:spacing w:before="0" w:beforeAutospacing="0" w:after="0" w:afterAutospacing="0" w:line="276" w:lineRule="auto"/>
        <w:ind w:firstLine="860"/>
        <w:rPr>
          <w:rFonts w:ascii="Tahoma" w:eastAsia="Times New Roman" w:hAnsi="Tahoma" w:cs="Tahoma"/>
          <w:color w:val="000000"/>
          <w:lang w:eastAsia="es-MX"/>
        </w:rPr>
      </w:pPr>
      <w:r w:rsidRPr="004D5BA3">
        <w:rPr>
          <w:rFonts w:ascii="Tahoma" w:eastAsia="Times New Roman" w:hAnsi="Tahoma" w:cs="Tahoma"/>
          <w:color w:val="000000"/>
          <w:lang w:eastAsia="es-MX"/>
        </w:rPr>
        <w:t>En ese orden de ideas, señaló que la motivación de regresar al RAIS, obedece a un interés netamente económico. En virtud de lo anterior, la sentencia C-1024 de 2004 estableció que el afiliado no puede trasladarse cuando le faltaren 10 años o menos para cumplir la edad para acceder a la pensión de vejez, esta prohibición tiene como finalidad evitar la descapitalización del fondo común del RPM y defender la equidad en el reconocimiento de las pensiones del RAIS, puesto que personas que no han contribuido para obtener una alta rentabilidad en los fondos de pensiones pueden resultar beneficiarias del riesgo asumido por otros.</w:t>
      </w:r>
    </w:p>
    <w:p w14:paraId="179D87CC" w14:textId="77777777"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379050FB" w14:textId="75B56CC2" w:rsidR="00C92D58" w:rsidRPr="004D5BA3" w:rsidRDefault="00002AFB" w:rsidP="004D5BA3">
      <w:pPr>
        <w:spacing w:before="0" w:beforeAutospacing="0" w:after="0" w:afterAutospacing="0" w:line="276" w:lineRule="auto"/>
        <w:ind w:firstLine="860"/>
        <w:rPr>
          <w:rFonts w:ascii="Tahoma" w:eastAsia="Times New Roman" w:hAnsi="Tahoma" w:cs="Tahoma"/>
          <w:color w:val="000000"/>
          <w:lang w:eastAsia="es-MX"/>
        </w:rPr>
      </w:pPr>
      <w:r w:rsidRPr="004D5BA3">
        <w:rPr>
          <w:rFonts w:ascii="Tahoma" w:eastAsia="Times New Roman" w:hAnsi="Tahoma" w:cs="Tahoma"/>
          <w:color w:val="000000"/>
          <w:lang w:eastAsia="es-MX"/>
        </w:rPr>
        <w:lastRenderedPageBreak/>
        <w:t>Indicó que la declaración de ineficacia de la afiliación atenta contra el principio de la sostenibilidad financiera del sistema general de pensiones, tal principio representa la garantía del derecho fundamental a la pensión de los colombianos de manera sostenida e indefinida. La posición asumida por la Corte Suprema de Justicia y adoptada por el despacho en los casos de nulidad o ineficacia del traslado entre regímenes pensionales quebranta la sostenibilidad financiera, en tanto que, genera una situación caótica que desvertebra la verdadera asignación y distribución de los recursos del sistema pensional, ya que no se encuentran presupuestados, en la medida de que surgen de manera contingente por la declaratoria de ineficacia de una sentencia judicial.</w:t>
      </w:r>
    </w:p>
    <w:p w14:paraId="7576678B" w14:textId="77777777"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1AC745A2" w14:textId="11062ECE" w:rsidR="00E74F7F" w:rsidRPr="004D5BA3" w:rsidRDefault="00002AFB" w:rsidP="004D5BA3">
      <w:pPr>
        <w:spacing w:before="0" w:beforeAutospacing="0" w:after="0" w:afterAutospacing="0" w:line="276" w:lineRule="auto"/>
        <w:ind w:firstLine="860"/>
        <w:rPr>
          <w:rFonts w:ascii="Tahoma" w:eastAsia="Times New Roman" w:hAnsi="Tahoma" w:cs="Tahoma"/>
          <w:color w:val="000000"/>
          <w:lang w:eastAsia="es-MX"/>
        </w:rPr>
      </w:pPr>
      <w:r w:rsidRPr="004D5BA3">
        <w:rPr>
          <w:rFonts w:ascii="Tahoma" w:eastAsia="Times New Roman" w:hAnsi="Tahoma" w:cs="Tahoma"/>
          <w:color w:val="000000"/>
          <w:lang w:eastAsia="es-MX"/>
        </w:rPr>
        <w:t xml:space="preserve">Finalmente, </w:t>
      </w:r>
      <w:r w:rsidR="001B7DAB" w:rsidRPr="004D5BA3">
        <w:rPr>
          <w:rFonts w:ascii="Tahoma" w:eastAsia="Times New Roman" w:hAnsi="Tahoma" w:cs="Tahoma"/>
          <w:color w:val="000000"/>
          <w:lang w:eastAsia="es-MX"/>
        </w:rPr>
        <w:t>solicitó que sea revocada la decisión de primera instancia o si se considera que a la demandante le asiste derecho de retornar al RPM</w:t>
      </w:r>
      <w:r w:rsidR="00072167" w:rsidRPr="004D5BA3">
        <w:rPr>
          <w:rFonts w:ascii="Tahoma" w:eastAsia="Times New Roman" w:hAnsi="Tahoma" w:cs="Tahoma"/>
          <w:color w:val="000000"/>
          <w:lang w:eastAsia="es-MX"/>
        </w:rPr>
        <w:t xml:space="preserve">, </w:t>
      </w:r>
      <w:r w:rsidR="001B7DAB" w:rsidRPr="004D5BA3">
        <w:rPr>
          <w:rFonts w:ascii="Tahoma" w:eastAsia="Times New Roman" w:hAnsi="Tahoma" w:cs="Tahoma"/>
          <w:color w:val="000000"/>
          <w:lang w:eastAsia="es-MX"/>
        </w:rPr>
        <w:t>se adicion</w:t>
      </w:r>
      <w:r w:rsidR="00F41E9F" w:rsidRPr="004D5BA3">
        <w:rPr>
          <w:rFonts w:ascii="Tahoma" w:eastAsia="Times New Roman" w:hAnsi="Tahoma" w:cs="Tahoma"/>
          <w:color w:val="000000"/>
          <w:lang w:eastAsia="es-MX"/>
        </w:rPr>
        <w:t xml:space="preserve">é </w:t>
      </w:r>
      <w:r w:rsidR="001B7DAB" w:rsidRPr="004D5BA3">
        <w:rPr>
          <w:rFonts w:ascii="Tahoma" w:eastAsia="Times New Roman" w:hAnsi="Tahoma" w:cs="Tahoma"/>
          <w:color w:val="000000"/>
          <w:lang w:eastAsia="es-MX"/>
        </w:rPr>
        <w:t>el numeral tercero de</w:t>
      </w:r>
      <w:r w:rsidR="00B26F30" w:rsidRPr="004D5BA3">
        <w:rPr>
          <w:rFonts w:ascii="Tahoma" w:eastAsia="Times New Roman" w:hAnsi="Tahoma" w:cs="Tahoma"/>
          <w:color w:val="000000"/>
          <w:lang w:eastAsia="es-MX"/>
        </w:rPr>
        <w:t xml:space="preserve"> la sentencia de</w:t>
      </w:r>
      <w:r w:rsidR="001B7DAB" w:rsidRPr="004D5BA3">
        <w:rPr>
          <w:rFonts w:ascii="Tahoma" w:eastAsia="Times New Roman" w:hAnsi="Tahoma" w:cs="Tahoma"/>
          <w:color w:val="000000"/>
          <w:lang w:eastAsia="es-MX"/>
        </w:rPr>
        <w:t xml:space="preserve"> primera instancia</w:t>
      </w:r>
      <w:r w:rsidR="00072167" w:rsidRPr="004D5BA3">
        <w:rPr>
          <w:rFonts w:ascii="Tahoma" w:eastAsia="Times New Roman" w:hAnsi="Tahoma" w:cs="Tahoma"/>
          <w:color w:val="000000"/>
          <w:lang w:eastAsia="es-MX"/>
        </w:rPr>
        <w:t>,</w:t>
      </w:r>
      <w:r w:rsidR="001B7DAB" w:rsidRPr="004D5BA3">
        <w:rPr>
          <w:rFonts w:ascii="Tahoma" w:eastAsia="Times New Roman" w:hAnsi="Tahoma" w:cs="Tahoma"/>
          <w:color w:val="000000"/>
          <w:lang w:eastAsia="es-MX"/>
        </w:rPr>
        <w:t xml:space="preserve"> ordenando a la AFP Protección S.A. que los traslados se realicen en un término no superior a un mes, ya que se debe actualizar y corregir la historia laboral de la demandante para que en su futuro pueda acceder al derecho pensional.</w:t>
      </w:r>
    </w:p>
    <w:p w14:paraId="353E5161" w14:textId="32C4C716"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42167075" w14:textId="77777777" w:rsidR="00610795" w:rsidRPr="004D5BA3" w:rsidRDefault="00610795" w:rsidP="004D5BA3">
      <w:pPr>
        <w:spacing w:before="0" w:beforeAutospacing="0" w:after="0" w:afterAutospacing="0" w:line="276" w:lineRule="auto"/>
        <w:ind w:firstLine="860"/>
        <w:rPr>
          <w:rFonts w:ascii="Tahoma" w:eastAsia="Times New Roman" w:hAnsi="Tahoma" w:cs="Tahoma"/>
          <w:color w:val="000000"/>
          <w:lang w:eastAsia="es-MX"/>
        </w:rPr>
      </w:pPr>
    </w:p>
    <w:p w14:paraId="67F05B8F" w14:textId="77777777" w:rsidR="00A460CA" w:rsidRPr="0094119B" w:rsidRDefault="00A460CA" w:rsidP="0094119B">
      <w:pPr>
        <w:pStyle w:val="Prrafodelista"/>
        <w:numPr>
          <w:ilvl w:val="0"/>
          <w:numId w:val="1"/>
        </w:numPr>
        <w:spacing w:line="276" w:lineRule="auto"/>
        <w:ind w:left="426" w:hanging="426"/>
        <w:jc w:val="center"/>
        <w:rPr>
          <w:rFonts w:cs="Tahoma"/>
          <w:b/>
          <w:bCs/>
          <w:szCs w:val="24"/>
        </w:rPr>
      </w:pPr>
      <w:r w:rsidRPr="0094119B">
        <w:rPr>
          <w:rFonts w:cs="Tahoma"/>
          <w:b/>
          <w:bCs/>
          <w:szCs w:val="24"/>
        </w:rPr>
        <w:t>Alegatos de conclusión</w:t>
      </w:r>
    </w:p>
    <w:p w14:paraId="0AF56122" w14:textId="77777777" w:rsidR="00A460CA" w:rsidRPr="004D5BA3" w:rsidRDefault="00A460CA" w:rsidP="004D5BA3">
      <w:pPr>
        <w:spacing w:before="0" w:beforeAutospacing="0" w:after="0" w:afterAutospacing="0" w:line="276" w:lineRule="auto"/>
        <w:ind w:firstLine="0"/>
        <w:rPr>
          <w:rFonts w:ascii="Tahoma" w:eastAsia="Tahoma" w:hAnsi="Tahoma" w:cs="Tahoma"/>
          <w:lang w:eastAsia="es-CO"/>
        </w:rPr>
      </w:pPr>
      <w:r w:rsidRPr="004D5BA3">
        <w:rPr>
          <w:rFonts w:ascii="Tahoma" w:eastAsia="Tahoma" w:hAnsi="Tahoma" w:cs="Tahoma"/>
          <w:lang w:eastAsia="es-CO"/>
        </w:rPr>
        <w:t xml:space="preserve"> </w:t>
      </w:r>
    </w:p>
    <w:p w14:paraId="029C0336" w14:textId="0081B27D" w:rsidR="00A460CA" w:rsidRPr="004D5BA3" w:rsidRDefault="00A460CA" w:rsidP="004D5BA3">
      <w:pPr>
        <w:spacing w:before="0" w:beforeAutospacing="0" w:after="0" w:afterAutospacing="0" w:line="276" w:lineRule="auto"/>
        <w:ind w:firstLine="708"/>
        <w:rPr>
          <w:rFonts w:ascii="Tahoma" w:eastAsia="Tahoma" w:hAnsi="Tahoma" w:cs="Tahoma"/>
          <w:lang w:eastAsia="es-CO"/>
        </w:rPr>
      </w:pPr>
      <w:r w:rsidRPr="004D5BA3">
        <w:rPr>
          <w:rFonts w:ascii="Tahoma" w:eastAsia="Tahoma" w:hAnsi="Tahoma" w:cs="Tahoma"/>
          <w:lang w:eastAsia="es-CO"/>
        </w:rPr>
        <w:t xml:space="preserve">Analizados los alegatos presentados por escrito </w:t>
      </w:r>
      <w:r w:rsidR="00BB5FDC" w:rsidRPr="004D5BA3">
        <w:rPr>
          <w:rFonts w:ascii="Tahoma" w:eastAsia="Tahoma" w:hAnsi="Tahoma" w:cs="Tahoma"/>
          <w:lang w:eastAsia="es-CO"/>
        </w:rPr>
        <w:t>las entidades demandas</w:t>
      </w:r>
      <w:r w:rsidRPr="004D5BA3">
        <w:rPr>
          <w:rFonts w:ascii="Tahoma" w:eastAsia="Tahoma" w:hAnsi="Tahoma" w:cs="Tahoma"/>
          <w:lang w:eastAsia="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3633E863" w14:textId="71E50DB2" w:rsidR="00A460CA" w:rsidRPr="004D5BA3" w:rsidRDefault="00A460CA" w:rsidP="004D5BA3">
      <w:pPr>
        <w:spacing w:before="0" w:beforeAutospacing="0" w:after="0" w:afterAutospacing="0" w:line="276" w:lineRule="auto"/>
        <w:ind w:firstLine="0"/>
        <w:rPr>
          <w:rFonts w:ascii="Tahoma" w:eastAsia="Tahoma" w:hAnsi="Tahoma" w:cs="Tahoma"/>
          <w:lang w:eastAsia="es-CO"/>
        </w:rPr>
      </w:pPr>
    </w:p>
    <w:p w14:paraId="7B4B53A8" w14:textId="77777777" w:rsidR="00610795" w:rsidRPr="004D5BA3" w:rsidRDefault="00610795" w:rsidP="004D5BA3">
      <w:pPr>
        <w:spacing w:before="0" w:beforeAutospacing="0" w:after="0" w:afterAutospacing="0" w:line="276" w:lineRule="auto"/>
        <w:ind w:firstLine="0"/>
        <w:rPr>
          <w:rFonts w:ascii="Tahoma" w:eastAsia="Tahoma" w:hAnsi="Tahoma" w:cs="Tahoma"/>
          <w:lang w:eastAsia="es-CO"/>
        </w:rPr>
      </w:pPr>
    </w:p>
    <w:p w14:paraId="0066F989" w14:textId="77777777" w:rsidR="00A460CA" w:rsidRPr="0094119B" w:rsidRDefault="00A460CA" w:rsidP="0094119B">
      <w:pPr>
        <w:pStyle w:val="Prrafodelista"/>
        <w:numPr>
          <w:ilvl w:val="0"/>
          <w:numId w:val="1"/>
        </w:numPr>
        <w:spacing w:line="276" w:lineRule="auto"/>
        <w:ind w:left="426" w:hanging="426"/>
        <w:jc w:val="center"/>
        <w:rPr>
          <w:rFonts w:cs="Tahoma"/>
          <w:b/>
          <w:bCs/>
          <w:szCs w:val="24"/>
        </w:rPr>
      </w:pPr>
      <w:r w:rsidRPr="0094119B">
        <w:rPr>
          <w:rFonts w:cs="Tahoma"/>
          <w:b/>
          <w:bCs/>
          <w:szCs w:val="24"/>
        </w:rPr>
        <w:t>Problemas jurídicos por resolver</w:t>
      </w:r>
    </w:p>
    <w:p w14:paraId="097F9F8A" w14:textId="77777777" w:rsidR="00A460CA" w:rsidRPr="004D5BA3" w:rsidRDefault="00A460CA" w:rsidP="004D5BA3">
      <w:pPr>
        <w:spacing w:before="0" w:beforeAutospacing="0" w:after="0" w:afterAutospacing="0" w:line="276" w:lineRule="auto"/>
        <w:ind w:firstLine="0"/>
        <w:rPr>
          <w:rFonts w:ascii="Tahoma" w:eastAsia="Tahoma" w:hAnsi="Tahoma" w:cs="Tahoma"/>
          <w:lang w:eastAsia="es-CO"/>
        </w:rPr>
      </w:pPr>
      <w:r w:rsidRPr="004D5BA3">
        <w:rPr>
          <w:rFonts w:ascii="Tahoma" w:eastAsia="Times New Roman" w:hAnsi="Tahoma" w:cs="Tahoma"/>
          <w:lang w:eastAsia="es-CO"/>
        </w:rPr>
        <w:t xml:space="preserve"> </w:t>
      </w:r>
    </w:p>
    <w:p w14:paraId="00182F67" w14:textId="77777777" w:rsidR="00A460CA" w:rsidRPr="004D5BA3" w:rsidRDefault="00A460CA" w:rsidP="004D5BA3">
      <w:pPr>
        <w:spacing w:before="0" w:beforeAutospacing="0" w:after="0" w:afterAutospacing="0" w:line="276" w:lineRule="auto"/>
        <w:ind w:firstLine="360"/>
        <w:rPr>
          <w:rFonts w:ascii="Tahoma" w:eastAsia="Tahoma" w:hAnsi="Tahoma" w:cs="Tahoma"/>
          <w:lang w:eastAsia="es-CO"/>
        </w:rPr>
      </w:pPr>
      <w:r w:rsidRPr="004D5BA3">
        <w:rPr>
          <w:rFonts w:ascii="Tahoma" w:eastAsia="Tahoma" w:hAnsi="Tahoma" w:cs="Tahoma"/>
          <w:lang w:eastAsia="es-CO"/>
        </w:rPr>
        <w:t xml:space="preserve">De acuerdo con los argumentos expuestos en la sentencia de primera instancia, los fundamentos de la apelación y los alegatos de conclusión, le corresponde a la Sala resolver los siguientes problemas jurídicos: </w:t>
      </w:r>
    </w:p>
    <w:p w14:paraId="3ADF4219" w14:textId="77777777" w:rsidR="00A460CA" w:rsidRPr="004D5BA3" w:rsidRDefault="00A460CA" w:rsidP="004D5BA3">
      <w:pPr>
        <w:spacing w:before="0" w:beforeAutospacing="0" w:after="0" w:afterAutospacing="0" w:line="276" w:lineRule="auto"/>
        <w:ind w:firstLine="0"/>
        <w:jc w:val="center"/>
        <w:rPr>
          <w:rFonts w:ascii="Tahoma" w:eastAsia="Tahoma" w:hAnsi="Tahoma" w:cs="Tahoma"/>
          <w:lang w:eastAsia="es-CO"/>
        </w:rPr>
      </w:pPr>
      <w:r w:rsidRPr="004D5BA3">
        <w:rPr>
          <w:rFonts w:ascii="Tahoma" w:eastAsia="Tahoma" w:hAnsi="Tahoma" w:cs="Tahoma"/>
          <w:b/>
          <w:bCs/>
          <w:lang w:eastAsia="es-CO"/>
        </w:rPr>
        <w:t xml:space="preserve"> </w:t>
      </w:r>
    </w:p>
    <w:p w14:paraId="21F792CE" w14:textId="77777777" w:rsidR="00A460CA" w:rsidRPr="004D5BA3" w:rsidRDefault="00A460CA" w:rsidP="004D5BA3">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D5BA3">
        <w:rPr>
          <w:rFonts w:ascii="Tahoma" w:eastAsia="Tahoma" w:hAnsi="Tahoma" w:cs="Tahoma"/>
          <w:lang w:val="es-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1C79B44" w14:textId="77777777" w:rsidR="00A460CA" w:rsidRPr="004D5BA3" w:rsidRDefault="00A460CA" w:rsidP="004D5BA3">
      <w:pPr>
        <w:spacing w:before="0" w:beforeAutospacing="0" w:after="0" w:afterAutospacing="0" w:line="276" w:lineRule="auto"/>
        <w:ind w:firstLine="707"/>
        <w:rPr>
          <w:rFonts w:ascii="Tahoma" w:eastAsia="Tahoma" w:hAnsi="Tahoma" w:cs="Tahoma"/>
          <w:lang w:eastAsia="es-CO"/>
        </w:rPr>
      </w:pPr>
      <w:r w:rsidRPr="004D5BA3">
        <w:rPr>
          <w:rFonts w:ascii="Tahoma" w:eastAsia="Tahoma" w:hAnsi="Tahoma" w:cs="Tahoma"/>
          <w:lang w:val="es-ES" w:eastAsia="es-CO"/>
        </w:rPr>
        <w:t xml:space="preserve"> </w:t>
      </w:r>
    </w:p>
    <w:p w14:paraId="519C3C8B" w14:textId="77777777" w:rsidR="00A460CA" w:rsidRPr="004D5BA3" w:rsidRDefault="00A460CA" w:rsidP="004D5BA3">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D5BA3">
        <w:rPr>
          <w:rFonts w:ascii="Tahoma" w:eastAsia="Tahoma" w:hAnsi="Tahoma" w:cs="Tahoma"/>
          <w:lang w:val="es-ES" w:eastAsia="es-CO"/>
        </w:rPr>
        <w:t xml:space="preserve">Definir si para dar por cumplido el deber de información de las AFP es suficiente el diligenciamiento del formulario de afiliación. </w:t>
      </w:r>
    </w:p>
    <w:p w14:paraId="71CB8D37" w14:textId="77777777" w:rsidR="00A460CA" w:rsidRPr="004D5BA3" w:rsidRDefault="00A460CA" w:rsidP="004D5BA3">
      <w:pPr>
        <w:spacing w:before="0" w:beforeAutospacing="0" w:after="0" w:afterAutospacing="0" w:line="276" w:lineRule="auto"/>
        <w:ind w:firstLine="707"/>
        <w:rPr>
          <w:rFonts w:ascii="Tahoma" w:eastAsia="Tahoma" w:hAnsi="Tahoma" w:cs="Tahoma"/>
          <w:lang w:eastAsia="es-CO"/>
        </w:rPr>
      </w:pPr>
      <w:r w:rsidRPr="004D5BA3">
        <w:rPr>
          <w:rFonts w:ascii="Tahoma" w:eastAsia="Tahoma" w:hAnsi="Tahoma" w:cs="Tahoma"/>
          <w:lang w:val="es-ES" w:eastAsia="es-CO"/>
        </w:rPr>
        <w:t xml:space="preserve"> </w:t>
      </w:r>
    </w:p>
    <w:p w14:paraId="28F56653" w14:textId="77777777" w:rsidR="00A460CA" w:rsidRPr="004D5BA3" w:rsidRDefault="00A460CA" w:rsidP="004D5BA3">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D5BA3">
        <w:rPr>
          <w:rFonts w:ascii="Tahoma" w:eastAsia="Tahoma" w:hAnsi="Tahoma" w:cs="Tahoma"/>
          <w:lang w:val="es-ES" w:eastAsia="es-CO"/>
        </w:rPr>
        <w:t xml:space="preserve"> Determinar la carga probatoria que les corresponde a cada una de las partes cuando está en discusión la eficacia del traslado entre regímenes pensionales.</w:t>
      </w:r>
    </w:p>
    <w:p w14:paraId="696354FE" w14:textId="77777777" w:rsidR="00A460CA" w:rsidRPr="004D5BA3" w:rsidRDefault="00A460CA" w:rsidP="004D5BA3">
      <w:pPr>
        <w:spacing w:before="0" w:beforeAutospacing="0" w:after="0" w:afterAutospacing="0" w:line="276" w:lineRule="auto"/>
        <w:ind w:firstLine="707"/>
        <w:rPr>
          <w:rFonts w:ascii="Tahoma" w:eastAsia="Tahoma" w:hAnsi="Tahoma" w:cs="Tahoma"/>
          <w:lang w:eastAsia="es-CO"/>
        </w:rPr>
      </w:pPr>
      <w:r w:rsidRPr="004D5BA3">
        <w:rPr>
          <w:rFonts w:ascii="Tahoma" w:eastAsia="Tahoma" w:hAnsi="Tahoma" w:cs="Tahoma"/>
          <w:lang w:val="es-ES" w:eastAsia="es-CO"/>
        </w:rPr>
        <w:t xml:space="preserve"> </w:t>
      </w:r>
    </w:p>
    <w:p w14:paraId="22C0821F" w14:textId="77777777" w:rsidR="00A460CA" w:rsidRPr="004D5BA3" w:rsidRDefault="00A460CA" w:rsidP="004D5BA3">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D5BA3">
        <w:rPr>
          <w:rFonts w:ascii="Tahoma" w:eastAsia="Tahoma" w:hAnsi="Tahoma" w:cs="Tahoma"/>
          <w:lang w:val="es-ES" w:eastAsia="es-CO"/>
        </w:rPr>
        <w:lastRenderedPageBreak/>
        <w:t xml:space="preserve">Analizar si quedó probado en el proceso que la parte demandante recibió de parte de la AFP demandada, la asesoría e información suficiente y necesaria para hacer el cambio de régimen. </w:t>
      </w:r>
    </w:p>
    <w:p w14:paraId="4E4C9DAD" w14:textId="77777777" w:rsidR="00A460CA" w:rsidRPr="004D5BA3" w:rsidRDefault="00A460CA" w:rsidP="004D5BA3">
      <w:pPr>
        <w:spacing w:before="0" w:beforeAutospacing="0" w:after="0" w:afterAutospacing="0" w:line="276" w:lineRule="auto"/>
        <w:ind w:firstLine="707"/>
        <w:rPr>
          <w:rFonts w:ascii="Tahoma" w:eastAsia="Tahoma" w:hAnsi="Tahoma" w:cs="Tahoma"/>
          <w:lang w:eastAsia="es-CO"/>
        </w:rPr>
      </w:pPr>
    </w:p>
    <w:p w14:paraId="6C49DB73" w14:textId="77777777" w:rsidR="00A460CA" w:rsidRPr="004D5BA3" w:rsidRDefault="00A460CA" w:rsidP="004D5BA3">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D5BA3">
        <w:rPr>
          <w:rFonts w:ascii="Tahoma" w:eastAsia="Tahoma" w:hAnsi="Tahoma" w:cs="Tahoma"/>
          <w:lang w:val="es-ES" w:eastAsia="es-CO"/>
        </w:rPr>
        <w:t>Establecer si es dable ordenar a la AFP demandada la devolución, con cargo a sus propios recursos de los gastos de administración, comisiones</w:t>
      </w:r>
      <w:bookmarkStart w:id="10" w:name="_Hlk77058474"/>
      <w:r w:rsidRPr="004D5BA3">
        <w:rPr>
          <w:rFonts w:ascii="Tahoma" w:eastAsia="Tahoma" w:hAnsi="Tahoma" w:cs="Tahoma"/>
          <w:lang w:val="es-ES" w:eastAsia="es-CO"/>
        </w:rPr>
        <w:t>, cuotas de garantía de pensión mínima y seguros previsionales a Colpensiones.</w:t>
      </w:r>
      <w:bookmarkEnd w:id="10"/>
    </w:p>
    <w:p w14:paraId="6874B04E" w14:textId="77777777" w:rsidR="00A460CA" w:rsidRPr="004D5BA3" w:rsidRDefault="00A460CA" w:rsidP="004D5BA3">
      <w:pPr>
        <w:spacing w:before="0" w:beforeAutospacing="0" w:after="0" w:afterAutospacing="0" w:line="276" w:lineRule="auto"/>
        <w:ind w:left="720" w:firstLine="0"/>
        <w:contextualSpacing/>
        <w:rPr>
          <w:rFonts w:ascii="Tahoma" w:eastAsia="Tahoma" w:hAnsi="Tahoma" w:cs="Tahoma"/>
          <w:lang w:eastAsia="es-CO"/>
        </w:rPr>
      </w:pPr>
    </w:p>
    <w:p w14:paraId="5F9C7EF8" w14:textId="77777777" w:rsidR="00A460CA" w:rsidRPr="004D5BA3" w:rsidRDefault="00A460CA" w:rsidP="004D5BA3">
      <w:pPr>
        <w:numPr>
          <w:ilvl w:val="0"/>
          <w:numId w:val="4"/>
        </w:numPr>
        <w:spacing w:before="0" w:beforeAutospacing="0" w:after="0" w:afterAutospacing="0" w:line="276" w:lineRule="auto"/>
        <w:rPr>
          <w:rFonts w:ascii="Tahoma" w:eastAsia="Tahoma" w:hAnsi="Tahoma" w:cs="Tahoma"/>
          <w:lang w:eastAsia="es-CO"/>
        </w:rPr>
      </w:pPr>
      <w:r w:rsidRPr="004D5BA3">
        <w:rPr>
          <w:rFonts w:ascii="Tahoma" w:eastAsia="Tahoma" w:hAnsi="Tahoma" w:cs="Tahoma"/>
          <w:lang w:val="es-ES"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11BFD9BF" w14:textId="77777777" w:rsidR="00A460CA" w:rsidRPr="004D5BA3" w:rsidRDefault="00A460CA" w:rsidP="004D5BA3">
      <w:pPr>
        <w:spacing w:before="0" w:beforeAutospacing="0" w:after="0" w:afterAutospacing="0" w:line="276" w:lineRule="auto"/>
        <w:ind w:left="720" w:firstLine="0"/>
        <w:contextualSpacing/>
        <w:rPr>
          <w:rFonts w:ascii="Tahoma" w:eastAsia="Tahoma" w:hAnsi="Tahoma" w:cs="Tahoma"/>
          <w:lang w:eastAsia="es-CO"/>
        </w:rPr>
      </w:pPr>
    </w:p>
    <w:p w14:paraId="08112C36" w14:textId="77777777" w:rsidR="00A460CA" w:rsidRPr="004D5BA3" w:rsidRDefault="00A460CA" w:rsidP="004D5BA3">
      <w:pPr>
        <w:numPr>
          <w:ilvl w:val="0"/>
          <w:numId w:val="4"/>
        </w:numPr>
        <w:spacing w:before="0" w:beforeAutospacing="0" w:after="0" w:afterAutospacing="0" w:line="276" w:lineRule="auto"/>
        <w:rPr>
          <w:rFonts w:ascii="Tahoma" w:eastAsia="Tahoma" w:hAnsi="Tahoma" w:cs="Tahoma"/>
          <w:lang w:eastAsia="es-CO"/>
        </w:rPr>
      </w:pPr>
      <w:r w:rsidRPr="004D5BA3">
        <w:rPr>
          <w:rFonts w:ascii="Tahoma" w:eastAsia="Tahoma" w:hAnsi="Tahoma" w:cs="Tahoma"/>
          <w:lang w:eastAsia="es-CO"/>
        </w:rPr>
        <w:t>Analizar cuál es el precedente aplicable en la actualidad respecto de los actos de relacionamiento.</w:t>
      </w:r>
    </w:p>
    <w:p w14:paraId="15D9D376" w14:textId="77777777" w:rsidR="00A460CA" w:rsidRPr="004D5BA3" w:rsidRDefault="00A460CA" w:rsidP="004D5BA3">
      <w:pPr>
        <w:spacing w:before="0" w:beforeAutospacing="0" w:after="0" w:afterAutospacing="0" w:line="276" w:lineRule="auto"/>
        <w:ind w:left="720" w:firstLine="0"/>
        <w:contextualSpacing/>
        <w:rPr>
          <w:rFonts w:ascii="Tahoma" w:eastAsia="Tahoma" w:hAnsi="Tahoma" w:cs="Tahoma"/>
          <w:lang w:val="es-ES" w:eastAsia="es-MX"/>
        </w:rPr>
      </w:pPr>
    </w:p>
    <w:p w14:paraId="6092000D" w14:textId="78C2E6CF" w:rsidR="00A460CA" w:rsidRPr="004D5BA3" w:rsidRDefault="00A460CA" w:rsidP="004D5BA3">
      <w:pPr>
        <w:widowControl w:val="0"/>
        <w:numPr>
          <w:ilvl w:val="0"/>
          <w:numId w:val="4"/>
        </w:numPr>
        <w:autoSpaceDE w:val="0"/>
        <w:autoSpaceDN w:val="0"/>
        <w:adjustRightInd w:val="0"/>
        <w:spacing w:before="0" w:beforeAutospacing="0" w:after="0" w:afterAutospacing="0" w:line="276" w:lineRule="auto"/>
        <w:contextualSpacing/>
        <w:rPr>
          <w:rFonts w:ascii="Tahoma" w:eastAsiaTheme="minorEastAsia" w:hAnsi="Tahoma" w:cs="Tahoma"/>
          <w:lang w:val="es-ES" w:eastAsia="es-MX"/>
        </w:rPr>
      </w:pPr>
      <w:r w:rsidRPr="004D5BA3">
        <w:rPr>
          <w:rFonts w:ascii="Tahoma" w:eastAsiaTheme="minorEastAsia" w:hAnsi="Tahoma" w:cs="Tahoma"/>
          <w:lang w:val="es-ES" w:eastAsia="es-MX"/>
        </w:rPr>
        <w:t>Establecer si hay lugar a exonerar en costas a las AFP P</w:t>
      </w:r>
      <w:r w:rsidR="00F41E9F" w:rsidRPr="004D5BA3">
        <w:rPr>
          <w:rFonts w:ascii="Tahoma" w:eastAsiaTheme="minorEastAsia" w:hAnsi="Tahoma" w:cs="Tahoma"/>
          <w:lang w:val="es-ES" w:eastAsia="es-MX"/>
        </w:rPr>
        <w:t xml:space="preserve">rotección </w:t>
      </w:r>
      <w:r w:rsidRPr="004D5BA3">
        <w:rPr>
          <w:rFonts w:ascii="Tahoma" w:eastAsiaTheme="minorEastAsia" w:hAnsi="Tahoma" w:cs="Tahoma"/>
          <w:lang w:val="es-ES" w:eastAsia="es-MX"/>
        </w:rPr>
        <w:t>S.A.</w:t>
      </w:r>
    </w:p>
    <w:p w14:paraId="3FF09087" w14:textId="6EE30D43" w:rsidR="00A460CA" w:rsidRDefault="00A460CA" w:rsidP="0094119B">
      <w:pPr>
        <w:spacing w:before="0" w:beforeAutospacing="0" w:after="0" w:afterAutospacing="0" w:line="276" w:lineRule="auto"/>
        <w:ind w:left="720" w:firstLine="0"/>
        <w:contextualSpacing/>
        <w:rPr>
          <w:rFonts w:ascii="Tahoma" w:eastAsia="Tahoma" w:hAnsi="Tahoma" w:cs="Tahoma"/>
          <w:lang w:eastAsia="es-CO"/>
        </w:rPr>
      </w:pPr>
    </w:p>
    <w:p w14:paraId="1780A546" w14:textId="77777777" w:rsidR="00585829" w:rsidRPr="0094119B" w:rsidRDefault="00585829" w:rsidP="0094119B">
      <w:pPr>
        <w:spacing w:before="0" w:beforeAutospacing="0" w:after="0" w:afterAutospacing="0" w:line="276" w:lineRule="auto"/>
        <w:ind w:left="720" w:firstLine="0"/>
        <w:contextualSpacing/>
        <w:rPr>
          <w:rFonts w:ascii="Tahoma" w:eastAsia="Tahoma" w:hAnsi="Tahoma" w:cs="Tahoma"/>
          <w:lang w:eastAsia="es-CO"/>
        </w:rPr>
      </w:pPr>
    </w:p>
    <w:p w14:paraId="0AE5512E" w14:textId="77777777" w:rsidR="00A460CA" w:rsidRPr="0094119B" w:rsidRDefault="00A460CA" w:rsidP="0094119B">
      <w:pPr>
        <w:pStyle w:val="Prrafodelista"/>
        <w:numPr>
          <w:ilvl w:val="0"/>
          <w:numId w:val="1"/>
        </w:numPr>
        <w:spacing w:line="276" w:lineRule="auto"/>
        <w:ind w:left="426" w:hanging="426"/>
        <w:jc w:val="center"/>
        <w:rPr>
          <w:rFonts w:cs="Tahoma"/>
          <w:b/>
          <w:bCs/>
          <w:szCs w:val="24"/>
        </w:rPr>
      </w:pPr>
      <w:r w:rsidRPr="0094119B">
        <w:rPr>
          <w:rFonts w:cs="Tahoma"/>
          <w:b/>
          <w:bCs/>
          <w:szCs w:val="24"/>
        </w:rPr>
        <w:t>Consideraciones</w:t>
      </w:r>
    </w:p>
    <w:p w14:paraId="1A6805CA" w14:textId="438A4743" w:rsidR="00A460CA"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2ADCACEF" w14:textId="77777777" w:rsidR="00585829" w:rsidRPr="004D5BA3" w:rsidRDefault="00585829" w:rsidP="004D5BA3">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23B2D314"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D5BA3">
        <w:rPr>
          <w:rFonts w:ascii="Tahoma" w:eastAsia="Calibri" w:hAnsi="Tahoma" w:cs="Tahoma"/>
          <w:b/>
          <w:bCs/>
          <w:lang w:eastAsia="es-CO"/>
        </w:rPr>
        <w:t xml:space="preserve">Precedente vertical: la tesis de la Corte Suprema de Justicia respecto al tema de la ineficacia del traslado constituye doctrina probable </w:t>
      </w:r>
    </w:p>
    <w:p w14:paraId="1E585EB0"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F355729"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En la actualidad existe </w:t>
      </w:r>
      <w:r w:rsidRPr="004D5BA3">
        <w:rPr>
          <w:rFonts w:ascii="Tahoma" w:eastAsia="Calibri" w:hAnsi="Tahoma" w:cs="Tahoma"/>
          <w:b/>
          <w:bCs/>
          <w:lang w:eastAsia="es-CO"/>
        </w:rPr>
        <w:t>doctrina probable</w:t>
      </w:r>
      <w:r w:rsidRPr="004D5BA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7C5D95D5"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4A19B2"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EC88B52"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E959178"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En términos generales, en todas estas sentencias se determinó </w:t>
      </w:r>
      <w:r w:rsidRPr="004D5BA3">
        <w:rPr>
          <w:rFonts w:ascii="Tahoma" w:eastAsia="Calibri" w:hAnsi="Tahoma" w:cs="Tahoma"/>
          <w:i/>
          <w:iCs/>
          <w:lang w:eastAsia="es-CO"/>
        </w:rPr>
        <w:t xml:space="preserve">i) </w:t>
      </w:r>
      <w:r w:rsidRPr="004D5BA3">
        <w:rPr>
          <w:rFonts w:ascii="Tahoma" w:eastAsia="Calibri" w:hAnsi="Tahoma" w:cs="Tahoma"/>
          <w:lang w:eastAsia="es-CO"/>
        </w:rPr>
        <w:t xml:space="preserve">el alcance del deber de información a cargo de las Administradoras de Fondos de Pensiones, </w:t>
      </w:r>
      <w:r w:rsidRPr="004D5BA3">
        <w:rPr>
          <w:rFonts w:ascii="Tahoma" w:eastAsia="Calibri" w:hAnsi="Tahoma" w:cs="Tahoma"/>
          <w:i/>
          <w:iCs/>
          <w:lang w:eastAsia="es-CO"/>
        </w:rPr>
        <w:t xml:space="preserve">ii) </w:t>
      </w:r>
      <w:r w:rsidRPr="004D5BA3">
        <w:rPr>
          <w:rFonts w:ascii="Tahoma" w:eastAsia="Calibri" w:hAnsi="Tahoma" w:cs="Tahoma"/>
          <w:lang w:eastAsia="es-CO"/>
        </w:rPr>
        <w:t xml:space="preserve">la procedencia de la ineficacia del traslado, </w:t>
      </w:r>
      <w:r w:rsidRPr="004D5BA3">
        <w:rPr>
          <w:rFonts w:ascii="Tahoma" w:eastAsia="Calibri" w:hAnsi="Tahoma" w:cs="Tahoma"/>
          <w:i/>
          <w:iCs/>
          <w:lang w:eastAsia="es-CO"/>
        </w:rPr>
        <w:t xml:space="preserve">iii) </w:t>
      </w:r>
      <w:r w:rsidRPr="004D5BA3">
        <w:rPr>
          <w:rFonts w:ascii="Tahoma" w:eastAsia="Calibri" w:hAnsi="Tahoma" w:cs="Tahoma"/>
          <w:lang w:eastAsia="es-CO"/>
        </w:rPr>
        <w:t xml:space="preserve">la inversión de la carga de la prueba en favor del afiliado. Todos los problemas jurídicos planteados en este asunto, fueron objeto de estudio por parte de la Sala de Casación Laboral, de modo que basta referirnos a su precedente para dar respuesta a los mismos, como veremos a </w:t>
      </w:r>
      <w:r w:rsidRPr="004D5BA3">
        <w:rPr>
          <w:rFonts w:ascii="Tahoma" w:eastAsia="Calibri" w:hAnsi="Tahoma" w:cs="Tahoma"/>
          <w:lang w:eastAsia="es-CO"/>
        </w:rPr>
        <w:lastRenderedPageBreak/>
        <w:t>continuación.</w:t>
      </w:r>
    </w:p>
    <w:p w14:paraId="0AFA89C8" w14:textId="15FEE211" w:rsidR="00A460CA"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335D2C" w14:textId="77777777" w:rsidR="00585829" w:rsidRPr="004D5BA3" w:rsidRDefault="00585829"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8846152"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D5BA3">
        <w:rPr>
          <w:rFonts w:ascii="Tahoma" w:eastAsia="Calibri" w:hAnsi="Tahoma" w:cs="Tahoma"/>
          <w:b/>
          <w:bCs/>
          <w:lang w:eastAsia="es-CO"/>
        </w:rPr>
        <w:t>“El deber de información a cargo de las administradoras de fondos de pensiones: Un deber exigible desde su creación</w:t>
      </w:r>
      <w:r w:rsidRPr="004D5BA3">
        <w:rPr>
          <w:rFonts w:ascii="Tahoma" w:eastAsia="Calibri" w:hAnsi="Tahoma" w:cs="Tahoma"/>
          <w:b/>
          <w:bCs/>
          <w:vertAlign w:val="superscript"/>
          <w:lang w:eastAsia="es-CO"/>
        </w:rPr>
        <w:footnoteReference w:id="1"/>
      </w:r>
      <w:r w:rsidRPr="004D5BA3">
        <w:rPr>
          <w:rFonts w:ascii="Tahoma" w:eastAsia="Calibri" w:hAnsi="Tahoma" w:cs="Tahoma"/>
          <w:b/>
          <w:bCs/>
          <w:lang w:eastAsia="es-CO"/>
        </w:rPr>
        <w:t>”</w:t>
      </w:r>
    </w:p>
    <w:p w14:paraId="19967250"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3BAC33A4"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D5BA3">
        <w:rPr>
          <w:rFonts w:ascii="Tahoma" w:eastAsia="Calibri" w:hAnsi="Tahoma" w:cs="Tahoma"/>
          <w:u w:val="single"/>
          <w:lang w:eastAsia="es-CO"/>
        </w:rPr>
        <w:t>debida diligencia y cuidado</w:t>
      </w:r>
      <w:r w:rsidRPr="004D5BA3">
        <w:rPr>
          <w:rFonts w:ascii="Tahoma" w:eastAsia="Calibri" w:hAnsi="Tahoma" w:cs="Tahoma"/>
          <w:lang w:eastAsia="es-CO"/>
        </w:rPr>
        <w:t xml:space="preserve"> incumbe a quien ha debido emplearla, atendiendo a las siguientes razones:</w:t>
      </w:r>
    </w:p>
    <w:p w14:paraId="5845E67B"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CA7D69A"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b/>
          <w:bCs/>
          <w:lang w:eastAsia="es-CO"/>
        </w:rPr>
        <w:t>1)</w:t>
      </w:r>
      <w:r w:rsidRPr="004D5BA3">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4D5BA3">
        <w:rPr>
          <w:rFonts w:ascii="Tahoma" w:eastAsia="Calibri" w:hAnsi="Tahoma" w:cs="Tahoma"/>
          <w:u w:val="single"/>
          <w:lang w:eastAsia="es-CO"/>
        </w:rPr>
        <w:t>Decreto 663 de 1993</w:t>
      </w:r>
      <w:r w:rsidRPr="004D5BA3">
        <w:rPr>
          <w:rFonts w:ascii="Tahoma" w:eastAsia="Calibri" w:hAnsi="Tahoma" w:cs="Tahoma"/>
          <w:u w:val="single"/>
          <w:vertAlign w:val="superscript"/>
          <w:lang w:eastAsia="es-CO"/>
        </w:rPr>
        <w:footnoteReference w:id="2"/>
      </w:r>
      <w:r w:rsidRPr="004D5BA3">
        <w:rPr>
          <w:rFonts w:ascii="Tahoma" w:eastAsia="Calibri" w:hAnsi="Tahoma" w:cs="Tahoma"/>
          <w:lang w:eastAsia="es-CO"/>
        </w:rPr>
        <w:t>, norma en la que se destaca la importancia de los principios de debida diligencia, transparencia e información cierta, suficiente y oportuna.</w:t>
      </w:r>
    </w:p>
    <w:p w14:paraId="1DE08439"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3D53FA"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b/>
          <w:bCs/>
          <w:lang w:eastAsia="es-CO"/>
        </w:rPr>
        <w:t>2)</w:t>
      </w:r>
      <w:r w:rsidRPr="004D5BA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4D5BA3">
        <w:rPr>
          <w:rFonts w:ascii="Tahoma" w:eastAsia="Calibri" w:hAnsi="Tahoma" w:cs="Tahoma"/>
          <w:u w:val="single"/>
          <w:lang w:eastAsia="es-CO"/>
        </w:rPr>
        <w:t>suficiente, amplia y oportuna</w:t>
      </w:r>
      <w:r w:rsidRPr="004D5BA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50CB6C6B"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70B3378" w14:textId="77777777" w:rsidR="00A460CA" w:rsidRPr="009F7A7B" w:rsidRDefault="00A460CA" w:rsidP="009F7A7B">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4D5BA3">
        <w:rPr>
          <w:rFonts w:ascii="Tahoma" w:eastAsia="Calibri" w:hAnsi="Tahoma" w:cs="Tahoma"/>
          <w:b/>
          <w:bCs/>
          <w:lang w:eastAsia="es-CO"/>
        </w:rPr>
        <w:t>3)</w:t>
      </w:r>
      <w:r w:rsidRPr="009F7A7B">
        <w:rPr>
          <w:rFonts w:ascii="Tahoma" w:eastAsia="Calibri" w:hAnsi="Tahoma" w:cs="Tahoma"/>
          <w:b/>
          <w:bCs/>
          <w:lang w:eastAsia="es-CO"/>
        </w:rPr>
        <w:t xml:space="preserve">   </w:t>
      </w:r>
      <w:r w:rsidRPr="009F7A7B">
        <w:rPr>
          <w:rFonts w:ascii="Tahoma" w:eastAsia="Calibri" w:hAnsi="Tahoma" w:cs="Tahoma"/>
          <w:bCs/>
          <w:lang w:eastAsia="es-CO"/>
        </w:rPr>
        <w:t>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3C239F7"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369B7C" w14:textId="77777777" w:rsidR="00A460CA" w:rsidRPr="004D5BA3" w:rsidRDefault="00A460CA" w:rsidP="002169C4">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4D5BA3">
        <w:rPr>
          <w:rFonts w:ascii="Tahoma" w:eastAsia="Calibri" w:hAnsi="Tahoma" w:cs="Tahoma"/>
          <w:b/>
          <w:bCs/>
          <w:lang w:eastAsia="es-CO"/>
        </w:rPr>
        <w:t>4)</w:t>
      </w:r>
      <w:r w:rsidRPr="004D5BA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D5BA3">
        <w:rPr>
          <w:rFonts w:ascii="Tahoma" w:eastAsia="Calibri" w:hAnsi="Tahoma" w:cs="Tahoma"/>
          <w:i/>
          <w:iCs/>
          <w:lang w:eastAsia="es-CO"/>
        </w:rPr>
        <w:t>“</w:t>
      </w:r>
      <w:r w:rsidRPr="004D5BA3">
        <w:rPr>
          <w:rFonts w:ascii="Tahoma" w:eastAsia="Calibri" w:hAnsi="Tahoma" w:cs="Tahoma"/>
          <w:i/>
          <w:iCs/>
          <w:u w:val="single"/>
          <w:lang w:eastAsia="es-CO"/>
        </w:rPr>
        <w:t>dar cuenta de que documentaron clara y suficientemente los efectos que acarrea el cambio de régimen, so pena de declarar ineficaz ese tránsito.”</w:t>
      </w:r>
      <w:r w:rsidRPr="004D5BA3">
        <w:rPr>
          <w:rFonts w:ascii="Tahoma" w:eastAsia="Calibri" w:hAnsi="Tahoma" w:cs="Tahoma"/>
          <w:u w:val="single"/>
          <w:lang w:eastAsia="es-CO"/>
        </w:rPr>
        <w:t>.</w:t>
      </w:r>
    </w:p>
    <w:p w14:paraId="32F7CD79"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6792644F"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D5BA3">
        <w:rPr>
          <w:rFonts w:ascii="Tahoma" w:eastAsia="Calibri" w:hAnsi="Tahoma" w:cs="Tahoma"/>
          <w:iCs/>
          <w:lang w:eastAsia="es-CO"/>
        </w:rPr>
        <w:tab/>
      </w:r>
      <w:r w:rsidRPr="004D5BA3">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w:t>
      </w:r>
      <w:r w:rsidRPr="004D5BA3">
        <w:rPr>
          <w:rFonts w:ascii="Tahoma" w:eastAsia="Calibri" w:hAnsi="Tahoma" w:cs="Tahoma"/>
          <w:lang w:eastAsia="es-CO"/>
        </w:rPr>
        <w:lastRenderedPageBreak/>
        <w:t xml:space="preserve">transmitirle al afiliado toda aquella información que resultaba relevante para que tomara una decisión de tal trascendencia. </w:t>
      </w:r>
    </w:p>
    <w:p w14:paraId="761F243B"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3BDDD1A"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D5BA3">
        <w:rPr>
          <w:rFonts w:ascii="Tahoma" w:eastAsia="Calibri" w:hAnsi="Tahoma" w:cs="Tahoma"/>
          <w:iCs/>
          <w:lang w:eastAsia="es-CO"/>
        </w:rPr>
        <w:tab/>
      </w:r>
      <w:r w:rsidRPr="004D5BA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5D7F70D"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92D87F1"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D5BA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32C4D057"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3795E64"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4D5BA3">
        <w:rPr>
          <w:rFonts w:ascii="Tahoma" w:eastAsia="Calibri" w:hAnsi="Tahoma" w:cs="Tahoma"/>
          <w:b/>
          <w:bCs/>
          <w:lang w:eastAsia="es-CO"/>
        </w:rPr>
        <w:t xml:space="preserve">necesaria y transparente, </w:t>
      </w:r>
      <w:r w:rsidRPr="004D5BA3">
        <w:rPr>
          <w:rFonts w:ascii="Tahoma" w:eastAsia="Calibri" w:hAnsi="Tahoma" w:cs="Tahoma"/>
          <w:lang w:eastAsia="es-CO"/>
        </w:rPr>
        <w:t xml:space="preserve">que con el transcurrir del tiempo esta exigencia cambió, pasando de un deber de información necesaria al de </w:t>
      </w:r>
      <w:r w:rsidRPr="004D5BA3">
        <w:rPr>
          <w:rFonts w:ascii="Tahoma" w:eastAsia="Calibri" w:hAnsi="Tahoma" w:cs="Tahoma"/>
          <w:b/>
          <w:bCs/>
          <w:lang w:eastAsia="es-CO"/>
        </w:rPr>
        <w:t>asesoría y buen consejo</w:t>
      </w:r>
      <w:r w:rsidRPr="004D5BA3">
        <w:rPr>
          <w:rFonts w:ascii="Tahoma" w:eastAsia="Calibri" w:hAnsi="Tahoma" w:cs="Tahoma"/>
          <w:lang w:eastAsia="es-CO"/>
        </w:rPr>
        <w:t xml:space="preserve">, y finalmente al de </w:t>
      </w:r>
      <w:r w:rsidRPr="004D5BA3">
        <w:rPr>
          <w:rFonts w:ascii="Tahoma" w:eastAsia="Calibri" w:hAnsi="Tahoma" w:cs="Tahoma"/>
          <w:b/>
          <w:bCs/>
          <w:lang w:eastAsia="es-CO"/>
        </w:rPr>
        <w:t>doble asesoría</w:t>
      </w:r>
      <w:r w:rsidRPr="004D5BA3">
        <w:rPr>
          <w:rFonts w:ascii="Tahoma" w:eastAsia="Calibri" w:hAnsi="Tahoma" w:cs="Tahoma"/>
          <w:lang w:eastAsia="es-CO"/>
        </w:rPr>
        <w:t>, explicando en qué consiste cada uno de esos conceptos. Dicho recuento histórico, se compendia de la siguiente manera:</w:t>
      </w:r>
    </w:p>
    <w:p w14:paraId="6BF9E1F0" w14:textId="77777777" w:rsidR="00B3338B" w:rsidRPr="00B3338B" w:rsidRDefault="00B3338B" w:rsidP="00B3338B">
      <w:pPr>
        <w:spacing w:before="0" w:beforeAutospacing="0" w:after="0" w:afterAutospacing="0" w:line="276" w:lineRule="auto"/>
        <w:ind w:firstLine="708"/>
        <w:contextualSpacing/>
        <w:jc w:val="left"/>
        <w:rPr>
          <w:rFonts w:ascii="Tahoma" w:eastAsia="Times New Roman" w:hAnsi="Tahoma" w:cs="Tahoma"/>
          <w:lang w:eastAsia="es-ES"/>
        </w:rPr>
      </w:pPr>
    </w:p>
    <w:p w14:paraId="6C5D985D" w14:textId="77777777" w:rsidR="00B3338B" w:rsidRPr="00B3338B" w:rsidRDefault="00B3338B" w:rsidP="00B3338B">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1" w:name="_Hlk66368436"/>
      <w:r w:rsidRPr="00B3338B">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5DAB2271" w14:textId="77777777" w:rsidR="00B3338B" w:rsidRPr="00B3338B" w:rsidRDefault="00B3338B" w:rsidP="00B3338B">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3338B" w:rsidRPr="00B3338B" w14:paraId="4514CE25"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55303B"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b/>
                <w:bCs/>
                <w:i/>
                <w:iCs/>
                <w:sz w:val="20"/>
                <w:lang w:eastAsia="es-ES"/>
              </w:rPr>
              <w:t>Etapa acumulativa</w:t>
            </w:r>
            <w:r w:rsidRPr="00B3338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27FF7B"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b/>
                <w:bCs/>
                <w:i/>
                <w:iCs/>
                <w:sz w:val="20"/>
                <w:lang w:eastAsia="es-ES"/>
              </w:rPr>
              <w:t>Normas que obligan a las administradoras de pensiones a dar información</w:t>
            </w:r>
            <w:r w:rsidRPr="00B3338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80E66E"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b/>
                <w:bCs/>
                <w:i/>
                <w:iCs/>
                <w:sz w:val="20"/>
                <w:lang w:eastAsia="es-ES"/>
              </w:rPr>
              <w:t>Contenido mínimo y alcance del deber de información</w:t>
            </w:r>
            <w:r w:rsidRPr="00B3338B">
              <w:rPr>
                <w:rFonts w:ascii="Tahoma" w:eastAsia="Times New Roman" w:hAnsi="Tahoma" w:cs="Tahoma"/>
                <w:sz w:val="20"/>
                <w:lang w:eastAsia="es-ES"/>
              </w:rPr>
              <w:t> </w:t>
            </w:r>
          </w:p>
        </w:tc>
      </w:tr>
      <w:tr w:rsidR="00B3338B" w:rsidRPr="00B3338B" w14:paraId="154E5485"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354685"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Deber de información </w:t>
            </w:r>
            <w:r w:rsidRPr="00B3338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8DF376D"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Arts. 13 literal b), 271 y 272 de la Ley 100 de 1993</w:t>
            </w:r>
            <w:r w:rsidRPr="00B3338B">
              <w:rPr>
                <w:rFonts w:ascii="Tahoma" w:eastAsia="Times New Roman" w:hAnsi="Tahoma" w:cs="Tahoma"/>
                <w:sz w:val="20"/>
                <w:lang w:eastAsia="es-ES"/>
              </w:rPr>
              <w:t> </w:t>
            </w:r>
          </w:p>
          <w:p w14:paraId="265E4C02"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Art. 97, numeral 1 del Decreto 663 de 1993, modificado por el artículo 23 de la Ley 797 de 2003</w:t>
            </w:r>
            <w:r w:rsidRPr="00B3338B">
              <w:rPr>
                <w:rFonts w:ascii="Tahoma" w:eastAsia="Times New Roman" w:hAnsi="Tahoma" w:cs="Tahoma"/>
                <w:sz w:val="20"/>
                <w:lang w:eastAsia="es-ES"/>
              </w:rPr>
              <w:t> </w:t>
            </w:r>
          </w:p>
          <w:p w14:paraId="0A96A280"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Disposiciones constitucionales relativas al derecho a la información, no menoscabo de derechos laborales y autonomía personal</w:t>
            </w:r>
            <w:r w:rsidRPr="00B3338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E4BDB3"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B3338B">
              <w:rPr>
                <w:rFonts w:ascii="Tahoma" w:eastAsia="Times New Roman" w:hAnsi="Tahoma" w:cs="Tahoma"/>
                <w:sz w:val="20"/>
                <w:lang w:eastAsia="es-ES"/>
              </w:rPr>
              <w:t> </w:t>
            </w:r>
          </w:p>
        </w:tc>
      </w:tr>
      <w:tr w:rsidR="00B3338B" w:rsidRPr="00B3338B" w14:paraId="2FEA311B"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0D39A5"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Deber de información, asesoría y buen consejo</w:t>
            </w:r>
            <w:r w:rsidRPr="00B3338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696C26"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Artículo 3, literal c) de la Ley 1328 de 2009</w:t>
            </w:r>
            <w:r w:rsidRPr="00B3338B">
              <w:rPr>
                <w:rFonts w:ascii="Tahoma" w:eastAsia="Times New Roman" w:hAnsi="Tahoma" w:cs="Tahoma"/>
                <w:sz w:val="20"/>
                <w:lang w:eastAsia="es-ES"/>
              </w:rPr>
              <w:t> </w:t>
            </w:r>
          </w:p>
          <w:p w14:paraId="6666B55C"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Decreto 2241 de 2010</w:t>
            </w:r>
            <w:r w:rsidRPr="00B3338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48762C"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 xml:space="preserve">Implica el análisis previo, calificado y global de los antecedentes del afiliado y los pormenores de los regímenes pensionales, a fin de que el asesor o promotor pueda emitir un consejo, </w:t>
            </w:r>
            <w:r w:rsidRPr="00B3338B">
              <w:rPr>
                <w:rFonts w:ascii="Tahoma" w:eastAsia="Times New Roman" w:hAnsi="Tahoma" w:cs="Tahoma"/>
                <w:i/>
                <w:iCs/>
                <w:sz w:val="20"/>
                <w:lang w:eastAsia="es-ES"/>
              </w:rPr>
              <w:lastRenderedPageBreak/>
              <w:t>sugerencia o recomendación al afiliado acerca de lo que más le conviene y, por tanto, lo que podría perjudicarle</w:t>
            </w:r>
            <w:r w:rsidRPr="00B3338B">
              <w:rPr>
                <w:rFonts w:ascii="Tahoma" w:eastAsia="Times New Roman" w:hAnsi="Tahoma" w:cs="Tahoma"/>
                <w:sz w:val="20"/>
                <w:lang w:eastAsia="es-ES"/>
              </w:rPr>
              <w:t> </w:t>
            </w:r>
          </w:p>
        </w:tc>
      </w:tr>
      <w:tr w:rsidR="00B3338B" w:rsidRPr="00B3338B" w14:paraId="3B65FCD2" w14:textId="77777777" w:rsidTr="006230E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6A9859"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lastRenderedPageBreak/>
              <w:t>Deber de información, asesoría, buen consejo y doble asesoría. </w:t>
            </w:r>
            <w:r w:rsidRPr="00B3338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2636960"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Ley 1748 de 2014</w:t>
            </w:r>
            <w:r w:rsidRPr="00B3338B">
              <w:rPr>
                <w:rFonts w:ascii="Tahoma" w:eastAsia="Times New Roman" w:hAnsi="Tahoma" w:cs="Tahoma"/>
                <w:sz w:val="20"/>
                <w:lang w:eastAsia="es-ES"/>
              </w:rPr>
              <w:t> </w:t>
            </w:r>
          </w:p>
          <w:p w14:paraId="3ACE2F96"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Artículo 3 del Decreto 2071 de 2015</w:t>
            </w:r>
            <w:r w:rsidRPr="00B3338B">
              <w:rPr>
                <w:rFonts w:ascii="Tahoma" w:eastAsia="Times New Roman" w:hAnsi="Tahoma" w:cs="Tahoma"/>
                <w:sz w:val="20"/>
                <w:lang w:eastAsia="es-ES"/>
              </w:rPr>
              <w:t> </w:t>
            </w:r>
          </w:p>
          <w:p w14:paraId="130471AD"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Circular Externa n. 016 de 2016</w:t>
            </w:r>
            <w:r w:rsidRPr="00B3338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89BEB5" w14:textId="77777777" w:rsidR="00B3338B" w:rsidRPr="00B3338B" w:rsidRDefault="00B3338B" w:rsidP="00B3338B">
            <w:pPr>
              <w:spacing w:before="0" w:beforeAutospacing="0" w:after="0" w:afterAutospacing="0" w:line="276" w:lineRule="auto"/>
              <w:ind w:firstLine="0"/>
              <w:textAlignment w:val="baseline"/>
              <w:rPr>
                <w:rFonts w:ascii="Tahoma" w:eastAsia="Times New Roman" w:hAnsi="Tahoma" w:cs="Tahoma"/>
                <w:sz w:val="20"/>
                <w:lang w:eastAsia="es-ES"/>
              </w:rPr>
            </w:pPr>
            <w:r w:rsidRPr="00B3338B">
              <w:rPr>
                <w:rFonts w:ascii="Tahoma" w:eastAsia="Times New Roman" w:hAnsi="Tahoma" w:cs="Tahoma"/>
                <w:i/>
                <w:iCs/>
                <w:sz w:val="20"/>
                <w:lang w:eastAsia="es-ES"/>
              </w:rPr>
              <w:t>Junto con lo anterior, lleva inmerso el derecho a obtener asesoría de los representantes de ambos regímenes pensionales.</w:t>
            </w:r>
            <w:r w:rsidRPr="00B3338B">
              <w:rPr>
                <w:rFonts w:ascii="Tahoma" w:eastAsia="Times New Roman" w:hAnsi="Tahoma" w:cs="Tahoma"/>
                <w:sz w:val="20"/>
                <w:lang w:eastAsia="es-ES"/>
              </w:rPr>
              <w:t> </w:t>
            </w:r>
          </w:p>
        </w:tc>
      </w:tr>
    </w:tbl>
    <w:p w14:paraId="52A0E0AD" w14:textId="77777777" w:rsidR="00B3338B" w:rsidRPr="00B3338B" w:rsidRDefault="00B3338B" w:rsidP="00B3338B">
      <w:pPr>
        <w:spacing w:before="0" w:beforeAutospacing="0" w:after="0" w:afterAutospacing="0" w:line="240" w:lineRule="auto"/>
        <w:ind w:left="426" w:right="420" w:firstLine="0"/>
        <w:rPr>
          <w:rFonts w:ascii="Tahoma" w:eastAsia="Calibri" w:hAnsi="Tahoma" w:cs="Tahoma"/>
          <w:b/>
          <w:i/>
          <w:spacing w:val="-4"/>
          <w:sz w:val="22"/>
          <w:lang w:eastAsia="es-CO"/>
        </w:rPr>
      </w:pPr>
    </w:p>
    <w:bookmarkEnd w:id="11"/>
    <w:p w14:paraId="00D82544" w14:textId="77777777" w:rsidR="00B3338B" w:rsidRPr="00B3338B" w:rsidRDefault="00B3338B" w:rsidP="00B3338B">
      <w:pPr>
        <w:spacing w:before="0" w:beforeAutospacing="0" w:after="0" w:afterAutospacing="0" w:line="240" w:lineRule="auto"/>
        <w:ind w:left="426" w:right="420" w:firstLine="0"/>
        <w:rPr>
          <w:rFonts w:ascii="Tahoma" w:eastAsia="Calibri" w:hAnsi="Tahoma" w:cs="Tahoma"/>
          <w:b/>
          <w:i/>
          <w:sz w:val="22"/>
          <w:lang w:eastAsia="es-CO"/>
        </w:rPr>
      </w:pPr>
      <w:r w:rsidRPr="00B3338B">
        <w:rPr>
          <w:rFonts w:ascii="Tahoma" w:eastAsia="Calibri" w:hAnsi="Tahoma" w:cs="Tahoma"/>
          <w:b/>
          <w:i/>
          <w:sz w:val="22"/>
          <w:lang w:eastAsia="es-CO"/>
        </w:rPr>
        <w:t>1.4 Conclusión: La constatación del deber de información es ineludible</w:t>
      </w:r>
    </w:p>
    <w:p w14:paraId="7F1A6210" w14:textId="77777777" w:rsidR="00B3338B" w:rsidRPr="00B3338B" w:rsidRDefault="00B3338B" w:rsidP="00B3338B">
      <w:pPr>
        <w:spacing w:before="0" w:beforeAutospacing="0" w:after="0" w:afterAutospacing="0" w:line="240" w:lineRule="auto"/>
        <w:ind w:left="426" w:right="420" w:firstLine="0"/>
        <w:rPr>
          <w:rFonts w:ascii="Tahoma" w:eastAsia="Calibri" w:hAnsi="Tahoma" w:cs="Tahoma"/>
          <w:b/>
          <w:i/>
          <w:sz w:val="22"/>
          <w:lang w:eastAsia="es-CO"/>
        </w:rPr>
      </w:pPr>
    </w:p>
    <w:p w14:paraId="32310124" w14:textId="77777777" w:rsidR="00B3338B" w:rsidRPr="00B3338B" w:rsidRDefault="00B3338B" w:rsidP="00B3338B">
      <w:pPr>
        <w:spacing w:before="0" w:beforeAutospacing="0" w:after="0" w:afterAutospacing="0" w:line="240" w:lineRule="auto"/>
        <w:ind w:left="426" w:right="420" w:firstLine="1"/>
        <w:rPr>
          <w:rFonts w:ascii="Tahoma" w:eastAsia="Calibri" w:hAnsi="Tahoma" w:cs="Tahoma"/>
          <w:i/>
          <w:sz w:val="22"/>
          <w:lang w:eastAsia="es-CO"/>
        </w:rPr>
      </w:pPr>
      <w:r w:rsidRPr="00B3338B">
        <w:rPr>
          <w:rFonts w:ascii="Tahoma" w:eastAsia="Calibri" w:hAnsi="Tahoma" w:cs="Tahoma"/>
          <w:i/>
          <w:sz w:val="22"/>
          <w:lang w:eastAsia="es-CO"/>
        </w:rPr>
        <w:t xml:space="preserve">Según se pudo advertir del anterior recuento, </w:t>
      </w:r>
      <w:r w:rsidRPr="00B3338B">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B3338B">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D0594BA" w14:textId="77777777" w:rsidR="00B3338B" w:rsidRPr="00B3338B" w:rsidRDefault="00B3338B" w:rsidP="00B3338B">
      <w:pPr>
        <w:spacing w:before="0" w:beforeAutospacing="0" w:after="0" w:afterAutospacing="0" w:line="240" w:lineRule="auto"/>
        <w:ind w:left="426" w:right="420" w:firstLine="1"/>
        <w:rPr>
          <w:rFonts w:ascii="Tahoma" w:eastAsia="Calibri" w:hAnsi="Tahoma" w:cs="Tahoma"/>
          <w:i/>
          <w:sz w:val="22"/>
          <w:lang w:eastAsia="es-CO"/>
        </w:rPr>
      </w:pPr>
    </w:p>
    <w:p w14:paraId="7A276474" w14:textId="77777777" w:rsidR="00B3338B" w:rsidRPr="00B3338B" w:rsidRDefault="00B3338B" w:rsidP="00B3338B">
      <w:pPr>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445C1E2" w14:textId="77777777" w:rsidR="00B3338B" w:rsidRPr="00B3338B" w:rsidRDefault="00B3338B" w:rsidP="00B3338B">
      <w:pPr>
        <w:spacing w:before="0" w:beforeAutospacing="0" w:after="0" w:afterAutospacing="0" w:line="240" w:lineRule="auto"/>
        <w:ind w:left="426" w:right="420" w:firstLine="0"/>
        <w:rPr>
          <w:rFonts w:ascii="Tahoma" w:eastAsia="Calibri" w:hAnsi="Tahoma" w:cs="Tahoma"/>
          <w:i/>
          <w:sz w:val="22"/>
          <w:lang w:eastAsia="es-CO"/>
        </w:rPr>
      </w:pPr>
    </w:p>
    <w:p w14:paraId="132BCBCD" w14:textId="77777777" w:rsidR="00B3338B" w:rsidRPr="00B3338B" w:rsidRDefault="00B3338B" w:rsidP="00B3338B">
      <w:pPr>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Adicionalmente, la Sala no puede pasar por alto la indebida fundamentación con la que </w:t>
      </w:r>
      <w:r w:rsidRPr="00B3338B">
        <w:rPr>
          <w:rFonts w:ascii="Tahoma" w:eastAsia="Calibri" w:hAnsi="Tahoma" w:cs="Tahoma"/>
          <w:bCs/>
          <w:i/>
          <w:sz w:val="22"/>
          <w:lang w:eastAsia="es-CO"/>
        </w:rPr>
        <w:t>la Sala Primera de Decisión Laboral del Tribunal de Medellín</w:t>
      </w:r>
      <w:r w:rsidRPr="00B3338B">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1072823"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6A9BA56C"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D5BA3">
        <w:rPr>
          <w:rFonts w:ascii="Tahoma" w:eastAsia="Calibri" w:hAnsi="Tahoma" w:cs="Tahoma"/>
          <w:lang w:eastAsia="es-CO"/>
        </w:rPr>
        <w:t>Con lo dicho precedentemente queda resuelto el primer problema jurídico.</w:t>
      </w:r>
    </w:p>
    <w:p w14:paraId="702610D9" w14:textId="0FF822FC" w:rsidR="00A460CA"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D62E52E" w14:textId="77777777" w:rsidR="00585829" w:rsidRPr="004D5BA3" w:rsidRDefault="00585829"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615541"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lang w:eastAsia="es-CO"/>
        </w:rPr>
      </w:pPr>
      <w:r w:rsidRPr="004D5BA3">
        <w:rPr>
          <w:rFonts w:ascii="Tahoma" w:eastAsia="Calibri" w:hAnsi="Tahoma" w:cs="Tahoma"/>
          <w:b/>
          <w:bCs/>
          <w:lang w:eastAsia="es-CO"/>
        </w:rPr>
        <w:t xml:space="preserve">“El simple consentimiento vertido en el formulario de afiliación es insuficiente – Necesidad de un consentimiento informado” </w:t>
      </w:r>
      <w:r w:rsidRPr="004D5BA3">
        <w:rPr>
          <w:rFonts w:ascii="Tahoma" w:eastAsia="Calibri" w:hAnsi="Tahoma" w:cs="Tahoma"/>
          <w:b/>
          <w:bCs/>
          <w:vertAlign w:val="superscript"/>
          <w:lang w:eastAsia="es-CO"/>
        </w:rPr>
        <w:footnoteReference w:id="3"/>
      </w:r>
      <w:r w:rsidRPr="004D5BA3">
        <w:rPr>
          <w:rFonts w:ascii="Tahoma" w:eastAsia="Calibri" w:hAnsi="Tahoma" w:cs="Tahoma"/>
          <w:lang w:eastAsia="es-CO"/>
        </w:rPr>
        <w:t xml:space="preserve"> </w:t>
      </w:r>
    </w:p>
    <w:p w14:paraId="5410ABB4"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5B633EF" w14:textId="77777777" w:rsidR="00B3338B" w:rsidRPr="00B3338B" w:rsidRDefault="00B3338B" w:rsidP="00B3338B">
      <w:pPr>
        <w:spacing w:before="0" w:beforeAutospacing="0" w:after="0" w:afterAutospacing="0" w:line="276" w:lineRule="auto"/>
        <w:ind w:firstLine="709"/>
        <w:contextualSpacing/>
        <w:rPr>
          <w:rFonts w:ascii="Tahoma" w:hAnsi="Tahoma" w:cs="Tahoma"/>
          <w:spacing w:val="-4"/>
        </w:rPr>
      </w:pPr>
      <w:r w:rsidRPr="00B3338B">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B3338B">
        <w:rPr>
          <w:rFonts w:ascii="Tahoma" w:hAnsi="Tahoma" w:cs="Tahoma"/>
          <w:b/>
          <w:spacing w:val="-4"/>
        </w:rPr>
        <w:t>pero no informado</w:t>
      </w:r>
      <w:r w:rsidRPr="00B3338B">
        <w:rPr>
          <w:rFonts w:ascii="Tahoma" w:hAnsi="Tahoma" w:cs="Tahoma"/>
          <w:spacing w:val="-4"/>
        </w:rPr>
        <w:t xml:space="preserve">, tal como se expresa a continuación: </w:t>
      </w:r>
    </w:p>
    <w:p w14:paraId="09F320CF" w14:textId="77777777" w:rsidR="00B3338B" w:rsidRPr="00B3338B" w:rsidRDefault="00B3338B" w:rsidP="00B3338B">
      <w:pPr>
        <w:spacing w:before="0" w:beforeAutospacing="0" w:after="0" w:afterAutospacing="0" w:line="276" w:lineRule="auto"/>
        <w:ind w:firstLine="709"/>
        <w:contextualSpacing/>
        <w:rPr>
          <w:rFonts w:ascii="Tahoma" w:hAnsi="Tahoma" w:cs="Tahoma"/>
          <w:spacing w:val="-4"/>
        </w:rPr>
      </w:pPr>
    </w:p>
    <w:p w14:paraId="4F3E5587"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2563FBF4"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07C5864D"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FBDF677"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5A4F96F"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5021F18"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4D6FBAA7"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25877D3" w14:textId="77777777" w:rsidR="00B3338B" w:rsidRPr="00B3338B" w:rsidRDefault="00B3338B" w:rsidP="00B3338B">
      <w:pPr>
        <w:widowControl w:val="0"/>
        <w:tabs>
          <w:tab w:val="left" w:pos="709"/>
        </w:tabs>
        <w:autoSpaceDE w:val="0"/>
        <w:autoSpaceDN w:val="0"/>
        <w:adjustRightInd w:val="0"/>
        <w:spacing w:before="0" w:beforeAutospacing="0" w:after="0" w:afterAutospacing="0" w:line="276" w:lineRule="auto"/>
        <w:ind w:firstLine="709"/>
        <w:rPr>
          <w:rFonts w:ascii="Tahoma" w:hAnsi="Tahoma" w:cs="Tahoma"/>
          <w:bCs/>
        </w:rPr>
      </w:pPr>
    </w:p>
    <w:p w14:paraId="26F9CDB8" w14:textId="77777777" w:rsidR="00B3338B" w:rsidRPr="00B3338B" w:rsidRDefault="00B3338B" w:rsidP="00B3338B">
      <w:pPr>
        <w:widowControl w:val="0"/>
        <w:tabs>
          <w:tab w:val="left" w:pos="709"/>
        </w:tabs>
        <w:autoSpaceDE w:val="0"/>
        <w:autoSpaceDN w:val="0"/>
        <w:adjustRightInd w:val="0"/>
        <w:spacing w:before="0" w:beforeAutospacing="0" w:after="0" w:afterAutospacing="0" w:line="276" w:lineRule="auto"/>
        <w:ind w:firstLine="709"/>
        <w:contextualSpacing/>
        <w:rPr>
          <w:rFonts w:ascii="Tahoma" w:hAnsi="Tahoma" w:cs="Tahoma"/>
          <w:bCs/>
        </w:rPr>
      </w:pPr>
      <w:r w:rsidRPr="00B3338B">
        <w:rPr>
          <w:rFonts w:ascii="Tahoma" w:hAnsi="Tahoma" w:cs="Tahoma"/>
          <w:bCs/>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B3338B">
        <w:rPr>
          <w:rFonts w:ascii="Tahoma" w:hAnsi="Tahoma" w:cs="Tahoma"/>
          <w:bCs/>
          <w:vertAlign w:val="superscript"/>
        </w:rPr>
        <w:footnoteReference w:id="4"/>
      </w:r>
      <w:r w:rsidRPr="00B3338B">
        <w:rPr>
          <w:rFonts w:ascii="Tahoma" w:hAnsi="Tahoma" w:cs="Tahoma"/>
          <w:bCs/>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855CD2E" w14:textId="77777777" w:rsidR="00B3338B" w:rsidRPr="00B3338B" w:rsidRDefault="00B3338B" w:rsidP="00B3338B">
      <w:pPr>
        <w:tabs>
          <w:tab w:val="left" w:pos="709"/>
        </w:tabs>
        <w:spacing w:before="0" w:beforeAutospacing="0" w:after="0" w:afterAutospacing="0" w:line="276" w:lineRule="auto"/>
        <w:ind w:firstLine="709"/>
        <w:contextualSpacing/>
        <w:rPr>
          <w:rFonts w:ascii="Tahoma" w:hAnsi="Tahoma" w:cs="Tahoma"/>
          <w:bCs/>
          <w:i/>
        </w:rPr>
      </w:pPr>
    </w:p>
    <w:p w14:paraId="6EAD4688"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877D408"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80DFDDC"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4BD0E1A6" w14:textId="77777777" w:rsidR="00B3338B" w:rsidRPr="00B3338B" w:rsidRDefault="00B3338B" w:rsidP="00B3338B">
      <w:pPr>
        <w:spacing w:before="0" w:beforeAutospacing="0" w:after="0" w:afterAutospacing="0" w:line="276" w:lineRule="auto"/>
        <w:contextualSpacing/>
        <w:rPr>
          <w:rFonts w:ascii="Tahoma" w:hAnsi="Tahoma" w:cs="Tahoma"/>
          <w:spacing w:val="-4"/>
        </w:rPr>
      </w:pPr>
    </w:p>
    <w:p w14:paraId="276D798B" w14:textId="77777777" w:rsidR="00B3338B" w:rsidRPr="00B3338B" w:rsidRDefault="00B3338B" w:rsidP="00B3338B">
      <w:pPr>
        <w:spacing w:before="0" w:beforeAutospacing="0" w:after="0" w:afterAutospacing="0" w:line="276" w:lineRule="auto"/>
        <w:ind w:firstLine="708"/>
        <w:contextualSpacing/>
        <w:rPr>
          <w:rFonts w:ascii="Tahoma" w:hAnsi="Tahoma" w:cs="Tahoma"/>
        </w:rPr>
      </w:pPr>
      <w:r w:rsidRPr="00B3338B">
        <w:rPr>
          <w:rFonts w:ascii="Tahoma" w:eastAsia="Arial Narrow" w:hAnsi="Tahoma" w:cs="Tahoma"/>
          <w:bCs/>
        </w:rPr>
        <w:lastRenderedPageBreak/>
        <w:t xml:space="preserve">Igual cosa se ha predicado de las </w:t>
      </w:r>
      <w:proofErr w:type="spellStart"/>
      <w:r w:rsidRPr="00B3338B">
        <w:rPr>
          <w:rFonts w:ascii="Tahoma" w:eastAsia="Arial Narrow" w:hAnsi="Tahoma" w:cs="Tahoma"/>
          <w:bCs/>
        </w:rPr>
        <w:t>reasesorías</w:t>
      </w:r>
      <w:proofErr w:type="spellEnd"/>
      <w:r w:rsidRPr="00B3338B">
        <w:rPr>
          <w:rFonts w:ascii="Tahoma" w:eastAsia="Arial Narrow" w:hAnsi="Tahoma" w:cs="Tahoma"/>
          <w:bCs/>
        </w:rPr>
        <w:t xml:space="preserve"> posteriores dadas al interior de las AFP</w:t>
      </w:r>
      <w:r w:rsidRPr="00B3338B">
        <w:rPr>
          <w:rFonts w:ascii="Tahoma" w:eastAsia="Arial Narrow" w:hAnsi="Tahoma" w:cs="Tahoma"/>
        </w:rPr>
        <w:t xml:space="preserve">, las cuales tampoco convalidan el traslado, como quedó dicho en la citada </w:t>
      </w:r>
      <w:r w:rsidRPr="00B3338B">
        <w:rPr>
          <w:rFonts w:ascii="Tahoma" w:hAnsi="Tahoma" w:cs="Tahoma"/>
        </w:rPr>
        <w:t xml:space="preserve">sentencia del 8 de mayo de 2019 SL 1688-2019, así: </w:t>
      </w:r>
    </w:p>
    <w:p w14:paraId="2DDC93FA" w14:textId="77777777" w:rsidR="00B3338B" w:rsidRPr="00B3338B" w:rsidRDefault="00B3338B" w:rsidP="00B3338B">
      <w:pPr>
        <w:spacing w:before="0" w:beforeAutospacing="0" w:after="0" w:afterAutospacing="0" w:line="276" w:lineRule="auto"/>
        <w:ind w:firstLine="709"/>
        <w:contextualSpacing/>
        <w:rPr>
          <w:rFonts w:ascii="Tahoma" w:eastAsia="Arial Narrow" w:hAnsi="Tahoma" w:cs="Tahoma"/>
          <w:i/>
          <w:iCs/>
        </w:rPr>
      </w:pPr>
      <w:r w:rsidRPr="00B3338B">
        <w:rPr>
          <w:rFonts w:ascii="Tahoma" w:eastAsia="Arial Narrow" w:hAnsi="Tahoma" w:cs="Tahoma"/>
        </w:rPr>
        <w:t xml:space="preserve">  </w:t>
      </w:r>
    </w:p>
    <w:p w14:paraId="0225A66E"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“Ahora, si bien la AFP brindó a la actora una </w:t>
      </w:r>
      <w:proofErr w:type="spellStart"/>
      <w:r w:rsidRPr="00B3338B">
        <w:rPr>
          <w:rFonts w:ascii="Tahoma" w:eastAsia="Calibri" w:hAnsi="Tahoma" w:cs="Tahoma"/>
          <w:i/>
          <w:sz w:val="22"/>
          <w:lang w:eastAsia="es-CO"/>
        </w:rPr>
        <w:t>reasesoría</w:t>
      </w:r>
      <w:proofErr w:type="spellEnd"/>
      <w:r w:rsidRPr="00B3338B">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96E7DCF"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 </w:t>
      </w:r>
    </w:p>
    <w:p w14:paraId="1EDD62B8"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3338B">
        <w:rPr>
          <w:rFonts w:ascii="Tahoma" w:eastAsia="Calibri" w:hAnsi="Tahoma" w:cs="Tahoma"/>
          <w:i/>
          <w:sz w:val="22"/>
          <w:lang w:eastAsia="es-CO"/>
        </w:rPr>
        <w:t>reasesoría</w:t>
      </w:r>
      <w:proofErr w:type="spellEnd"/>
      <w:r w:rsidRPr="00B3338B">
        <w:rPr>
          <w:rFonts w:ascii="Tahoma" w:eastAsia="Calibri" w:hAnsi="Tahoma" w:cs="Tahoma"/>
          <w:i/>
          <w:sz w:val="22"/>
          <w:lang w:eastAsia="es-CO"/>
        </w:rPr>
        <w:t>, de todas formas, ya había perdido la transición.</w:t>
      </w:r>
    </w:p>
    <w:p w14:paraId="2E20E245"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 </w:t>
      </w:r>
    </w:p>
    <w:p w14:paraId="3E953819"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D95F869"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 </w:t>
      </w:r>
    </w:p>
    <w:p w14:paraId="7D67D278"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Por otro lado, no es de recibo el planteo de Protección S.A., cuando sostiene que una vez realizó la </w:t>
      </w:r>
      <w:proofErr w:type="spellStart"/>
      <w:r w:rsidRPr="00B3338B">
        <w:rPr>
          <w:rFonts w:ascii="Tahoma" w:eastAsia="Calibri" w:hAnsi="Tahoma" w:cs="Tahoma"/>
          <w:i/>
          <w:sz w:val="22"/>
          <w:lang w:eastAsia="es-CO"/>
        </w:rPr>
        <w:t>reasesoría</w:t>
      </w:r>
      <w:proofErr w:type="spellEnd"/>
      <w:r w:rsidRPr="00B3338B">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9362582" w14:textId="69D32296" w:rsidR="00A460CA" w:rsidRDefault="00A460CA" w:rsidP="004D5BA3">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63E2D451" w14:textId="77777777" w:rsidR="00585829" w:rsidRPr="004D5BA3" w:rsidRDefault="00585829" w:rsidP="004D5BA3">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3D49D56D"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ind w:left="709" w:hanging="11"/>
        <w:rPr>
          <w:rFonts w:ascii="Tahoma" w:eastAsia="Tahoma" w:hAnsi="Tahoma" w:cs="Tahoma"/>
          <w:color w:val="000000" w:themeColor="text1"/>
          <w:lang w:eastAsia="es-MX"/>
        </w:rPr>
      </w:pPr>
      <w:r w:rsidRPr="004D5BA3">
        <w:rPr>
          <w:rFonts w:ascii="Tahoma" w:eastAsia="Tahoma" w:hAnsi="Tahoma" w:cs="Tahoma"/>
          <w:b/>
          <w:bCs/>
          <w:color w:val="000000" w:themeColor="text1"/>
          <w:lang w:eastAsia="es-MX"/>
        </w:rPr>
        <w:t xml:space="preserve">Los actos de relacionamiento, </w:t>
      </w:r>
      <w:proofErr w:type="spellStart"/>
      <w:r w:rsidRPr="004D5BA3">
        <w:rPr>
          <w:rFonts w:ascii="Tahoma" w:eastAsia="Tahoma" w:hAnsi="Tahoma" w:cs="Tahoma"/>
          <w:b/>
          <w:bCs/>
          <w:color w:val="000000" w:themeColor="text1"/>
          <w:lang w:eastAsia="es-MX"/>
        </w:rPr>
        <w:t>reasesorías</w:t>
      </w:r>
      <w:proofErr w:type="spellEnd"/>
      <w:r w:rsidRPr="004D5BA3">
        <w:rPr>
          <w:rFonts w:ascii="Tahoma" w:eastAsia="Tahoma" w:hAnsi="Tahoma" w:cs="Tahoma"/>
          <w:b/>
          <w:bCs/>
          <w:color w:val="000000" w:themeColor="text1"/>
          <w:lang w:eastAsia="es-MX"/>
        </w:rPr>
        <w:t xml:space="preserve">, falta de retorno al RPM en el tiempo estipulado por la ley, </w:t>
      </w:r>
      <w:r w:rsidRPr="004D5BA3">
        <w:rPr>
          <w:rFonts w:ascii="Tahoma" w:eastAsia="Tahoma" w:hAnsi="Tahoma" w:cs="Tahoma"/>
          <w:b/>
          <w:bCs/>
          <w:color w:val="000000" w:themeColor="text1"/>
          <w:lang w:val="es-ES" w:eastAsia="es-MX"/>
        </w:rPr>
        <w:t>publicaciones de prensa y extractos de la cuenta de ahorro individual</w:t>
      </w:r>
      <w:r w:rsidRPr="004D5BA3">
        <w:rPr>
          <w:rFonts w:ascii="Tahoma" w:eastAsia="Tahoma" w:hAnsi="Tahoma" w:cs="Tahoma"/>
          <w:b/>
          <w:bCs/>
          <w:color w:val="000000" w:themeColor="text1"/>
          <w:lang w:eastAsia="es-MX"/>
        </w:rPr>
        <w:t xml:space="preserve"> no desestiman la ineficacia por la falta de información al momento del traslado al RAIS</w:t>
      </w:r>
    </w:p>
    <w:p w14:paraId="548D9156" w14:textId="77777777" w:rsidR="00A460CA" w:rsidRPr="004D5BA3" w:rsidRDefault="00A460CA" w:rsidP="004D5BA3">
      <w:pPr>
        <w:spacing w:before="0" w:beforeAutospacing="0" w:after="0" w:afterAutospacing="0" w:line="276" w:lineRule="auto"/>
        <w:ind w:left="349"/>
        <w:rPr>
          <w:rFonts w:ascii="Tahoma" w:eastAsia="Calibri" w:hAnsi="Tahoma" w:cs="Tahoma"/>
          <w:color w:val="000000" w:themeColor="text1"/>
          <w:lang w:eastAsia="es-MX"/>
        </w:rPr>
      </w:pPr>
    </w:p>
    <w:p w14:paraId="0C825C20" w14:textId="77777777" w:rsidR="00B3338B" w:rsidRPr="00B3338B" w:rsidRDefault="00B3338B" w:rsidP="00B3338B">
      <w:pPr>
        <w:spacing w:before="0" w:beforeAutospacing="0" w:after="0" w:afterAutospacing="0" w:line="276" w:lineRule="auto"/>
        <w:ind w:firstLine="709"/>
        <w:rPr>
          <w:rFonts w:ascii="Tahoma" w:eastAsia="Tahoma" w:hAnsi="Tahoma" w:cs="Tahoma"/>
          <w:color w:val="000000" w:themeColor="text1"/>
          <w:lang w:eastAsia="es-MX"/>
        </w:rPr>
      </w:pPr>
      <w:r w:rsidRPr="00B3338B">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B3338B">
        <w:rPr>
          <w:rFonts w:ascii="Tahoma" w:eastAsia="Tahoma" w:hAnsi="Tahoma" w:cs="Tahoma"/>
          <w:color w:val="000000" w:themeColor="text1"/>
          <w:vertAlign w:val="superscript"/>
          <w:lang w:eastAsia="es-MX"/>
        </w:rPr>
        <w:t>4</w:t>
      </w:r>
      <w:r w:rsidRPr="00B3338B">
        <w:rPr>
          <w:rFonts w:ascii="Tahoma" w:eastAsia="Tahoma" w:hAnsi="Tahoma" w:cs="Tahoma"/>
          <w:color w:val="000000" w:themeColor="text1"/>
          <w:lang w:eastAsia="es-MX"/>
        </w:rPr>
        <w:t xml:space="preserve"> que memora la sentencia CSJ SL, 9 sep. 2008, rad. 31989 expuso:</w:t>
      </w:r>
    </w:p>
    <w:p w14:paraId="0014FD50" w14:textId="77777777" w:rsidR="00B3338B" w:rsidRPr="00B3338B" w:rsidRDefault="00B3338B" w:rsidP="00B3338B">
      <w:pPr>
        <w:spacing w:before="0" w:beforeAutospacing="0" w:after="0" w:afterAutospacing="0" w:line="276" w:lineRule="auto"/>
        <w:ind w:firstLine="284"/>
        <w:rPr>
          <w:rFonts w:ascii="Tahoma" w:eastAsia="Tahoma" w:hAnsi="Tahoma" w:cs="Tahoma"/>
          <w:color w:val="000000" w:themeColor="text1"/>
          <w:lang w:eastAsia="es-MX"/>
        </w:rPr>
      </w:pPr>
    </w:p>
    <w:p w14:paraId="404696B1"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“Se ha de señalar que la actuación viciada de traslado del régimen de prima media con prestación definida al de ahorro individual, no se convalida por los traslados de </w:t>
      </w:r>
      <w:r w:rsidRPr="00B3338B">
        <w:rPr>
          <w:rFonts w:ascii="Tahoma" w:eastAsia="Calibri" w:hAnsi="Tahoma" w:cs="Tahoma"/>
          <w:i/>
          <w:sz w:val="22"/>
          <w:lang w:eastAsia="es-CO"/>
        </w:rPr>
        <w:lastRenderedPageBreak/>
        <w:t>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6F0FD9B8" w14:textId="77777777" w:rsidR="00B3338B" w:rsidRPr="00B3338B" w:rsidRDefault="00B3338B" w:rsidP="00B3338B">
      <w:pPr>
        <w:spacing w:before="0" w:beforeAutospacing="0" w:after="0" w:afterAutospacing="0" w:line="276" w:lineRule="auto"/>
        <w:ind w:firstLine="284"/>
        <w:rPr>
          <w:rFonts w:ascii="Tahoma" w:eastAsia="Tahoma" w:hAnsi="Tahoma" w:cs="Tahoma"/>
          <w:color w:val="000000" w:themeColor="text1"/>
          <w:lang w:eastAsia="es-MX"/>
        </w:rPr>
      </w:pPr>
    </w:p>
    <w:p w14:paraId="4E205204" w14:textId="77777777" w:rsidR="00B3338B" w:rsidRPr="00B3338B" w:rsidRDefault="00B3338B" w:rsidP="00B3338B">
      <w:pPr>
        <w:spacing w:before="0" w:beforeAutospacing="0" w:after="0" w:afterAutospacing="0" w:line="276" w:lineRule="auto"/>
        <w:ind w:firstLine="567"/>
        <w:rPr>
          <w:rFonts w:ascii="Tahoma" w:eastAsia="Tahoma" w:hAnsi="Tahoma" w:cs="Tahoma"/>
          <w:color w:val="000000" w:themeColor="text1"/>
          <w:lang w:eastAsia="es-MX"/>
        </w:rPr>
      </w:pPr>
      <w:r w:rsidRPr="00B3338B">
        <w:rPr>
          <w:rFonts w:ascii="Tahoma" w:eastAsia="Tahoma" w:hAnsi="Tahoma" w:cs="Tahoma"/>
          <w:color w:val="000000" w:themeColor="text1"/>
          <w:lang w:eastAsia="es-MX"/>
        </w:rPr>
        <w:t>En este orden de ideas, en la sentencia CSJ SL 5686 de 2021</w:t>
      </w:r>
      <w:r w:rsidRPr="00B3338B">
        <w:rPr>
          <w:rFonts w:ascii="Tahoma" w:eastAsia="Tahoma" w:hAnsi="Tahoma" w:cs="Tahoma"/>
          <w:color w:val="000000" w:themeColor="text1"/>
          <w:vertAlign w:val="superscript"/>
          <w:lang w:eastAsia="es-MX"/>
        </w:rPr>
        <w:t>5</w:t>
      </w:r>
      <w:r w:rsidRPr="00B3338B">
        <w:rPr>
          <w:rFonts w:ascii="Tahoma" w:eastAsia="Tahoma" w:hAnsi="Tahoma" w:cs="Tahoma"/>
          <w:color w:val="000000" w:themeColor="text1"/>
          <w:lang w:eastAsia="es-MX"/>
        </w:rPr>
        <w:t xml:space="preserve"> traída a colación en la CSJ SL1926-2022</w:t>
      </w:r>
      <w:r w:rsidRPr="00B3338B">
        <w:rPr>
          <w:rFonts w:ascii="Tahoma" w:eastAsia="Tahoma" w:hAnsi="Tahoma" w:cs="Tahoma"/>
          <w:color w:val="000000" w:themeColor="text1"/>
          <w:vertAlign w:val="superscript"/>
          <w:lang w:eastAsia="es-MX"/>
        </w:rPr>
        <w:t>6</w:t>
      </w:r>
      <w:r w:rsidRPr="00B3338B">
        <w:rPr>
          <w:rFonts w:ascii="Tahoma" w:eastAsia="Tahoma" w:hAnsi="Tahoma" w:cs="Tahoma"/>
          <w:color w:val="000000" w:themeColor="text1"/>
          <w:lang w:eastAsia="es-MX"/>
        </w:rPr>
        <w:t xml:space="preserve"> añadió:</w:t>
      </w:r>
    </w:p>
    <w:p w14:paraId="48F74C21" w14:textId="77777777" w:rsidR="00B3338B" w:rsidRPr="00B3338B" w:rsidRDefault="00B3338B" w:rsidP="00B3338B">
      <w:pPr>
        <w:spacing w:before="0" w:beforeAutospacing="0" w:after="0" w:afterAutospacing="0" w:line="276" w:lineRule="auto"/>
        <w:ind w:firstLine="0"/>
        <w:rPr>
          <w:rFonts w:ascii="Tahoma" w:eastAsia="Tahoma" w:hAnsi="Tahoma" w:cs="Tahoma"/>
          <w:color w:val="000000" w:themeColor="text1"/>
          <w:lang w:eastAsia="es-MX"/>
        </w:rPr>
      </w:pPr>
    </w:p>
    <w:p w14:paraId="52305E50"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249EF21D"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0BB0E38"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231D18FE" w14:textId="77777777" w:rsidR="00B3338B" w:rsidRPr="00B3338B" w:rsidRDefault="00B3338B" w:rsidP="00B3338B">
      <w:pPr>
        <w:spacing w:before="0" w:beforeAutospacing="0" w:after="0" w:afterAutospacing="0" w:line="276" w:lineRule="auto"/>
        <w:ind w:firstLine="0"/>
        <w:rPr>
          <w:rFonts w:ascii="Tahoma" w:eastAsia="Arial Narrow" w:hAnsi="Tahoma" w:cs="Tahoma"/>
          <w:color w:val="000000" w:themeColor="text1"/>
          <w:lang w:eastAsia="es-MX"/>
        </w:rPr>
      </w:pPr>
    </w:p>
    <w:p w14:paraId="2E5486EB" w14:textId="77777777" w:rsidR="00B3338B" w:rsidRPr="00B3338B" w:rsidRDefault="00B3338B" w:rsidP="00B3338B">
      <w:pPr>
        <w:spacing w:before="0" w:beforeAutospacing="0" w:after="0" w:afterAutospacing="0" w:line="276" w:lineRule="auto"/>
        <w:ind w:firstLine="567"/>
        <w:rPr>
          <w:rFonts w:ascii="Tahoma" w:eastAsia="Tahoma" w:hAnsi="Tahoma" w:cs="Tahoma"/>
          <w:color w:val="000000" w:themeColor="text1"/>
          <w:lang w:eastAsia="es-MX"/>
        </w:rPr>
      </w:pPr>
      <w:r w:rsidRPr="00B3338B">
        <w:rPr>
          <w:rFonts w:ascii="Tahoma" w:eastAsia="Tahoma" w:hAnsi="Tahoma" w:cs="Tahoma"/>
          <w:color w:val="000000" w:themeColor="text1"/>
          <w:lang w:eastAsia="es-MX"/>
        </w:rPr>
        <w:t>Posteriormente, la sentencia CSJ SL1055 de 2022</w:t>
      </w:r>
      <w:r w:rsidRPr="00B3338B">
        <w:rPr>
          <w:rFonts w:ascii="Tahoma" w:eastAsia="Tahoma" w:hAnsi="Tahoma" w:cs="Tahoma"/>
          <w:color w:val="000000" w:themeColor="text1"/>
          <w:vertAlign w:val="superscript"/>
          <w:lang w:eastAsia="es-MX"/>
        </w:rPr>
        <w:t>7</w:t>
      </w:r>
      <w:r w:rsidRPr="00B3338B">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B3338B">
        <w:rPr>
          <w:rFonts w:ascii="Tahoma" w:eastAsia="Tahoma" w:hAnsi="Tahoma" w:cs="Tahoma"/>
          <w:color w:val="000000" w:themeColor="text1"/>
          <w:lang w:val="es-ES" w:eastAsia="es-MX"/>
        </w:rPr>
        <w:t>CSJ SL249-2022 y SL259-2022, y en su lugar ratificó:</w:t>
      </w:r>
    </w:p>
    <w:p w14:paraId="7BC89EA7" w14:textId="77777777" w:rsidR="00B3338B" w:rsidRPr="00B3338B" w:rsidRDefault="00B3338B" w:rsidP="00B3338B">
      <w:pPr>
        <w:spacing w:before="0" w:beforeAutospacing="0" w:after="0" w:afterAutospacing="0" w:line="276" w:lineRule="auto"/>
        <w:ind w:firstLine="0"/>
        <w:rPr>
          <w:rFonts w:ascii="Tahoma" w:eastAsia="Tahoma" w:hAnsi="Tahoma" w:cs="Tahoma"/>
          <w:color w:val="000000" w:themeColor="text1"/>
          <w:lang w:eastAsia="es-MX"/>
        </w:rPr>
      </w:pPr>
    </w:p>
    <w:p w14:paraId="5A7B547B"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4864D2D1" w14:textId="77777777" w:rsidR="00B3338B" w:rsidRPr="00B3338B" w:rsidRDefault="00B3338B" w:rsidP="00B3338B">
      <w:pPr>
        <w:spacing w:before="0" w:beforeAutospacing="0" w:after="0" w:afterAutospacing="0" w:line="276" w:lineRule="auto"/>
        <w:ind w:left="567" w:firstLine="0"/>
        <w:rPr>
          <w:rFonts w:ascii="Tahoma" w:eastAsia="Arial Narrow" w:hAnsi="Tahoma" w:cs="Tahoma"/>
          <w:color w:val="000000" w:themeColor="text1"/>
          <w:lang w:eastAsia="es-MX"/>
        </w:rPr>
      </w:pPr>
    </w:p>
    <w:p w14:paraId="5EF8777D" w14:textId="77777777" w:rsidR="00B3338B" w:rsidRPr="00B3338B" w:rsidRDefault="00B3338B" w:rsidP="00B3338B">
      <w:pPr>
        <w:spacing w:before="0" w:beforeAutospacing="0" w:after="0" w:afterAutospacing="0" w:line="276" w:lineRule="auto"/>
        <w:ind w:firstLine="708"/>
        <w:rPr>
          <w:rFonts w:ascii="Tahoma" w:eastAsia="Tahoma" w:hAnsi="Tahoma" w:cs="Tahoma"/>
          <w:color w:val="000000" w:themeColor="text1"/>
          <w:lang w:eastAsia="es-MX"/>
        </w:rPr>
      </w:pPr>
      <w:r w:rsidRPr="00B3338B">
        <w:rPr>
          <w:rFonts w:ascii="Tahoma" w:eastAsia="Tahoma" w:hAnsi="Tahoma" w:cs="Tahoma"/>
          <w:color w:val="000000" w:themeColor="text1"/>
          <w:lang w:eastAsia="es-MX"/>
        </w:rPr>
        <w:t xml:space="preserve">Igual cosa se ha predicado de las </w:t>
      </w:r>
      <w:proofErr w:type="spellStart"/>
      <w:r w:rsidRPr="00B3338B">
        <w:rPr>
          <w:rFonts w:ascii="Tahoma" w:eastAsia="Tahoma" w:hAnsi="Tahoma" w:cs="Tahoma"/>
          <w:color w:val="000000" w:themeColor="text1"/>
          <w:lang w:eastAsia="es-MX"/>
        </w:rPr>
        <w:t>reasesorías</w:t>
      </w:r>
      <w:proofErr w:type="spellEnd"/>
      <w:r w:rsidRPr="00B3338B">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7D0CCEE6" w14:textId="77777777" w:rsidR="00B3338B" w:rsidRPr="00B3338B" w:rsidRDefault="00B3338B" w:rsidP="00B3338B">
      <w:pPr>
        <w:spacing w:before="0" w:beforeAutospacing="0" w:after="0" w:afterAutospacing="0" w:line="276" w:lineRule="auto"/>
        <w:ind w:firstLine="708"/>
        <w:rPr>
          <w:rFonts w:ascii="Tahoma" w:eastAsia="Tahoma" w:hAnsi="Tahoma" w:cs="Tahoma"/>
          <w:color w:val="000000" w:themeColor="text1"/>
          <w:lang w:eastAsia="es-MX"/>
        </w:rPr>
      </w:pPr>
    </w:p>
    <w:p w14:paraId="6F6A3B3F"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“Ahora, si bien la AFP brindó a la actora una </w:t>
      </w:r>
      <w:proofErr w:type="spellStart"/>
      <w:r w:rsidRPr="00B3338B">
        <w:rPr>
          <w:rFonts w:ascii="Tahoma" w:eastAsia="Calibri" w:hAnsi="Tahoma" w:cs="Tahoma"/>
          <w:i/>
          <w:sz w:val="22"/>
          <w:lang w:eastAsia="es-CO"/>
        </w:rPr>
        <w:t>reasesoría</w:t>
      </w:r>
      <w:proofErr w:type="spellEnd"/>
      <w:r w:rsidRPr="00B3338B">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96FDD17"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 </w:t>
      </w:r>
    </w:p>
    <w:p w14:paraId="3381A947"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B3338B">
        <w:rPr>
          <w:rFonts w:ascii="Tahoma" w:eastAsia="Calibri" w:hAnsi="Tahoma" w:cs="Tahoma"/>
          <w:i/>
          <w:sz w:val="22"/>
          <w:lang w:eastAsia="es-CO"/>
        </w:rPr>
        <w:t>reasesoría</w:t>
      </w:r>
      <w:proofErr w:type="spellEnd"/>
      <w:r w:rsidRPr="00B3338B">
        <w:rPr>
          <w:rFonts w:ascii="Tahoma" w:eastAsia="Calibri" w:hAnsi="Tahoma" w:cs="Tahoma"/>
          <w:i/>
          <w:sz w:val="22"/>
          <w:lang w:eastAsia="es-CO"/>
        </w:rPr>
        <w:t>, de todas formas, ya había perdido la transición.</w:t>
      </w:r>
    </w:p>
    <w:p w14:paraId="1047CE2E"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 </w:t>
      </w:r>
    </w:p>
    <w:p w14:paraId="2DBD75D5"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w:t>
      </w:r>
      <w:r w:rsidRPr="00B3338B">
        <w:rPr>
          <w:rFonts w:ascii="Tahoma" w:eastAsia="Calibri" w:hAnsi="Tahoma" w:cs="Tahoma"/>
          <w:i/>
          <w:sz w:val="22"/>
          <w:lang w:eastAsia="es-CO"/>
        </w:rPr>
        <w:lastRenderedPageBreak/>
        <w:t>asesoría no se otorga oportunamente y, por tanto, pierde su utilidad, ello equivale a la ausencia de información.</w:t>
      </w:r>
    </w:p>
    <w:p w14:paraId="585E2BEB"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 </w:t>
      </w:r>
    </w:p>
    <w:p w14:paraId="2FC7B169"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Por otro lado, no es de recibo el planteo de Protección S.A., cuando sostiene que una vez realizó la </w:t>
      </w:r>
      <w:proofErr w:type="spellStart"/>
      <w:r w:rsidRPr="00B3338B">
        <w:rPr>
          <w:rFonts w:ascii="Tahoma" w:eastAsia="Calibri" w:hAnsi="Tahoma" w:cs="Tahoma"/>
          <w:i/>
          <w:sz w:val="22"/>
          <w:lang w:eastAsia="es-CO"/>
        </w:rPr>
        <w:t>reasesoría</w:t>
      </w:r>
      <w:proofErr w:type="spellEnd"/>
      <w:r w:rsidRPr="00B3338B">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AEDD739" w14:textId="77777777" w:rsidR="00B3338B" w:rsidRPr="00B3338B" w:rsidRDefault="00B3338B" w:rsidP="00B3338B">
      <w:pPr>
        <w:spacing w:before="0" w:beforeAutospacing="0" w:after="0" w:afterAutospacing="0" w:line="276" w:lineRule="auto"/>
        <w:ind w:firstLine="0"/>
        <w:rPr>
          <w:rFonts w:ascii="Tahoma" w:eastAsia="Arial Narrow" w:hAnsi="Tahoma" w:cs="Tahoma"/>
          <w:color w:val="000000" w:themeColor="text1"/>
          <w:lang w:eastAsia="es-MX"/>
        </w:rPr>
      </w:pPr>
    </w:p>
    <w:p w14:paraId="31666386" w14:textId="77777777" w:rsidR="00B3338B" w:rsidRPr="00B3338B" w:rsidRDefault="00B3338B" w:rsidP="00B3338B">
      <w:pPr>
        <w:spacing w:before="0" w:beforeAutospacing="0" w:after="0" w:afterAutospacing="0" w:line="276" w:lineRule="auto"/>
        <w:ind w:right="-5"/>
        <w:contextualSpacing/>
        <w:rPr>
          <w:rFonts w:ascii="Tahoma" w:eastAsia="Tahoma" w:hAnsi="Tahoma" w:cs="Tahoma"/>
          <w:color w:val="000000" w:themeColor="text1"/>
          <w:lang w:eastAsia="es-MX"/>
        </w:rPr>
      </w:pPr>
      <w:r w:rsidRPr="00B3338B">
        <w:rPr>
          <w:rFonts w:ascii="Tahoma" w:eastAsia="Tahoma" w:hAnsi="Tahoma" w:cs="Tahoma"/>
          <w:color w:val="000000" w:themeColor="text1"/>
          <w:lang w:val="es-ES" w:eastAsia="es-MX"/>
        </w:rPr>
        <w:t>Finalmente, en el mismo sentido se ha pronunciado el máximo órgano de cierre de la jurisdicción laboral, respecto a las publicaciones de prensa y extractos de la cuenta de ahorro individual, en este orden en la sentencia CSJ 1618-2022</w:t>
      </w:r>
      <w:r w:rsidRPr="00B3338B">
        <w:rPr>
          <w:rFonts w:ascii="Tahoma" w:eastAsia="Calibri" w:hAnsi="Tahoma" w:cs="Tahoma"/>
          <w:color w:val="000000" w:themeColor="text1"/>
          <w:vertAlign w:val="superscript"/>
          <w:lang w:val="es-ES" w:eastAsia="es-MX"/>
        </w:rPr>
        <w:t>8</w:t>
      </w:r>
      <w:r w:rsidRPr="00B3338B">
        <w:rPr>
          <w:rFonts w:ascii="Tahoma" w:eastAsia="Tahoma" w:hAnsi="Tahoma" w:cs="Tahoma"/>
          <w:color w:val="000000" w:themeColor="text1"/>
          <w:lang w:val="es-ES" w:eastAsia="es-MX"/>
        </w:rPr>
        <w:t xml:space="preserve"> precisó: </w:t>
      </w:r>
    </w:p>
    <w:p w14:paraId="4004DFE6" w14:textId="77777777" w:rsidR="00B3338B" w:rsidRPr="00B3338B" w:rsidRDefault="00B3338B" w:rsidP="00B3338B">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160E5AB1"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3FB9ED80" w14:textId="77777777" w:rsidR="00B3338B" w:rsidRPr="00B3338B" w:rsidRDefault="00B3338B" w:rsidP="00B3338B">
      <w:pPr>
        <w:spacing w:before="0" w:beforeAutospacing="0" w:after="0" w:afterAutospacing="0" w:line="276" w:lineRule="auto"/>
        <w:ind w:left="709" w:firstLine="0"/>
        <w:contextualSpacing/>
        <w:rPr>
          <w:rFonts w:ascii="Tahoma" w:hAnsi="Tahoma" w:cs="Tahoma"/>
          <w:i/>
          <w:spacing w:val="-4"/>
        </w:rPr>
      </w:pPr>
    </w:p>
    <w:p w14:paraId="2F18C615"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473DB7C"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D5BA3">
        <w:rPr>
          <w:rFonts w:ascii="Tahoma" w:eastAsia="Calibri" w:hAnsi="Tahoma" w:cs="Tahoma"/>
          <w:b/>
          <w:bCs/>
          <w:lang w:eastAsia="es-CO"/>
        </w:rPr>
        <w:t xml:space="preserve">“De la carga de la prueba – Inversión a favor del afiliado” </w:t>
      </w:r>
      <w:r w:rsidRPr="004D5BA3">
        <w:rPr>
          <w:rFonts w:ascii="Tahoma" w:eastAsia="Tahoma" w:hAnsi="Tahoma" w:cs="Tahoma"/>
          <w:vertAlign w:val="superscript"/>
          <w:lang w:eastAsia="es-CO"/>
        </w:rPr>
        <w:footnoteReference w:id="5"/>
      </w:r>
    </w:p>
    <w:p w14:paraId="4BB8054E"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561644C" w14:textId="77777777" w:rsidR="00B3338B" w:rsidRPr="00B3338B" w:rsidRDefault="00B3338B" w:rsidP="00B3338B">
      <w:pPr>
        <w:spacing w:before="0" w:beforeAutospacing="0" w:after="0" w:afterAutospacing="0" w:line="276" w:lineRule="auto"/>
        <w:ind w:firstLine="709"/>
        <w:contextualSpacing/>
        <w:rPr>
          <w:rFonts w:ascii="Tahoma" w:hAnsi="Tahoma" w:cs="Tahoma"/>
          <w:spacing w:val="-4"/>
        </w:rPr>
      </w:pPr>
      <w:r w:rsidRPr="00B3338B">
        <w:rPr>
          <w:rFonts w:ascii="Tahoma" w:hAnsi="Tahoma" w:cs="Tahoma"/>
          <w:spacing w:val="-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B3338B">
        <w:rPr>
          <w:rFonts w:ascii="Tahoma" w:hAnsi="Tahoma" w:cs="Tahoma"/>
          <w:i/>
          <w:spacing w:val="-4"/>
          <w:sz w:val="22"/>
        </w:rPr>
        <w:t>la prueba de la diligencia o cuidado incumbe al que ha debido emplearlo</w:t>
      </w:r>
      <w:r w:rsidRPr="00B3338B">
        <w:rPr>
          <w:rFonts w:ascii="Tahoma" w:hAnsi="Tahoma" w:cs="Tahoma"/>
          <w:i/>
          <w:spacing w:val="-4"/>
        </w:rPr>
        <w:t>”</w:t>
      </w:r>
      <w:r w:rsidRPr="00B3338B">
        <w:rPr>
          <w:rFonts w:ascii="Tahoma" w:hAnsi="Tahoma" w:cs="Tahoma"/>
          <w:spacing w:val="-4"/>
        </w:rPr>
        <w:t xml:space="preserve"> lo que quiere decir que la carga de la prueba recae en el fondo de pensiones. Dicha postura se ha mantenido invariable, y se reiteró de manera más contundente en la citada sentencia, así: </w:t>
      </w:r>
    </w:p>
    <w:p w14:paraId="04517701" w14:textId="77777777" w:rsidR="00B3338B" w:rsidRPr="00B3338B" w:rsidRDefault="00B3338B" w:rsidP="00B3338B">
      <w:pPr>
        <w:spacing w:before="0" w:beforeAutospacing="0" w:after="0" w:afterAutospacing="0" w:line="276" w:lineRule="auto"/>
        <w:ind w:firstLine="708"/>
        <w:contextualSpacing/>
        <w:rPr>
          <w:rFonts w:ascii="Tahoma" w:hAnsi="Tahoma" w:cs="Tahoma"/>
          <w:spacing w:val="-4"/>
        </w:rPr>
      </w:pPr>
    </w:p>
    <w:p w14:paraId="444F081A"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6F6A3C4"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EF55345"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4885955"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DD7CE7E"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w:t>
      </w:r>
      <w:r w:rsidRPr="00B3338B">
        <w:rPr>
          <w:rFonts w:ascii="Tahoma" w:eastAsia="Calibri" w:hAnsi="Tahoma" w:cs="Tahoma"/>
          <w:i/>
          <w:sz w:val="22"/>
          <w:lang w:eastAsia="es-CO"/>
        </w:rPr>
        <w:lastRenderedPageBreak/>
        <w:t>contraparte demostrar que sí la brindó, dado que es quien está en posición de hacerlo.</w:t>
      </w:r>
    </w:p>
    <w:p w14:paraId="5B19B5F4"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46626FD"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5DF2671D"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76AAE02"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2A260D7"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A69D0F9"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882DB7D"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F2B2E23" w14:textId="77777777" w:rsidR="00B3338B" w:rsidRPr="00B3338B" w:rsidRDefault="00B3338B" w:rsidP="00B3338B">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B3338B">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7F1315F5" w14:textId="65445AC6" w:rsidR="00A460CA"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A5B40D7" w14:textId="77777777" w:rsidR="00585829" w:rsidRPr="004D5BA3" w:rsidRDefault="00585829"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3E542A"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D5BA3">
        <w:rPr>
          <w:rFonts w:ascii="Tahoma" w:eastAsia="Calibri" w:hAnsi="Tahoma" w:cs="Tahoma"/>
          <w:b/>
          <w:bCs/>
          <w:lang w:eastAsia="es-CO"/>
        </w:rPr>
        <w:t>Consecuencias de la declaratoria de ineficacia del traslado: Devolución de las cuotas de administración y de otros valores debidamente indexados</w:t>
      </w:r>
    </w:p>
    <w:p w14:paraId="642F81FB"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0B902B" w14:textId="77777777" w:rsidR="00564EF2" w:rsidRPr="00564EF2" w:rsidRDefault="00564EF2" w:rsidP="00564EF2">
      <w:pPr>
        <w:spacing w:before="0" w:beforeAutospacing="0" w:after="0" w:afterAutospacing="0" w:line="276" w:lineRule="auto"/>
        <w:ind w:firstLine="709"/>
        <w:contextualSpacing/>
        <w:rPr>
          <w:rFonts w:ascii="Tahoma" w:hAnsi="Tahoma" w:cs="Tahoma"/>
        </w:rPr>
      </w:pPr>
      <w:r w:rsidRPr="00564EF2">
        <w:rPr>
          <w:rFonts w:ascii="Tahoma" w:hAnsi="Tahoma" w:cs="Tahoma"/>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FA6A8F3" w14:textId="77777777" w:rsidR="00564EF2" w:rsidRPr="00564EF2" w:rsidRDefault="00564EF2" w:rsidP="00564EF2">
      <w:pPr>
        <w:spacing w:before="0" w:beforeAutospacing="0" w:after="0" w:afterAutospacing="0" w:line="276" w:lineRule="auto"/>
        <w:ind w:firstLine="709"/>
        <w:contextualSpacing/>
        <w:rPr>
          <w:rFonts w:ascii="Tahoma" w:hAnsi="Tahoma" w:cs="Tahoma"/>
        </w:rPr>
      </w:pPr>
    </w:p>
    <w:p w14:paraId="57AC3842"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564EF2">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4F72ED8"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9CCD968"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564EF2">
        <w:rPr>
          <w:rFonts w:ascii="Tahoma" w:eastAsia="Calibri" w:hAnsi="Tahoma" w:cs="Tahoma"/>
          <w:i/>
          <w:sz w:val="22"/>
          <w:lang w:eastAsia="es-CO"/>
        </w:rPr>
        <w:t>Sobre las consecuencias de la nulidad del traslado entre regímenes esta Sala en sentencia SL, del 8 de sep. 2008, rad. 31989, reiterada en varias oportunidades, adoctrinó: […]</w:t>
      </w:r>
    </w:p>
    <w:p w14:paraId="62BD2274"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CDF9469"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564EF2">
        <w:rPr>
          <w:rFonts w:ascii="Tahoma" w:eastAsia="Calibri" w:hAnsi="Tahoma" w:cs="Tahoma"/>
          <w:i/>
          <w:sz w:val="22"/>
          <w:lang w:eastAsia="es-CO"/>
        </w:rPr>
        <w:t xml:space="preserve">“La administradora tiene el deber de devolver al sistema todos los valores que hubiere </w:t>
      </w:r>
      <w:r w:rsidRPr="00564EF2">
        <w:rPr>
          <w:rFonts w:ascii="Tahoma" w:eastAsia="Calibri" w:hAnsi="Tahoma" w:cs="Tahoma"/>
          <w:i/>
          <w:sz w:val="22"/>
          <w:lang w:eastAsia="es-CO"/>
        </w:rPr>
        <w:lastRenderedPageBreak/>
        <w:t>recibido con motivo de la afiliación del actor, como cotizaciones, bonos pensionales, sumas adicionales de la aseguradora, con todos sus frutos e intereses como los dispone el artículo 1746 del C.C., esto es, con los rendimientos que se hubieren causado.</w:t>
      </w:r>
    </w:p>
    <w:p w14:paraId="784D3291"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499EE3F"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564EF2">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055AD3E" w14:textId="77777777" w:rsidR="00564EF2" w:rsidRPr="00564EF2" w:rsidRDefault="00564EF2" w:rsidP="00564EF2">
      <w:pPr>
        <w:widowControl w:val="0"/>
        <w:autoSpaceDE w:val="0"/>
        <w:autoSpaceDN w:val="0"/>
        <w:adjustRightInd w:val="0"/>
        <w:spacing w:before="0" w:beforeAutospacing="0" w:after="0" w:afterAutospacing="0" w:line="276" w:lineRule="auto"/>
        <w:ind w:hanging="77"/>
        <w:contextualSpacing/>
        <w:rPr>
          <w:rFonts w:ascii="Tahoma" w:hAnsi="Tahoma" w:cs="Tahoma"/>
        </w:rPr>
      </w:pPr>
    </w:p>
    <w:p w14:paraId="51E412DE" w14:textId="77777777" w:rsidR="00564EF2" w:rsidRPr="00564EF2" w:rsidRDefault="00564EF2" w:rsidP="00564EF2">
      <w:pPr>
        <w:widowControl w:val="0"/>
        <w:autoSpaceDE w:val="0"/>
        <w:autoSpaceDN w:val="0"/>
        <w:adjustRightInd w:val="0"/>
        <w:spacing w:before="0" w:beforeAutospacing="0" w:after="0" w:afterAutospacing="0" w:line="276" w:lineRule="auto"/>
        <w:ind w:hanging="77"/>
        <w:contextualSpacing/>
        <w:rPr>
          <w:rFonts w:ascii="Tahoma" w:hAnsi="Tahoma" w:cs="Tahoma"/>
        </w:rPr>
      </w:pPr>
      <w:r w:rsidRPr="00564EF2">
        <w:rPr>
          <w:rFonts w:ascii="Tahoma" w:hAnsi="Tahoma" w:cs="Tahoma"/>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35B4A557" w14:textId="77777777" w:rsidR="00564EF2" w:rsidRPr="00564EF2" w:rsidRDefault="00564EF2" w:rsidP="00564EF2">
      <w:pPr>
        <w:widowControl w:val="0"/>
        <w:autoSpaceDE w:val="0"/>
        <w:autoSpaceDN w:val="0"/>
        <w:adjustRightInd w:val="0"/>
        <w:spacing w:before="0" w:beforeAutospacing="0" w:after="0" w:afterAutospacing="0" w:line="276" w:lineRule="auto"/>
        <w:ind w:hanging="77"/>
        <w:contextualSpacing/>
        <w:rPr>
          <w:rFonts w:ascii="Tahoma" w:hAnsi="Tahoma" w:cs="Tahoma"/>
        </w:rPr>
      </w:pPr>
    </w:p>
    <w:p w14:paraId="6E37DA83" w14:textId="77777777" w:rsidR="00564EF2" w:rsidRPr="00564EF2" w:rsidRDefault="00564EF2" w:rsidP="00564EF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564EF2">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6FC6C09C" w14:textId="77777777" w:rsidR="00564EF2" w:rsidRPr="00564EF2" w:rsidRDefault="00564EF2" w:rsidP="00564EF2">
      <w:pPr>
        <w:tabs>
          <w:tab w:val="left" w:pos="-1440"/>
          <w:tab w:val="left" w:pos="-720"/>
          <w:tab w:val="left" w:pos="5180"/>
        </w:tabs>
        <w:suppressAutoHyphens/>
        <w:spacing w:before="0" w:beforeAutospacing="0" w:after="0" w:afterAutospacing="0" w:line="276" w:lineRule="auto"/>
        <w:contextualSpacing/>
        <w:rPr>
          <w:rFonts w:ascii="Tahoma" w:hAnsi="Tahoma" w:cs="Tahoma"/>
        </w:rPr>
      </w:pPr>
    </w:p>
    <w:p w14:paraId="36D8059A" w14:textId="77777777" w:rsidR="00564EF2" w:rsidRPr="00564EF2" w:rsidRDefault="00564EF2" w:rsidP="00564EF2">
      <w:pPr>
        <w:widowControl w:val="0"/>
        <w:autoSpaceDE w:val="0"/>
        <w:autoSpaceDN w:val="0"/>
        <w:adjustRightInd w:val="0"/>
        <w:spacing w:before="0" w:beforeAutospacing="0" w:after="0" w:afterAutospacing="0" w:line="276" w:lineRule="auto"/>
        <w:ind w:firstLine="708"/>
        <w:contextualSpacing/>
        <w:rPr>
          <w:rFonts w:ascii="Tahoma" w:hAnsi="Tahoma" w:cs="Tahoma"/>
        </w:rPr>
      </w:pPr>
      <w:r w:rsidRPr="00564EF2">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2142A72" w14:textId="13D546C0" w:rsidR="00A460CA" w:rsidRPr="004D5BA3" w:rsidRDefault="00A460CA" w:rsidP="004D5BA3">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7807EAD2" w14:textId="77777777" w:rsidR="00610795" w:rsidRPr="004D5BA3" w:rsidRDefault="00610795" w:rsidP="004D5BA3">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4AAD2B09" w14:textId="77777777" w:rsidR="00A460CA" w:rsidRPr="004D5BA3" w:rsidRDefault="00A460CA" w:rsidP="004D5BA3">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D5BA3">
        <w:rPr>
          <w:rFonts w:ascii="Tahoma" w:eastAsia="Calibri" w:hAnsi="Tahoma" w:cs="Tahoma"/>
          <w:b/>
          <w:bCs/>
          <w:lang w:eastAsia="es-CO"/>
        </w:rPr>
        <w:t>Caso concreto</w:t>
      </w:r>
    </w:p>
    <w:p w14:paraId="7058C704"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8D7E0FD"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CDEF931"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0A97E2"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E716CBB"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64FB2E"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4D5BA3">
        <w:rPr>
          <w:rFonts w:ascii="Tahoma" w:eastAsia="Calibri" w:hAnsi="Tahoma" w:cs="Tahoma"/>
          <w:lang w:eastAsia="es-CO"/>
        </w:rPr>
        <w:lastRenderedPageBreak/>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4D5BA3">
        <w:rPr>
          <w:rFonts w:ascii="Tahoma" w:eastAsia="Calibri" w:hAnsi="Tahoma" w:cs="Tahoma"/>
          <w:b/>
          <w:bCs/>
          <w:lang w:eastAsia="es-CO"/>
        </w:rPr>
        <w:t>, acreditar haber transmitido a la parte actora la información concreta y cierta, acerca de la implicación del traslado de régimen pensional.</w:t>
      </w:r>
    </w:p>
    <w:p w14:paraId="2D04F05C"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185D70C"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En realidad, mínimo la AFP tendría que haber dado la siguiente información: </w:t>
      </w:r>
      <w:r w:rsidRPr="004D5BA3">
        <w:rPr>
          <w:rFonts w:ascii="Tahoma" w:eastAsia="Calibri" w:hAnsi="Tahoma" w:cs="Tahoma"/>
          <w:i/>
          <w:iCs/>
          <w:lang w:eastAsia="es-CO"/>
        </w:rPr>
        <w:t xml:space="preserve">i) </w:t>
      </w:r>
      <w:r w:rsidRPr="004D5BA3">
        <w:rPr>
          <w:rFonts w:ascii="Tahoma" w:eastAsia="Calibri" w:hAnsi="Tahoma" w:cs="Tahoma"/>
          <w:lang w:eastAsia="es-CO"/>
        </w:rPr>
        <w:t xml:space="preserve">Que, dependiendo del capital, puede pensionarse anticipadamente, esto es, antes de la edad mínima para la pensión de vejez. </w:t>
      </w:r>
      <w:r w:rsidRPr="004D5BA3">
        <w:rPr>
          <w:rFonts w:ascii="Tahoma" w:eastAsia="Calibri" w:hAnsi="Tahoma" w:cs="Tahoma"/>
          <w:i/>
          <w:iCs/>
          <w:lang w:eastAsia="es-CO"/>
        </w:rPr>
        <w:t xml:space="preserve">ii) </w:t>
      </w:r>
      <w:r w:rsidRPr="004D5BA3">
        <w:rPr>
          <w:rFonts w:ascii="Tahoma" w:eastAsia="Calibri" w:hAnsi="Tahoma" w:cs="Tahoma"/>
          <w:lang w:eastAsia="es-CO"/>
        </w:rPr>
        <w:t xml:space="preserve">La posibilidad para sus herederos de hacerse a la devolución de saldos, en caso de que no existieran beneficiaros para la pensión de sobrevivientes. </w:t>
      </w:r>
      <w:r w:rsidRPr="004D5BA3">
        <w:rPr>
          <w:rFonts w:ascii="Tahoma" w:eastAsia="Calibri" w:hAnsi="Tahoma" w:cs="Tahoma"/>
          <w:i/>
          <w:iCs/>
          <w:lang w:eastAsia="es-CO"/>
        </w:rPr>
        <w:t xml:space="preserve">iii) </w:t>
      </w:r>
      <w:r w:rsidRPr="004D5BA3">
        <w:rPr>
          <w:rFonts w:ascii="Tahoma" w:eastAsia="Calibri" w:hAnsi="Tahoma" w:cs="Tahoma"/>
          <w:lang w:eastAsia="es-CO"/>
        </w:rPr>
        <w:t xml:space="preserve">La devolución total del saldo en caso de no alcanzar a reunir el total de los requisitos legales para optar al beneficio pensional. </w:t>
      </w:r>
      <w:r w:rsidRPr="004D5BA3">
        <w:rPr>
          <w:rFonts w:ascii="Tahoma" w:eastAsia="Calibri" w:hAnsi="Tahoma" w:cs="Tahoma"/>
          <w:i/>
          <w:iCs/>
          <w:lang w:eastAsia="es-CO"/>
        </w:rPr>
        <w:t xml:space="preserve">iv) </w:t>
      </w:r>
      <w:r w:rsidRPr="004D5BA3">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4D5BA3">
        <w:rPr>
          <w:rFonts w:ascii="Tahoma" w:eastAsia="Calibri" w:hAnsi="Tahoma" w:cs="Tahoma"/>
          <w:i/>
          <w:iCs/>
          <w:lang w:eastAsia="es-CO"/>
        </w:rPr>
        <w:t xml:space="preserve">v) </w:t>
      </w:r>
      <w:r w:rsidRPr="004D5BA3">
        <w:rPr>
          <w:rFonts w:ascii="Tahoma" w:eastAsia="Calibri" w:hAnsi="Tahoma" w:cs="Tahoma"/>
          <w:lang w:eastAsia="es-CO"/>
        </w:rPr>
        <w:t xml:space="preserve">La posibilidad de que el reconocimiento de la pensión de vejez, una vez reunido los requisitos, se haga pronto. </w:t>
      </w:r>
      <w:r w:rsidRPr="004D5BA3">
        <w:rPr>
          <w:rFonts w:ascii="Tahoma" w:eastAsia="Calibri" w:hAnsi="Tahoma" w:cs="Tahoma"/>
          <w:i/>
          <w:iCs/>
          <w:lang w:eastAsia="es-CO"/>
        </w:rPr>
        <w:t xml:space="preserve">vi) </w:t>
      </w:r>
      <w:r w:rsidRPr="004D5BA3">
        <w:rPr>
          <w:rFonts w:ascii="Tahoma" w:eastAsia="Calibri" w:hAnsi="Tahoma" w:cs="Tahoma"/>
          <w:lang w:eastAsia="es-CO"/>
        </w:rPr>
        <w:t xml:space="preserve">La posibilidad de que sus aportes se conviertan en patrimonio </w:t>
      </w:r>
      <w:proofErr w:type="spellStart"/>
      <w:r w:rsidRPr="004D5BA3">
        <w:rPr>
          <w:rFonts w:ascii="Tahoma" w:eastAsia="Calibri" w:hAnsi="Tahoma" w:cs="Tahoma"/>
          <w:lang w:eastAsia="es-CO"/>
        </w:rPr>
        <w:t>sucesoral</w:t>
      </w:r>
      <w:proofErr w:type="spellEnd"/>
      <w:r w:rsidRPr="004D5BA3">
        <w:rPr>
          <w:rFonts w:ascii="Tahoma" w:eastAsia="Calibri" w:hAnsi="Tahoma" w:cs="Tahoma"/>
          <w:lang w:eastAsia="es-CO"/>
        </w:rPr>
        <w:t xml:space="preserve"> en un caso dado. </w:t>
      </w:r>
      <w:r w:rsidRPr="004D5BA3">
        <w:rPr>
          <w:rFonts w:ascii="Tahoma" w:eastAsia="Calibri" w:hAnsi="Tahoma" w:cs="Tahoma"/>
          <w:i/>
          <w:iCs/>
          <w:lang w:eastAsia="es-CO"/>
        </w:rPr>
        <w:t xml:space="preserve">vii) </w:t>
      </w:r>
      <w:r w:rsidRPr="004D5BA3">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4D5BA3">
        <w:rPr>
          <w:rFonts w:ascii="Tahoma" w:eastAsia="Calibri" w:hAnsi="Tahoma" w:cs="Tahoma"/>
          <w:i/>
          <w:iCs/>
          <w:lang w:eastAsia="es-CO"/>
        </w:rPr>
        <w:t>viii</w:t>
      </w:r>
      <w:proofErr w:type="spellEnd"/>
      <w:r w:rsidRPr="004D5BA3">
        <w:rPr>
          <w:rFonts w:ascii="Tahoma" w:eastAsia="Calibri" w:hAnsi="Tahoma" w:cs="Tahoma"/>
          <w:i/>
          <w:iCs/>
          <w:lang w:eastAsia="es-CO"/>
        </w:rPr>
        <w:t xml:space="preserve">) </w:t>
      </w:r>
      <w:r w:rsidRPr="004D5BA3">
        <w:rPr>
          <w:rFonts w:ascii="Tahoma" w:eastAsia="Calibri" w:hAnsi="Tahoma" w:cs="Tahoma"/>
          <w:lang w:eastAsia="es-CO"/>
        </w:rPr>
        <w:t xml:space="preserve">Los rendimientos financieros que le generen sus aportes abonados sobre el saldo de su cuenta de ahorro individual; y, </w:t>
      </w:r>
      <w:proofErr w:type="spellStart"/>
      <w:r w:rsidRPr="004D5BA3">
        <w:rPr>
          <w:rFonts w:ascii="Tahoma" w:eastAsia="Calibri" w:hAnsi="Tahoma" w:cs="Tahoma"/>
          <w:i/>
          <w:iCs/>
          <w:lang w:eastAsia="es-CO"/>
        </w:rPr>
        <w:t>ix</w:t>
      </w:r>
      <w:proofErr w:type="spellEnd"/>
      <w:r w:rsidRPr="004D5BA3">
        <w:rPr>
          <w:rFonts w:ascii="Tahoma" w:eastAsia="Calibri" w:hAnsi="Tahoma" w:cs="Tahoma"/>
          <w:i/>
          <w:iCs/>
          <w:lang w:eastAsia="es-CO"/>
        </w:rPr>
        <w:t xml:space="preserve">) </w:t>
      </w:r>
      <w:r w:rsidRPr="004D5BA3">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D5BA3">
        <w:rPr>
          <w:rFonts w:ascii="Tahoma" w:eastAsia="Calibri" w:hAnsi="Tahoma" w:cs="Tahoma"/>
          <w:lang w:eastAsia="es-CO"/>
        </w:rPr>
        <w:t>sucesoral</w:t>
      </w:r>
      <w:proofErr w:type="spellEnd"/>
      <w:r w:rsidRPr="004D5BA3">
        <w:rPr>
          <w:rFonts w:ascii="Tahoma" w:eastAsia="Calibri" w:hAnsi="Tahoma" w:cs="Tahoma"/>
          <w:lang w:eastAsia="es-CO"/>
        </w:rPr>
        <w:t xml:space="preserve">, pero le garantiza una pensión de por vida. La modalidad de </w:t>
      </w:r>
      <w:r w:rsidRPr="004D5BA3">
        <w:rPr>
          <w:rFonts w:ascii="Tahoma" w:eastAsia="Calibri" w:hAnsi="Tahoma" w:cs="Tahoma"/>
          <w:i/>
          <w:iCs/>
          <w:lang w:eastAsia="es-CO"/>
        </w:rPr>
        <w:t>retiro programado</w:t>
      </w:r>
      <w:r w:rsidRPr="004D5BA3">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697AC7A"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3C0C6F5" w14:textId="50857593" w:rsidR="00A460CA" w:rsidRPr="004D5BA3" w:rsidRDefault="00D16F4F"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Protección</w:t>
      </w:r>
      <w:r w:rsidR="00A460CA" w:rsidRPr="004D5BA3">
        <w:rPr>
          <w:rFonts w:ascii="Tahoma" w:eastAsia="Calibri" w:hAnsi="Tahoma" w:cs="Tahoma"/>
          <w:lang w:eastAsia="es-CO"/>
        </w:rPr>
        <w:t xml:space="preserve"> S.A. afirma en su contestación</w:t>
      </w:r>
      <w:r w:rsidR="00E74F7F" w:rsidRPr="004D5BA3">
        <w:rPr>
          <w:rFonts w:ascii="Tahoma" w:eastAsia="Calibri" w:hAnsi="Tahoma" w:cs="Tahoma"/>
          <w:lang w:eastAsia="es-CO"/>
        </w:rPr>
        <w:t xml:space="preserve"> y en su alzada</w:t>
      </w:r>
      <w:r w:rsidR="00A460CA" w:rsidRPr="004D5BA3">
        <w:rPr>
          <w:rFonts w:ascii="Tahoma" w:eastAsia="Calibri" w:hAnsi="Tahoma" w:cs="Tahoma"/>
          <w:lang w:eastAsia="es-CO"/>
        </w:rPr>
        <w:t xml:space="preserve">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59D8631"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731A978" w14:textId="77777777"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Con todo hay que indicar que como prueba del cumplimiento del deber de información y buen consejo, la AFP demandada llamó a declarar a su contraparte procesal, de cuya declaración, la Sala considera que nunca confesó que se le hubiera brindado una explicación pormenorizada de los pros y contras de su determinación, ni </w:t>
      </w:r>
      <w:r w:rsidRPr="004D5BA3">
        <w:rPr>
          <w:rFonts w:ascii="Tahoma" w:eastAsia="Calibri" w:hAnsi="Tahoma" w:cs="Tahoma"/>
          <w:lang w:eastAsia="es-CO"/>
        </w:rPr>
        <w:lastRenderedPageBreak/>
        <w:t>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es el formulario de afiliación suscrito por el promotor de la litis, pero dicho documento no logra evidenciar la información que se le brindó. En tal virtud se estima acertada la valoración probatoria efectuada por la operadora judicial de instancia.</w:t>
      </w:r>
    </w:p>
    <w:p w14:paraId="173F25C1"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9829B0" w14:textId="01969093"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En cuanto a las condenas impartidas a cargo de P</w:t>
      </w:r>
      <w:r w:rsidR="00B066CE" w:rsidRPr="004D5BA3">
        <w:rPr>
          <w:rFonts w:ascii="Tahoma" w:eastAsia="Calibri" w:hAnsi="Tahoma" w:cs="Tahoma"/>
          <w:lang w:eastAsia="es-CO"/>
        </w:rPr>
        <w:t>rotección</w:t>
      </w:r>
      <w:r w:rsidRPr="004D5BA3">
        <w:rPr>
          <w:rFonts w:ascii="Tahoma" w:eastAsia="Calibri" w:hAnsi="Tahoma" w:cs="Tahoma"/>
          <w:lang w:eastAsia="es-CO"/>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4843735" w14:textId="77777777" w:rsidR="00A460CA" w:rsidRPr="004D5BA3" w:rsidRDefault="00A460CA" w:rsidP="004D5BA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469FE0" w14:textId="1C430229" w:rsidR="00A460CA" w:rsidRPr="004D5BA3" w:rsidRDefault="00A460CA" w:rsidP="004D5BA3">
      <w:pPr>
        <w:spacing w:before="0" w:beforeAutospacing="0" w:after="0" w:afterAutospacing="0" w:line="276" w:lineRule="auto"/>
        <w:ind w:firstLine="644"/>
        <w:rPr>
          <w:rFonts w:ascii="Tahoma" w:eastAsia="Times New Roman" w:hAnsi="Tahoma" w:cs="Tahoma"/>
          <w:lang w:val="es-ES" w:eastAsia="es-ES"/>
        </w:rPr>
      </w:pPr>
      <w:r w:rsidRPr="004D5BA3">
        <w:rPr>
          <w:rFonts w:ascii="Tahoma" w:eastAsia="Times New Roman" w:hAnsi="Tahoma" w:cs="Tahoma"/>
          <w:lang w:val="es-ES" w:eastAsia="es-ES"/>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564EF2">
        <w:rPr>
          <w:rFonts w:ascii="Tahoma" w:eastAsia="Times New Roman" w:hAnsi="Tahoma" w:cs="Tahoma"/>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4D5BA3">
        <w:rPr>
          <w:rFonts w:ascii="Tahoma" w:eastAsia="Times New Roman" w:hAnsi="Tahoma" w:cs="Tahoma"/>
          <w:lang w:val="es-ES" w:eastAsia="es-ES"/>
        </w:rPr>
        <w:t>” (STL4759-2020).</w:t>
      </w:r>
    </w:p>
    <w:p w14:paraId="51B6A421" w14:textId="66C35988" w:rsidR="00FB0798" w:rsidRPr="004D5BA3" w:rsidRDefault="00FB0798" w:rsidP="004D5BA3">
      <w:pPr>
        <w:spacing w:before="0" w:beforeAutospacing="0" w:after="0" w:afterAutospacing="0" w:line="276" w:lineRule="auto"/>
        <w:ind w:firstLine="644"/>
        <w:rPr>
          <w:rFonts w:ascii="Tahoma" w:eastAsia="Times New Roman" w:hAnsi="Tahoma" w:cs="Tahoma"/>
          <w:lang w:val="es-ES" w:eastAsia="es-ES"/>
        </w:rPr>
      </w:pPr>
    </w:p>
    <w:p w14:paraId="370B8F83" w14:textId="77777777" w:rsidR="00FB0798" w:rsidRPr="004D5BA3" w:rsidRDefault="00FB0798" w:rsidP="004D5BA3">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r w:rsidRPr="004D5BA3">
        <w:rPr>
          <w:rFonts w:ascii="Tahoma" w:hAnsi="Tahoma" w:cs="Tahoma"/>
          <w:color w:val="000000" w:themeColor="text1"/>
          <w:spacing w:val="-2"/>
          <w:lang w:eastAsia="es-ES"/>
        </w:rPr>
        <w:t>En este punto, conviene recordar que, la Sala de Casación Laboral</w:t>
      </w:r>
      <w:r w:rsidRPr="004D5BA3">
        <w:rPr>
          <w:rStyle w:val="Refdenotaalpie"/>
          <w:rFonts w:ascii="Tahoma" w:hAnsi="Tahoma" w:cs="Tahoma"/>
          <w:color w:val="000000" w:themeColor="text1"/>
          <w:spacing w:val="-2"/>
          <w:lang w:eastAsia="es-ES"/>
        </w:rPr>
        <w:footnoteReference w:id="6"/>
      </w:r>
      <w:r w:rsidRPr="004D5BA3">
        <w:rPr>
          <w:rFonts w:ascii="Tahoma" w:hAnsi="Tahoma" w:cs="Tahoma"/>
          <w:color w:val="000000" w:themeColor="text1"/>
          <w:spacing w:val="-2"/>
          <w:lang w:eastAsia="es-ES"/>
        </w:rPr>
        <w:t xml:space="preserve"> manifestó que los actos u omisiones posteriores del afiliado,  como el de no retornar al régimen de prima media con prestación definida en la oportunidad legal prevista para ello o trasladarse entre fondos privados, no convalidan el incumplimiento del deber de información de la AFP, tales actuaciones  del afiliado se da de manera posterior, de manera que, dejan intactos los hechos u omisiones que anteceden a la declaratoria de ineficacia.</w:t>
      </w:r>
    </w:p>
    <w:p w14:paraId="7491D5B2" w14:textId="77777777" w:rsidR="002F4E79" w:rsidRPr="004D5BA3" w:rsidRDefault="002F4E79" w:rsidP="004D5BA3">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634579BD" w14:textId="359E624A" w:rsidR="00B066CE" w:rsidRPr="004D5BA3" w:rsidRDefault="00A460CA" w:rsidP="004D5BA3">
      <w:pPr>
        <w:spacing w:before="0" w:beforeAutospacing="0" w:after="0" w:afterAutospacing="0" w:line="276" w:lineRule="auto"/>
        <w:ind w:firstLine="709"/>
        <w:rPr>
          <w:rFonts w:ascii="Tahoma" w:eastAsia="Tahoma" w:hAnsi="Tahoma" w:cs="Tahoma"/>
          <w:color w:val="000000" w:themeColor="text1"/>
          <w:lang w:val="es-ES" w:eastAsia="es-MX"/>
        </w:rPr>
      </w:pPr>
      <w:r w:rsidRPr="004D5BA3">
        <w:rPr>
          <w:rFonts w:ascii="Tahoma" w:eastAsia="Tahoma" w:hAnsi="Tahoma" w:cs="Tahoma"/>
          <w:lang w:val="es-ES" w:eastAsia="es-MX"/>
        </w:rPr>
        <w:t xml:space="preserve">De otro lado, respecto a la solicitud de la AFP </w:t>
      </w:r>
      <w:r w:rsidR="00B066CE" w:rsidRPr="004D5BA3">
        <w:rPr>
          <w:rFonts w:ascii="Tahoma" w:eastAsia="Tahoma" w:hAnsi="Tahoma" w:cs="Tahoma"/>
          <w:lang w:val="es-ES" w:eastAsia="es-MX"/>
        </w:rPr>
        <w:t>Protección</w:t>
      </w:r>
      <w:r w:rsidRPr="004D5BA3">
        <w:rPr>
          <w:rFonts w:ascii="Tahoma" w:eastAsia="Tahoma" w:hAnsi="Tahoma" w:cs="Tahoma"/>
          <w:lang w:val="es-ES" w:eastAsia="es-MX"/>
        </w:rPr>
        <w:t xml:space="preserve"> S.A., que no se le condene en costas, bajo el argumento de que se cumplió con los requisitos legales </w:t>
      </w:r>
      <w:r w:rsidRPr="004D5BA3">
        <w:rPr>
          <w:rFonts w:ascii="Tahoma" w:eastAsia="Tahoma" w:hAnsi="Tahoma" w:cs="Tahoma"/>
          <w:lang w:val="es-ES" w:eastAsia="es-MX"/>
        </w:rPr>
        <w:lastRenderedPageBreak/>
        <w:t xml:space="preserve">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w:t>
      </w:r>
      <w:r w:rsidRPr="004D5BA3">
        <w:rPr>
          <w:rFonts w:ascii="Tahoma" w:eastAsia="Tahoma" w:hAnsi="Tahoma" w:cs="Tahoma"/>
          <w:color w:val="000000" w:themeColor="text1"/>
          <w:lang w:val="es-ES" w:eastAsia="es-MX"/>
        </w:rPr>
        <w:t>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182D8208" w14:textId="24E23BE2" w:rsidR="00C80CE3" w:rsidRPr="004D5BA3" w:rsidRDefault="00C80CE3" w:rsidP="004D5BA3">
      <w:pPr>
        <w:spacing w:before="0" w:beforeAutospacing="0" w:after="0" w:afterAutospacing="0" w:line="276" w:lineRule="auto"/>
        <w:ind w:firstLine="709"/>
        <w:rPr>
          <w:rFonts w:ascii="Tahoma" w:eastAsia="Tahoma" w:hAnsi="Tahoma" w:cs="Tahoma"/>
          <w:color w:val="000000" w:themeColor="text1"/>
          <w:lang w:val="es-ES" w:eastAsia="es-MX"/>
        </w:rPr>
      </w:pPr>
    </w:p>
    <w:p w14:paraId="162011D0" w14:textId="62C86788" w:rsidR="00C80CE3" w:rsidRPr="004D5BA3" w:rsidRDefault="00C80CE3" w:rsidP="004D5BA3">
      <w:pPr>
        <w:widowControl w:val="0"/>
        <w:autoSpaceDE w:val="0"/>
        <w:autoSpaceDN w:val="0"/>
        <w:adjustRightInd w:val="0"/>
        <w:spacing w:before="0" w:beforeAutospacing="0" w:after="0" w:afterAutospacing="0" w:line="276" w:lineRule="auto"/>
        <w:rPr>
          <w:rFonts w:ascii="Tahoma" w:eastAsia="Calibri" w:hAnsi="Tahoma" w:cs="Tahoma"/>
        </w:rPr>
      </w:pPr>
      <w:r w:rsidRPr="004D5BA3">
        <w:rPr>
          <w:rFonts w:ascii="Tahoma" w:eastAsia="Calibri" w:hAnsi="Tahoma" w:cs="Tahoma"/>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3D38C651" w14:textId="77777777" w:rsidR="00610795" w:rsidRPr="004D5BA3" w:rsidRDefault="00610795" w:rsidP="004D5BA3">
      <w:pPr>
        <w:widowControl w:val="0"/>
        <w:autoSpaceDE w:val="0"/>
        <w:autoSpaceDN w:val="0"/>
        <w:adjustRightInd w:val="0"/>
        <w:spacing w:before="0" w:beforeAutospacing="0" w:after="0" w:afterAutospacing="0" w:line="276" w:lineRule="auto"/>
        <w:rPr>
          <w:rFonts w:ascii="Tahoma" w:eastAsia="Calibri" w:hAnsi="Tahoma" w:cs="Tahoma"/>
        </w:rPr>
      </w:pPr>
    </w:p>
    <w:p w14:paraId="2A94FFCD" w14:textId="461CD935" w:rsidR="00B066CE" w:rsidRPr="004D5BA3" w:rsidRDefault="00B066CE" w:rsidP="004D5BA3">
      <w:pPr>
        <w:spacing w:before="0" w:beforeAutospacing="0" w:after="0" w:afterAutospacing="0" w:line="276" w:lineRule="auto"/>
        <w:ind w:firstLine="708"/>
        <w:rPr>
          <w:rFonts w:ascii="Tahoma" w:eastAsia="Tahoma" w:hAnsi="Tahoma" w:cs="Tahoma"/>
        </w:rPr>
      </w:pPr>
      <w:r w:rsidRPr="004D5BA3">
        <w:rPr>
          <w:rFonts w:ascii="Tahoma" w:eastAsia="Tahoma" w:hAnsi="Tahoma" w:cs="Tahoma"/>
        </w:rPr>
        <w:t>En torno a la manifestación que hace Colpensiones, referente a que al existir</w:t>
      </w:r>
      <w:r w:rsidR="00BB5FDC" w:rsidRPr="004D5BA3">
        <w:rPr>
          <w:rFonts w:ascii="Tahoma" w:eastAsia="Tahoma" w:hAnsi="Tahoma" w:cs="Tahoma"/>
        </w:rPr>
        <w:t xml:space="preserve"> </w:t>
      </w:r>
      <w:r w:rsidRPr="004D5BA3">
        <w:rPr>
          <w:rFonts w:ascii="Tahoma" w:eastAsia="Tahoma" w:hAnsi="Tahoma" w:cs="Tahoma"/>
        </w:rPr>
        <w:t>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5BC5A08B" w14:textId="77777777" w:rsidR="00610795" w:rsidRPr="004D5BA3" w:rsidRDefault="00610795" w:rsidP="004D5BA3">
      <w:pPr>
        <w:spacing w:before="0" w:beforeAutospacing="0" w:after="0" w:afterAutospacing="0" w:line="276" w:lineRule="auto"/>
        <w:ind w:firstLine="708"/>
        <w:rPr>
          <w:rFonts w:ascii="Tahoma" w:eastAsia="Tahoma" w:hAnsi="Tahoma" w:cs="Tahoma"/>
        </w:rPr>
      </w:pPr>
    </w:p>
    <w:p w14:paraId="31262E58" w14:textId="47ACC99D" w:rsidR="00B066CE" w:rsidRPr="004D5BA3" w:rsidRDefault="00B066CE" w:rsidP="004D5BA3">
      <w:pPr>
        <w:widowControl w:val="0"/>
        <w:autoSpaceDE w:val="0"/>
        <w:autoSpaceDN w:val="0"/>
        <w:adjustRightInd w:val="0"/>
        <w:spacing w:before="0" w:beforeAutospacing="0" w:after="0" w:afterAutospacing="0" w:line="276" w:lineRule="auto"/>
        <w:ind w:firstLine="708"/>
        <w:rPr>
          <w:rFonts w:ascii="Tahoma" w:eastAsia="Calibri" w:hAnsi="Tahoma" w:cs="Tahoma"/>
        </w:rPr>
      </w:pPr>
      <w:r w:rsidRPr="004D5BA3">
        <w:rPr>
          <w:rFonts w:ascii="Tahoma" w:eastAsia="Calibri" w:hAnsi="Tahoma" w:cs="Tahoma"/>
        </w:rPr>
        <w:t>Importa precisar que como la declaratoria de ineficacia trae como consecuencia que las cosas se reestablezcan al estado en el que se encontraban al momento del traslado de régimen, fue acertada la determinación de la A-quo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4ABF7310" w14:textId="77777777" w:rsidR="00610795" w:rsidRPr="004D5BA3" w:rsidRDefault="00610795" w:rsidP="004D5BA3">
      <w:pPr>
        <w:widowControl w:val="0"/>
        <w:autoSpaceDE w:val="0"/>
        <w:autoSpaceDN w:val="0"/>
        <w:adjustRightInd w:val="0"/>
        <w:spacing w:before="0" w:beforeAutospacing="0" w:after="0" w:afterAutospacing="0" w:line="276" w:lineRule="auto"/>
        <w:ind w:firstLine="708"/>
        <w:rPr>
          <w:rFonts w:ascii="Tahoma" w:eastAsia="Calibri" w:hAnsi="Tahoma" w:cs="Tahoma"/>
        </w:rPr>
      </w:pPr>
    </w:p>
    <w:p w14:paraId="494825FD" w14:textId="03EBC4EB" w:rsidR="005D4FCE" w:rsidRPr="004D5BA3" w:rsidRDefault="00934C9F" w:rsidP="004D5BA3">
      <w:pPr>
        <w:widowControl w:val="0"/>
        <w:autoSpaceDE w:val="0"/>
        <w:autoSpaceDN w:val="0"/>
        <w:adjustRightInd w:val="0"/>
        <w:spacing w:before="0" w:beforeAutospacing="0" w:after="0" w:afterAutospacing="0" w:line="276" w:lineRule="auto"/>
        <w:ind w:firstLine="708"/>
        <w:rPr>
          <w:rFonts w:ascii="Tahoma" w:eastAsia="Calibri" w:hAnsi="Tahoma" w:cs="Tahoma"/>
        </w:rPr>
      </w:pPr>
      <w:r w:rsidRPr="004D5BA3">
        <w:rPr>
          <w:rFonts w:ascii="Tahoma" w:eastAsia="Calibri" w:hAnsi="Tahoma" w:cs="Tahoma"/>
        </w:rPr>
        <w:t xml:space="preserve">Finalmente, se reconocerá personería jurídica a la Dra. </w:t>
      </w:r>
      <w:r w:rsidRPr="004D5BA3">
        <w:rPr>
          <w:rFonts w:ascii="Tahoma" w:eastAsia="Calibri" w:hAnsi="Tahoma" w:cs="Tahoma"/>
          <w:b/>
        </w:rPr>
        <w:t>Mariluz Gallego Bedoya</w:t>
      </w:r>
      <w:r w:rsidRPr="004D5BA3">
        <w:rPr>
          <w:rFonts w:ascii="Tahoma" w:eastAsia="Calibri" w:hAnsi="Tahoma" w:cs="Tahoma"/>
          <w:bCs/>
        </w:rPr>
        <w:t>,</w:t>
      </w:r>
      <w:r w:rsidRPr="004D5BA3">
        <w:rPr>
          <w:rFonts w:ascii="Tahoma" w:eastAsia="Calibri" w:hAnsi="Tahoma" w:cs="Tahoma"/>
          <w:b/>
          <w:bCs/>
        </w:rPr>
        <w:t xml:space="preserve"> </w:t>
      </w:r>
      <w:r w:rsidRPr="004D5BA3">
        <w:rPr>
          <w:rFonts w:ascii="Tahoma" w:eastAsia="Calibri" w:hAnsi="Tahoma" w:cs="Tahoma"/>
        </w:rPr>
        <w:t>identificada con la</w:t>
      </w:r>
      <w:r w:rsidRPr="004D5BA3">
        <w:rPr>
          <w:rFonts w:ascii="Tahoma" w:eastAsia="Calibri" w:hAnsi="Tahoma" w:cs="Tahoma"/>
          <w:b/>
          <w:bCs/>
        </w:rPr>
        <w:t xml:space="preserve"> </w:t>
      </w:r>
      <w:r w:rsidRPr="004D5BA3">
        <w:rPr>
          <w:rFonts w:ascii="Tahoma" w:eastAsia="Calibri" w:hAnsi="Tahoma" w:cs="Tahoma"/>
        </w:rPr>
        <w:t xml:space="preserve">Cédula de ciudadanía No. 52.406.928 de Bogotá D.C. y Tarjeta profesional No. 227.045 del Consejo Superior de la Judicatura, quien allegó la sustitución de poder que le hiciera el Dr. </w:t>
      </w:r>
      <w:r w:rsidRPr="004D5BA3">
        <w:rPr>
          <w:rFonts w:ascii="Tahoma" w:eastAsia="Calibri" w:hAnsi="Tahoma" w:cs="Tahoma"/>
          <w:b/>
          <w:bCs/>
        </w:rPr>
        <w:t>Miguel Ángel Ramírez Gaitán</w:t>
      </w:r>
      <w:r w:rsidRPr="004D5BA3">
        <w:rPr>
          <w:rFonts w:ascii="Tahoma" w:eastAsia="Calibri" w:hAnsi="Tahoma" w:cs="Tahoma"/>
        </w:rPr>
        <w:t>, apoderado especial de Colpensiones.</w:t>
      </w:r>
    </w:p>
    <w:p w14:paraId="06EE164F" w14:textId="77777777" w:rsidR="00610795" w:rsidRPr="004D5BA3" w:rsidRDefault="00610795" w:rsidP="004D5BA3">
      <w:pPr>
        <w:widowControl w:val="0"/>
        <w:autoSpaceDE w:val="0"/>
        <w:autoSpaceDN w:val="0"/>
        <w:adjustRightInd w:val="0"/>
        <w:spacing w:before="0" w:beforeAutospacing="0" w:after="0" w:afterAutospacing="0" w:line="276" w:lineRule="auto"/>
        <w:ind w:firstLine="708"/>
        <w:rPr>
          <w:rFonts w:ascii="Tahoma" w:eastAsia="Calibri" w:hAnsi="Tahoma" w:cs="Tahoma"/>
        </w:rPr>
      </w:pPr>
    </w:p>
    <w:p w14:paraId="71441CE7" w14:textId="4BAC06D9" w:rsidR="00A460CA" w:rsidRPr="004D5BA3" w:rsidRDefault="00A460CA" w:rsidP="004D5BA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D5BA3">
        <w:rPr>
          <w:rFonts w:ascii="Tahoma" w:eastAsia="Calibri" w:hAnsi="Tahoma" w:cs="Tahoma"/>
          <w:lang w:eastAsia="es-CO"/>
        </w:rPr>
        <w:t xml:space="preserve">En esta instancia de conformidad a lo consagrado en el artículo 365 del CGP, se condenará en costas procesales a </w:t>
      </w:r>
      <w:r w:rsidR="00BB5FDC" w:rsidRPr="004D5BA3">
        <w:rPr>
          <w:rFonts w:ascii="Tahoma" w:eastAsia="Calibri" w:hAnsi="Tahoma" w:cs="Tahoma"/>
          <w:lang w:eastAsia="es-CO"/>
        </w:rPr>
        <w:t xml:space="preserve">Protección </w:t>
      </w:r>
      <w:r w:rsidRPr="004D5BA3">
        <w:rPr>
          <w:rFonts w:ascii="Tahoma" w:eastAsia="Calibri" w:hAnsi="Tahoma" w:cs="Tahoma"/>
          <w:lang w:eastAsia="es-CO"/>
        </w:rPr>
        <w:t xml:space="preserve">S.A y Colpensiones a favor de la parte actora, las cuales se liquidarán por la secretaría del juzgado de origen. </w:t>
      </w:r>
    </w:p>
    <w:p w14:paraId="5D15AB40" w14:textId="77777777" w:rsidR="00A460CA" w:rsidRPr="004D5BA3" w:rsidRDefault="00A460CA" w:rsidP="004D5BA3">
      <w:pPr>
        <w:spacing w:before="0" w:beforeAutospacing="0" w:after="0" w:afterAutospacing="0" w:line="276" w:lineRule="auto"/>
        <w:ind w:firstLine="284"/>
        <w:rPr>
          <w:rFonts w:ascii="Tahoma" w:eastAsia="Tahoma" w:hAnsi="Tahoma" w:cs="Tahoma"/>
          <w:lang w:eastAsia="es-CO"/>
        </w:rPr>
      </w:pPr>
    </w:p>
    <w:p w14:paraId="23578E4B" w14:textId="77777777" w:rsidR="00A460CA" w:rsidRPr="004D5BA3" w:rsidRDefault="00A460CA" w:rsidP="004D5BA3">
      <w:pPr>
        <w:spacing w:before="0" w:beforeAutospacing="0" w:after="0" w:afterAutospacing="0" w:line="276" w:lineRule="auto"/>
        <w:ind w:firstLine="708"/>
        <w:rPr>
          <w:rFonts w:ascii="Tahoma" w:eastAsia="Tahoma" w:hAnsi="Tahoma" w:cs="Tahoma"/>
          <w:lang w:eastAsia="es-CO"/>
        </w:rPr>
      </w:pPr>
      <w:r w:rsidRPr="004D5BA3">
        <w:rPr>
          <w:rFonts w:ascii="Tahoma" w:eastAsia="Tahoma" w:hAnsi="Tahoma" w:cs="Tahoma"/>
          <w:lang w:eastAsia="es-CO"/>
        </w:rPr>
        <w:t xml:space="preserve">En mérito de lo expuesto, el </w:t>
      </w:r>
      <w:r w:rsidRPr="004D5BA3">
        <w:rPr>
          <w:rFonts w:ascii="Tahoma" w:eastAsia="Tahoma" w:hAnsi="Tahoma" w:cs="Tahoma"/>
          <w:b/>
          <w:bCs/>
          <w:lang w:eastAsia="es-CO"/>
        </w:rPr>
        <w:t>Tribunal Superior del Distrito Judicial de Pereira - Risaralda, Sala Primera de Decisión Laboral,</w:t>
      </w:r>
      <w:r w:rsidRPr="004D5BA3">
        <w:rPr>
          <w:rFonts w:ascii="Tahoma" w:eastAsia="Tahoma" w:hAnsi="Tahoma" w:cs="Tahoma"/>
          <w:lang w:eastAsia="es-CO"/>
        </w:rPr>
        <w:t xml:space="preserve"> administrando justicia en nombre de la República y por autoridad de la ley,</w:t>
      </w:r>
    </w:p>
    <w:p w14:paraId="1AEF15D7" w14:textId="61259B57" w:rsidR="00BB5FDC" w:rsidRPr="004D5BA3" w:rsidRDefault="00BB5FDC" w:rsidP="004D5BA3">
      <w:pPr>
        <w:spacing w:before="0" w:beforeAutospacing="0" w:after="0" w:afterAutospacing="0" w:line="276" w:lineRule="auto"/>
        <w:ind w:firstLine="644"/>
        <w:rPr>
          <w:rFonts w:ascii="Tahoma" w:eastAsia="Tahoma" w:hAnsi="Tahoma" w:cs="Tahoma"/>
          <w:lang w:eastAsia="es-CO"/>
        </w:rPr>
      </w:pPr>
    </w:p>
    <w:p w14:paraId="7AC54852" w14:textId="77777777" w:rsidR="00BB5FDC" w:rsidRPr="004D5BA3" w:rsidRDefault="00BB5FDC" w:rsidP="004D5BA3">
      <w:pPr>
        <w:spacing w:before="0" w:beforeAutospacing="0" w:after="0" w:afterAutospacing="0" w:line="276" w:lineRule="auto"/>
        <w:ind w:firstLine="644"/>
        <w:rPr>
          <w:rFonts w:ascii="Tahoma" w:eastAsia="Tahoma" w:hAnsi="Tahoma" w:cs="Tahoma"/>
          <w:lang w:eastAsia="es-CO"/>
        </w:rPr>
      </w:pPr>
    </w:p>
    <w:p w14:paraId="5C9C8A2C" w14:textId="185BB233" w:rsidR="0099779A" w:rsidRDefault="00A460CA" w:rsidP="004D5BA3">
      <w:pPr>
        <w:spacing w:before="0" w:beforeAutospacing="0" w:after="0" w:afterAutospacing="0" w:line="276" w:lineRule="auto"/>
        <w:ind w:firstLine="284"/>
        <w:jc w:val="center"/>
        <w:rPr>
          <w:rFonts w:ascii="Tahoma" w:eastAsia="Tahoma" w:hAnsi="Tahoma" w:cs="Tahoma"/>
          <w:b/>
          <w:bCs/>
          <w:color w:val="000000" w:themeColor="text1"/>
          <w:lang w:eastAsia="es-CO"/>
        </w:rPr>
      </w:pPr>
      <w:r w:rsidRPr="004D5BA3">
        <w:rPr>
          <w:rFonts w:ascii="Tahoma" w:eastAsia="Tahoma" w:hAnsi="Tahoma" w:cs="Tahoma"/>
          <w:b/>
          <w:bCs/>
          <w:color w:val="000000" w:themeColor="text1"/>
          <w:lang w:eastAsia="es-CO"/>
        </w:rPr>
        <w:t>RESUELVE</w:t>
      </w:r>
    </w:p>
    <w:p w14:paraId="10D00C6C" w14:textId="58CFDAA5" w:rsidR="00564EF2" w:rsidRDefault="00564EF2" w:rsidP="00564EF2">
      <w:pPr>
        <w:spacing w:before="0" w:beforeAutospacing="0" w:after="0" w:afterAutospacing="0" w:line="276" w:lineRule="auto"/>
        <w:ind w:firstLine="284"/>
        <w:rPr>
          <w:rFonts w:ascii="Tahoma" w:eastAsia="Tahoma" w:hAnsi="Tahoma" w:cs="Tahoma"/>
          <w:color w:val="000000" w:themeColor="text1"/>
          <w:lang w:eastAsia="es-CO"/>
        </w:rPr>
      </w:pPr>
    </w:p>
    <w:p w14:paraId="3903D24B" w14:textId="77777777" w:rsidR="00B003A9" w:rsidRPr="004D5BA3" w:rsidRDefault="00B003A9" w:rsidP="00564EF2">
      <w:pPr>
        <w:spacing w:before="0" w:beforeAutospacing="0" w:after="0" w:afterAutospacing="0" w:line="276" w:lineRule="auto"/>
        <w:ind w:firstLine="284"/>
        <w:rPr>
          <w:rFonts w:ascii="Tahoma" w:eastAsia="Tahoma" w:hAnsi="Tahoma" w:cs="Tahoma"/>
          <w:color w:val="000000" w:themeColor="text1"/>
          <w:lang w:eastAsia="es-CO"/>
        </w:rPr>
      </w:pPr>
    </w:p>
    <w:p w14:paraId="0EA0EC60" w14:textId="18794010" w:rsidR="00825FE3" w:rsidRDefault="00825FE3" w:rsidP="004D5BA3">
      <w:pPr>
        <w:spacing w:before="0" w:beforeAutospacing="0" w:after="0" w:afterAutospacing="0" w:line="276" w:lineRule="auto"/>
        <w:ind w:firstLine="644"/>
        <w:rPr>
          <w:rFonts w:ascii="Tahoma" w:eastAsia="Tahoma" w:hAnsi="Tahoma" w:cs="Tahoma"/>
          <w:lang w:eastAsia="es-ES"/>
        </w:rPr>
      </w:pPr>
      <w:r w:rsidRPr="004D5BA3">
        <w:rPr>
          <w:rFonts w:ascii="Tahoma" w:eastAsia="Tahoma" w:hAnsi="Tahoma" w:cs="Tahoma"/>
          <w:b/>
          <w:bCs/>
          <w:lang w:eastAsia="es-ES"/>
        </w:rPr>
        <w:t>PRIMERO: CONFIRMAR</w:t>
      </w:r>
      <w:r w:rsidRPr="004D5BA3">
        <w:rPr>
          <w:rFonts w:ascii="Tahoma" w:eastAsia="Tahoma" w:hAnsi="Tahoma" w:cs="Tahoma"/>
          <w:lang w:eastAsia="es-ES"/>
        </w:rPr>
        <w:t xml:space="preserve"> la sentencia proferida por el Juzgado Primero Laboral de Circuito de Pereira el 27 de mayo de 2022 dentro del proceso de la referencia, por las razones expuestas en la parte motiva de esta providencia.</w:t>
      </w:r>
    </w:p>
    <w:p w14:paraId="7E9B5B75" w14:textId="77777777" w:rsidR="00564EF2" w:rsidRPr="004D5BA3" w:rsidRDefault="00564EF2" w:rsidP="004D5BA3">
      <w:pPr>
        <w:spacing w:before="0" w:beforeAutospacing="0" w:after="0" w:afterAutospacing="0" w:line="276" w:lineRule="auto"/>
        <w:ind w:firstLine="644"/>
        <w:rPr>
          <w:rFonts w:ascii="Tahoma" w:eastAsia="Tahoma" w:hAnsi="Tahoma" w:cs="Tahoma"/>
          <w:lang w:eastAsia="es-ES"/>
        </w:rPr>
      </w:pPr>
    </w:p>
    <w:p w14:paraId="4E98CE87" w14:textId="0180D61A" w:rsidR="00825FE3" w:rsidRDefault="00825FE3" w:rsidP="004D5BA3">
      <w:pPr>
        <w:spacing w:before="0" w:beforeAutospacing="0" w:after="0" w:afterAutospacing="0" w:line="276" w:lineRule="auto"/>
        <w:ind w:firstLine="644"/>
        <w:rPr>
          <w:rFonts w:ascii="Tahoma" w:eastAsia="Tahoma" w:hAnsi="Tahoma" w:cs="Tahoma"/>
          <w:lang w:eastAsia="es-ES"/>
        </w:rPr>
      </w:pPr>
      <w:r w:rsidRPr="004D5BA3">
        <w:rPr>
          <w:rFonts w:ascii="Tahoma" w:eastAsia="Tahoma" w:hAnsi="Tahoma" w:cs="Tahoma"/>
          <w:b/>
          <w:bCs/>
          <w:lang w:eastAsia="es-ES"/>
        </w:rPr>
        <w:t>SEGUNDO</w:t>
      </w:r>
      <w:r w:rsidRPr="004D5BA3">
        <w:rPr>
          <w:rFonts w:ascii="Tahoma" w:eastAsia="Tahoma" w:hAnsi="Tahoma" w:cs="Tahoma"/>
          <w:lang w:eastAsia="es-ES"/>
        </w:rPr>
        <w:t xml:space="preserve">: </w:t>
      </w:r>
      <w:r w:rsidRPr="004D5BA3">
        <w:rPr>
          <w:rFonts w:ascii="Tahoma" w:eastAsia="Tahoma" w:hAnsi="Tahoma" w:cs="Tahoma"/>
          <w:b/>
          <w:bCs/>
          <w:lang w:eastAsia="es-ES"/>
        </w:rPr>
        <w:t>CONDENAR</w:t>
      </w:r>
      <w:r w:rsidRPr="004D5BA3">
        <w:rPr>
          <w:rFonts w:ascii="Tahoma" w:eastAsia="Tahoma" w:hAnsi="Tahoma" w:cs="Tahoma"/>
          <w:lang w:eastAsia="es-ES"/>
        </w:rPr>
        <w:t xml:space="preserve"> en costas de segunda instancia a </w:t>
      </w:r>
      <w:r w:rsidRPr="004D5BA3">
        <w:rPr>
          <w:rFonts w:ascii="Tahoma" w:hAnsi="Tahoma" w:cs="Tahoma"/>
          <w:bCs/>
        </w:rPr>
        <w:t>Protección S.A.</w:t>
      </w:r>
      <w:r w:rsidRPr="004D5BA3">
        <w:rPr>
          <w:rFonts w:ascii="Tahoma" w:eastAsia="Tahoma" w:hAnsi="Tahoma" w:cs="Tahoma"/>
          <w:lang w:eastAsia="es-ES"/>
        </w:rPr>
        <w:t xml:space="preserve"> y a Colpensiones a favor de la parte demandante, las cuales se liquidarán por el juzgado de origen.</w:t>
      </w:r>
    </w:p>
    <w:p w14:paraId="46A24E01" w14:textId="77777777" w:rsidR="00B003A9" w:rsidRPr="004D5BA3" w:rsidRDefault="00B003A9" w:rsidP="004D5BA3">
      <w:pPr>
        <w:spacing w:before="0" w:beforeAutospacing="0" w:after="0" w:afterAutospacing="0" w:line="276" w:lineRule="auto"/>
        <w:ind w:firstLine="644"/>
        <w:rPr>
          <w:rFonts w:ascii="Tahoma" w:eastAsia="Tahoma" w:hAnsi="Tahoma" w:cs="Tahoma"/>
          <w:lang w:eastAsia="es-ES"/>
        </w:rPr>
      </w:pPr>
    </w:p>
    <w:p w14:paraId="1F5B0466" w14:textId="11A0B977" w:rsidR="008D1418" w:rsidRPr="004D5BA3" w:rsidRDefault="00825FE3" w:rsidP="004D5BA3">
      <w:pPr>
        <w:spacing w:before="0" w:beforeAutospacing="0" w:after="0" w:afterAutospacing="0" w:line="276" w:lineRule="auto"/>
        <w:textAlignment w:val="baseline"/>
        <w:rPr>
          <w:rFonts w:ascii="Tahoma" w:eastAsia="Tahoma" w:hAnsi="Tahoma" w:cs="Tahoma"/>
          <w:lang w:val="es-ES"/>
        </w:rPr>
      </w:pPr>
      <w:r w:rsidRPr="004D5BA3">
        <w:rPr>
          <w:rFonts w:ascii="Tahoma" w:eastAsia="Tahoma" w:hAnsi="Tahoma" w:cs="Tahoma"/>
          <w:b/>
        </w:rPr>
        <w:t>TERCERO</w:t>
      </w:r>
      <w:r w:rsidRPr="004D5BA3">
        <w:rPr>
          <w:rFonts w:ascii="Tahoma" w:eastAsia="Tahoma" w:hAnsi="Tahoma" w:cs="Tahoma"/>
          <w:lang w:val="es-ES"/>
        </w:rPr>
        <w:t xml:space="preserve">: </w:t>
      </w:r>
      <w:r w:rsidR="00B003A9">
        <w:rPr>
          <w:rFonts w:ascii="Tahoma" w:eastAsia="Calibri" w:hAnsi="Tahoma" w:cs="Tahoma"/>
        </w:rPr>
        <w:t>(…)</w:t>
      </w:r>
    </w:p>
    <w:p w14:paraId="09815305" w14:textId="77777777" w:rsidR="00CC682A" w:rsidRPr="00CC682A" w:rsidRDefault="00CC682A" w:rsidP="00CC682A">
      <w:pPr>
        <w:spacing w:before="0" w:beforeAutospacing="0" w:after="0" w:afterAutospacing="0" w:line="276" w:lineRule="auto"/>
        <w:ind w:firstLine="0"/>
        <w:jc w:val="left"/>
        <w:rPr>
          <w:rFonts w:ascii="Tahoma" w:eastAsia="Tahoma" w:hAnsi="Tahoma" w:cs="Tahoma"/>
          <w:lang w:val="es-ES" w:eastAsia="es-CO"/>
        </w:rPr>
      </w:pPr>
    </w:p>
    <w:p w14:paraId="415A9173" w14:textId="77777777" w:rsidR="00CC682A" w:rsidRPr="00CC682A" w:rsidRDefault="00CC682A" w:rsidP="00CC682A">
      <w:pPr>
        <w:spacing w:before="0" w:beforeAutospacing="0" w:after="0" w:afterAutospacing="0" w:line="276" w:lineRule="auto"/>
        <w:ind w:firstLine="709"/>
        <w:rPr>
          <w:rFonts w:ascii="Tahoma" w:eastAsia="Tahoma" w:hAnsi="Tahoma" w:cs="Tahoma"/>
          <w:lang w:val="es-ES" w:eastAsia="es-CO"/>
        </w:rPr>
      </w:pPr>
      <w:r w:rsidRPr="00CC682A">
        <w:rPr>
          <w:rFonts w:ascii="Tahoma" w:eastAsia="Tahoma" w:hAnsi="Tahoma" w:cs="Tahoma"/>
          <w:b/>
          <w:lang w:val="es-ES" w:eastAsia="es-CO"/>
        </w:rPr>
        <w:t>Notifíquese y cúmplase.</w:t>
      </w:r>
    </w:p>
    <w:p w14:paraId="4A8AD02E" w14:textId="77777777" w:rsidR="00CC682A" w:rsidRPr="00CC682A" w:rsidRDefault="00CC682A" w:rsidP="00CC682A">
      <w:pPr>
        <w:spacing w:before="0" w:beforeAutospacing="0" w:after="0" w:afterAutospacing="0" w:line="276" w:lineRule="auto"/>
        <w:ind w:firstLine="0"/>
        <w:rPr>
          <w:rFonts w:ascii="Tahoma" w:eastAsia="Segoe UI" w:hAnsi="Tahoma" w:cs="Tahoma"/>
          <w:lang w:eastAsia="es-CO"/>
        </w:rPr>
      </w:pPr>
    </w:p>
    <w:p w14:paraId="4A6141A9" w14:textId="77777777" w:rsidR="00CC682A" w:rsidRPr="00CC682A" w:rsidRDefault="00CC682A" w:rsidP="00CC682A">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CC682A">
        <w:rPr>
          <w:rFonts w:ascii="Tahoma" w:eastAsia="Times New Roman" w:hAnsi="Tahoma" w:cs="Tahoma"/>
          <w:lang w:val="es-ES" w:eastAsia="es-ES"/>
        </w:rPr>
        <w:tab/>
        <w:t>La Magistrada ponente,</w:t>
      </w:r>
    </w:p>
    <w:p w14:paraId="1020DF24"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581D2D63"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7263097A"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5C6F7758" w14:textId="77777777" w:rsidR="00CC682A" w:rsidRPr="00CC682A" w:rsidRDefault="00CC682A" w:rsidP="00CC682A">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CC682A">
        <w:rPr>
          <w:rFonts w:ascii="Tahoma" w:eastAsia="Times New Roman" w:hAnsi="Tahoma" w:cs="Tahoma"/>
          <w:b/>
          <w:bCs/>
          <w:lang w:val="es-ES" w:eastAsia="es-ES"/>
        </w:rPr>
        <w:t>ANA LUCÍA CAICEDO CALDERÓN</w:t>
      </w:r>
    </w:p>
    <w:p w14:paraId="3B4245B5"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78790951" w14:textId="77777777" w:rsidR="00CC682A" w:rsidRPr="00CC682A" w:rsidRDefault="00CC682A" w:rsidP="00CC682A">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CC682A">
        <w:rPr>
          <w:rFonts w:ascii="Tahoma" w:eastAsia="Times New Roman" w:hAnsi="Tahoma" w:cs="Tahoma"/>
          <w:lang w:val="es-ES" w:eastAsia="es-ES"/>
        </w:rPr>
        <w:t>La Magistrada y el Magistrado,</w:t>
      </w:r>
    </w:p>
    <w:p w14:paraId="56675D17"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566B0E26"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640ABCFE" w14:textId="77777777" w:rsidR="00CC682A" w:rsidRPr="00CC682A" w:rsidRDefault="00CC682A" w:rsidP="00CC682A">
      <w:pPr>
        <w:spacing w:before="0" w:beforeAutospacing="0" w:after="0" w:afterAutospacing="0" w:line="276" w:lineRule="auto"/>
        <w:ind w:firstLine="0"/>
        <w:jc w:val="left"/>
        <w:rPr>
          <w:rFonts w:ascii="Tahoma" w:eastAsia="Times New Roman" w:hAnsi="Tahoma" w:cs="Tahoma"/>
          <w:lang w:val="es-ES" w:eastAsia="es-ES"/>
        </w:rPr>
      </w:pPr>
    </w:p>
    <w:p w14:paraId="6D58FD40" w14:textId="49044284" w:rsidR="003A169D" w:rsidRDefault="00CC682A" w:rsidP="00CC682A">
      <w:pPr>
        <w:spacing w:before="0" w:beforeAutospacing="0" w:after="0" w:afterAutospacing="0" w:line="276" w:lineRule="auto"/>
        <w:ind w:firstLine="0"/>
        <w:rPr>
          <w:rFonts w:ascii="Tahoma" w:eastAsia="Times New Roman" w:hAnsi="Tahoma" w:cs="Tahoma"/>
          <w:bCs/>
          <w:lang w:val="es-ES" w:eastAsia="es-ES"/>
        </w:rPr>
      </w:pPr>
      <w:r w:rsidRPr="00CC682A">
        <w:rPr>
          <w:rFonts w:ascii="Tahoma" w:eastAsia="Times New Roman" w:hAnsi="Tahoma" w:cs="Tahoma"/>
          <w:b/>
          <w:bCs/>
          <w:lang w:val="es-ES" w:eastAsia="es-ES"/>
        </w:rPr>
        <w:t>OLGA LUCÍA HOYOS SEPÚLVEDA</w:t>
      </w:r>
      <w:r w:rsidRPr="00CC682A">
        <w:rPr>
          <w:rFonts w:ascii="Tahoma" w:eastAsia="Times New Roman" w:hAnsi="Tahoma" w:cs="Tahoma"/>
          <w:b/>
          <w:bCs/>
          <w:lang w:val="es-ES" w:eastAsia="es-ES"/>
        </w:rPr>
        <w:tab/>
      </w:r>
      <w:r w:rsidRPr="00CC682A">
        <w:rPr>
          <w:rFonts w:ascii="Tahoma" w:eastAsia="Times New Roman" w:hAnsi="Tahoma" w:cs="Tahoma"/>
          <w:b/>
          <w:bCs/>
          <w:lang w:val="es-ES" w:eastAsia="es-ES"/>
        </w:rPr>
        <w:tab/>
        <w:t>GERMÁN DARÍO GÓEZ VINASCO</w:t>
      </w:r>
      <w:bookmarkEnd w:id="12"/>
    </w:p>
    <w:p w14:paraId="4378A5D5" w14:textId="00979908" w:rsidR="00CC682A" w:rsidRPr="00CC682A" w:rsidRDefault="00CC682A" w:rsidP="00CC682A">
      <w:pPr>
        <w:spacing w:before="0" w:beforeAutospacing="0" w:after="0" w:afterAutospacing="0" w:line="276" w:lineRule="auto"/>
        <w:ind w:firstLine="0"/>
        <w:rPr>
          <w:rFonts w:ascii="Tahoma" w:eastAsia="Tahoma" w:hAnsi="Tahoma" w:cs="Tahoma"/>
          <w:lang w:eastAsia="es-CO"/>
        </w:rPr>
      </w:pPr>
      <w:r>
        <w:rPr>
          <w:rFonts w:ascii="Tahoma" w:eastAsia="Tahoma" w:hAnsi="Tahoma" w:cs="Tahoma"/>
          <w:lang w:eastAsia="es-CO"/>
        </w:rPr>
        <w:t>Con aclaración de voto</w:t>
      </w:r>
    </w:p>
    <w:sectPr w:rsidR="00CC682A" w:rsidRPr="00CC682A" w:rsidSect="00FB111C">
      <w:head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5BD1" w14:textId="77777777" w:rsidR="00986FE1" w:rsidRDefault="00986FE1" w:rsidP="00C615C3">
      <w:pPr>
        <w:spacing w:before="0" w:after="0" w:line="240" w:lineRule="auto"/>
      </w:pPr>
      <w:r>
        <w:separator/>
      </w:r>
    </w:p>
  </w:endnote>
  <w:endnote w:type="continuationSeparator" w:id="0">
    <w:p w14:paraId="45547592" w14:textId="77777777" w:rsidR="00986FE1" w:rsidRDefault="00986FE1"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296A" w14:textId="77777777" w:rsidR="00986FE1" w:rsidRDefault="00986FE1" w:rsidP="00C615C3">
      <w:pPr>
        <w:spacing w:before="0" w:after="0" w:line="240" w:lineRule="auto"/>
      </w:pPr>
      <w:r>
        <w:separator/>
      </w:r>
    </w:p>
  </w:footnote>
  <w:footnote w:type="continuationSeparator" w:id="0">
    <w:p w14:paraId="0EE80574" w14:textId="77777777" w:rsidR="00986FE1" w:rsidRDefault="00986FE1" w:rsidP="00C615C3">
      <w:pPr>
        <w:spacing w:before="0" w:after="0" w:line="240" w:lineRule="auto"/>
      </w:pPr>
      <w:r>
        <w:continuationSeparator/>
      </w:r>
    </w:p>
  </w:footnote>
  <w:footnote w:id="1">
    <w:p w14:paraId="018F4399" w14:textId="77777777" w:rsidR="00A460CA" w:rsidRPr="00564EF2" w:rsidRDefault="00A460CA" w:rsidP="00564EF2">
      <w:pPr>
        <w:pStyle w:val="Textonotapie"/>
        <w:rPr>
          <w:rFonts w:ascii="Arial" w:hAnsi="Arial" w:cs="Arial"/>
          <w:sz w:val="18"/>
          <w:szCs w:val="18"/>
        </w:rPr>
      </w:pPr>
      <w:r w:rsidRPr="00564EF2">
        <w:rPr>
          <w:rStyle w:val="Refdenotaalpie"/>
          <w:rFonts w:ascii="Arial" w:hAnsi="Arial" w:cs="Arial"/>
          <w:sz w:val="18"/>
          <w:szCs w:val="18"/>
        </w:rPr>
        <w:footnoteRef/>
      </w:r>
      <w:r w:rsidRPr="00564EF2">
        <w:rPr>
          <w:rFonts w:ascii="Arial" w:hAnsi="Arial" w:cs="Arial"/>
          <w:sz w:val="18"/>
          <w:szCs w:val="18"/>
        </w:rPr>
        <w:t xml:space="preserve"> Título tomado de la sentencia del 8 de mayo de 2019SL 1688-2019, Radicado 68838, con Ponencia de la Dra. Clara Cecilia Dueñas Quevedo</w:t>
      </w:r>
    </w:p>
  </w:footnote>
  <w:footnote w:id="2">
    <w:p w14:paraId="7020E9AB" w14:textId="77777777" w:rsidR="00A460CA" w:rsidRPr="00564EF2" w:rsidRDefault="00A460CA" w:rsidP="00564EF2">
      <w:pPr>
        <w:pStyle w:val="Textonotapie"/>
        <w:rPr>
          <w:rFonts w:ascii="Arial" w:hAnsi="Arial" w:cs="Arial"/>
          <w:sz w:val="18"/>
          <w:szCs w:val="18"/>
        </w:rPr>
      </w:pPr>
      <w:r w:rsidRPr="00564EF2">
        <w:rPr>
          <w:rStyle w:val="Refdenotaalpie"/>
          <w:rFonts w:ascii="Arial" w:hAnsi="Arial" w:cs="Arial"/>
          <w:sz w:val="18"/>
          <w:szCs w:val="18"/>
        </w:rPr>
        <w:footnoteRef/>
      </w:r>
      <w:r w:rsidRPr="00564EF2">
        <w:rPr>
          <w:rFonts w:ascii="Arial" w:hAnsi="Arial" w:cs="Arial"/>
          <w:sz w:val="18"/>
          <w:szCs w:val="18"/>
        </w:rPr>
        <w:t xml:space="preserve"> Estatuto Orgánico del Sistema Financiero </w:t>
      </w:r>
    </w:p>
  </w:footnote>
  <w:footnote w:id="3">
    <w:p w14:paraId="603C042E" w14:textId="742EC5D3" w:rsidR="00A460CA" w:rsidRPr="00564EF2" w:rsidRDefault="00A460CA" w:rsidP="00564EF2">
      <w:pPr>
        <w:pStyle w:val="Textonotapie"/>
        <w:rPr>
          <w:rFonts w:ascii="Arial" w:hAnsi="Arial" w:cs="Arial"/>
          <w:sz w:val="18"/>
          <w:szCs w:val="18"/>
        </w:rPr>
      </w:pPr>
      <w:r w:rsidRPr="00564EF2">
        <w:rPr>
          <w:rStyle w:val="Refdenotaalpie"/>
          <w:rFonts w:ascii="Arial" w:hAnsi="Arial" w:cs="Arial"/>
          <w:sz w:val="18"/>
          <w:szCs w:val="18"/>
        </w:rPr>
        <w:footnoteRef/>
      </w:r>
      <w:r w:rsidRPr="00564EF2">
        <w:rPr>
          <w:rFonts w:ascii="Arial" w:hAnsi="Arial" w:cs="Arial"/>
          <w:sz w:val="18"/>
          <w:szCs w:val="18"/>
        </w:rPr>
        <w:t xml:space="preserve"> Título tomado de la sentencia del 8 de mayo de 2019SL 1688-2019, Radicado 68838, con Ponencia de la Dra. Clara Cecilia Dueñas Quevedo</w:t>
      </w:r>
    </w:p>
  </w:footnote>
  <w:footnote w:id="4">
    <w:p w14:paraId="13024F64" w14:textId="77777777" w:rsidR="00B3338B" w:rsidRPr="00564EF2" w:rsidRDefault="00B3338B" w:rsidP="00564EF2">
      <w:pPr>
        <w:pStyle w:val="Textonotapie"/>
        <w:rPr>
          <w:rFonts w:ascii="Arial" w:hAnsi="Arial" w:cs="Arial"/>
          <w:sz w:val="18"/>
          <w:szCs w:val="18"/>
        </w:rPr>
      </w:pPr>
      <w:r w:rsidRPr="00564EF2">
        <w:rPr>
          <w:rStyle w:val="Refdenotaalpie"/>
          <w:rFonts w:ascii="Arial" w:hAnsi="Arial" w:cs="Arial"/>
          <w:sz w:val="18"/>
          <w:szCs w:val="18"/>
        </w:rPr>
        <w:footnoteRef/>
      </w:r>
      <w:r w:rsidRPr="00564EF2">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3E270842" w14:textId="77777777" w:rsidR="00A460CA" w:rsidRPr="00564EF2" w:rsidRDefault="00A460CA" w:rsidP="00564EF2">
      <w:pPr>
        <w:pStyle w:val="Textonotapie"/>
        <w:rPr>
          <w:rFonts w:ascii="Arial" w:hAnsi="Arial" w:cs="Arial"/>
          <w:sz w:val="18"/>
          <w:szCs w:val="18"/>
        </w:rPr>
      </w:pPr>
      <w:r w:rsidRPr="00564EF2">
        <w:rPr>
          <w:rStyle w:val="Refdenotaalpie"/>
          <w:rFonts w:ascii="Arial" w:hAnsi="Arial" w:cs="Arial"/>
          <w:sz w:val="18"/>
          <w:szCs w:val="18"/>
        </w:rPr>
        <w:footnoteRef/>
      </w:r>
      <w:r w:rsidRPr="00564EF2">
        <w:rPr>
          <w:rFonts w:ascii="Arial" w:hAnsi="Arial" w:cs="Arial"/>
          <w:sz w:val="18"/>
          <w:szCs w:val="18"/>
        </w:rPr>
        <w:t xml:space="preserve"> Ibídem</w:t>
      </w:r>
    </w:p>
  </w:footnote>
  <w:footnote w:id="6">
    <w:p w14:paraId="518D69C8" w14:textId="77777777" w:rsidR="00FB0798" w:rsidRPr="008B4883" w:rsidRDefault="00FB0798" w:rsidP="00564EF2">
      <w:pPr>
        <w:pStyle w:val="Textonotapie"/>
        <w:rPr>
          <w:rFonts w:ascii="Times New Roman" w:hAnsi="Times New Roman" w:cs="Times New Roman"/>
          <w:sz w:val="18"/>
          <w:szCs w:val="18"/>
        </w:rPr>
      </w:pPr>
      <w:r w:rsidRPr="00564EF2">
        <w:rPr>
          <w:rStyle w:val="Refdenotaalpie"/>
          <w:rFonts w:ascii="Arial" w:hAnsi="Arial" w:cs="Arial"/>
          <w:sz w:val="18"/>
          <w:szCs w:val="18"/>
        </w:rPr>
        <w:footnoteRef/>
      </w:r>
      <w:r w:rsidRPr="00564EF2">
        <w:rPr>
          <w:rFonts w:ascii="Arial" w:hAnsi="Arial" w:cs="Arial"/>
          <w:sz w:val="18"/>
          <w:szCs w:val="18"/>
        </w:rPr>
        <w:t xml:space="preserve"> Corte Suprema de Justicia- Sala de Casación Laboral. SL 1055, rad 87911 del 3 de marzo de 2022. MP. Iván Mauricio Lenis Gómez.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6B08" w14:textId="77777777" w:rsidR="00705A59" w:rsidRPr="000041CD" w:rsidRDefault="00705A59" w:rsidP="00705A59">
    <w:pPr>
      <w:spacing w:line="240" w:lineRule="auto"/>
      <w:ind w:firstLine="0"/>
      <w:contextualSpacing/>
      <w:rPr>
        <w:rFonts w:ascii="Tahoma" w:eastAsia="Times New Roman" w:hAnsi="Tahoma" w:cs="Tahoma"/>
        <w:sz w:val="20"/>
        <w:szCs w:val="20"/>
        <w:lang w:eastAsia="es-MX"/>
      </w:rPr>
    </w:pPr>
    <w:r w:rsidRPr="000041CD">
      <w:rPr>
        <w:rFonts w:ascii="Tahoma" w:eastAsia="Times New Roman" w:hAnsi="Tahoma" w:cs="Tahoma"/>
        <w:sz w:val="20"/>
        <w:szCs w:val="20"/>
        <w:lang w:val="es-419" w:eastAsia="es-ES"/>
      </w:rPr>
      <w:t xml:space="preserve">Radicación No.: </w:t>
    </w:r>
    <w:r w:rsidRPr="000041CD">
      <w:rPr>
        <w:rFonts w:ascii="Tahoma" w:eastAsia="Times New Roman" w:hAnsi="Tahoma" w:cs="Tahoma"/>
        <w:sz w:val="20"/>
        <w:szCs w:val="20"/>
        <w:lang w:eastAsia="es-MX"/>
      </w:rPr>
      <w:t>66001-31-05-001-</w:t>
    </w:r>
    <w:r>
      <w:rPr>
        <w:rFonts w:ascii="Tahoma" w:eastAsia="Times New Roman" w:hAnsi="Tahoma" w:cs="Tahoma"/>
        <w:sz w:val="20"/>
        <w:szCs w:val="20"/>
        <w:lang w:eastAsia="es-MX"/>
      </w:rPr>
      <w:t>2018-00182-01</w:t>
    </w:r>
  </w:p>
  <w:p w14:paraId="65F2844E" w14:textId="77777777" w:rsidR="00705A59" w:rsidRPr="000041CD" w:rsidRDefault="00705A59" w:rsidP="00705A59">
    <w:pPr>
      <w:tabs>
        <w:tab w:val="left" w:pos="993"/>
      </w:tabs>
      <w:spacing w:line="240" w:lineRule="auto"/>
      <w:ind w:left="1134" w:hanging="1134"/>
      <w:contextualSpacing/>
      <w:rPr>
        <w:rFonts w:ascii="Tahoma" w:eastAsia="Times New Roman" w:hAnsi="Tahoma" w:cs="Tahoma"/>
        <w:sz w:val="20"/>
        <w:szCs w:val="20"/>
        <w:lang w:eastAsia="es-ES"/>
      </w:rPr>
    </w:pPr>
    <w:r w:rsidRPr="000041CD">
      <w:rPr>
        <w:rFonts w:ascii="Tahoma" w:eastAsia="Times New Roman" w:hAnsi="Tahoma" w:cs="Tahoma"/>
        <w:sz w:val="20"/>
        <w:szCs w:val="20"/>
        <w:lang w:eastAsia="es-ES"/>
      </w:rPr>
      <w:t xml:space="preserve">Demandante: </w:t>
    </w:r>
    <w:r w:rsidRPr="000041CD">
      <w:rPr>
        <w:rFonts w:ascii="Tahoma" w:eastAsia="Times New Roman" w:hAnsi="Tahoma" w:cs="Tahoma"/>
        <w:sz w:val="20"/>
        <w:szCs w:val="20"/>
        <w:lang w:eastAsia="es-ES"/>
      </w:rPr>
      <w:tab/>
    </w:r>
    <w:r>
      <w:rPr>
        <w:rFonts w:ascii="Tahoma" w:eastAsia="Times New Roman" w:hAnsi="Tahoma" w:cs="Tahoma"/>
        <w:sz w:val="20"/>
        <w:szCs w:val="20"/>
        <w:lang w:eastAsia="es-ES"/>
      </w:rPr>
      <w:t xml:space="preserve">Roció Sierra Delgado </w:t>
    </w:r>
  </w:p>
  <w:p w14:paraId="44810F2F" w14:textId="300298B3" w:rsidR="00C615C3" w:rsidRPr="00705A59" w:rsidRDefault="00705A59" w:rsidP="00705A59">
    <w:pPr>
      <w:tabs>
        <w:tab w:val="left" w:pos="993"/>
      </w:tabs>
      <w:spacing w:line="240" w:lineRule="auto"/>
      <w:ind w:left="1134" w:hanging="1134"/>
      <w:contextualSpacing/>
      <w:rPr>
        <w:rFonts w:ascii="Tahoma" w:eastAsia="Times New Roman" w:hAnsi="Tahoma" w:cs="Tahoma"/>
        <w:sz w:val="20"/>
        <w:szCs w:val="20"/>
        <w:lang w:val="es-419" w:eastAsia="es-ES"/>
      </w:rPr>
    </w:pPr>
    <w:r w:rsidRPr="000041CD">
      <w:rPr>
        <w:rFonts w:ascii="Tahoma" w:eastAsia="Times New Roman" w:hAnsi="Tahoma" w:cs="Tahoma"/>
        <w:sz w:val="20"/>
        <w:szCs w:val="20"/>
        <w:lang w:val="es-419" w:eastAsia="es-ES"/>
      </w:rPr>
      <w:t xml:space="preserve">Demandado: </w:t>
    </w:r>
    <w:r w:rsidRPr="000041CD">
      <w:rPr>
        <w:rFonts w:ascii="Tahoma" w:eastAsia="Times New Roman" w:hAnsi="Tahoma" w:cs="Tahoma"/>
        <w:sz w:val="20"/>
        <w:szCs w:val="20"/>
        <w:lang w:val="es-419" w:eastAsia="es-ES"/>
      </w:rPr>
      <w:tab/>
      <w:t>Colpensiones y P</w:t>
    </w:r>
    <w:r>
      <w:rPr>
        <w:rFonts w:ascii="Tahoma" w:eastAsia="Times New Roman" w:hAnsi="Tahoma" w:cs="Tahoma"/>
        <w:sz w:val="20"/>
        <w:szCs w:val="20"/>
        <w:lang w:val="es-419" w:eastAsia="es-ES"/>
      </w:rPr>
      <w:t>rotección</w:t>
    </w:r>
    <w:r w:rsidRPr="000041CD">
      <w:rPr>
        <w:rFonts w:ascii="Tahoma" w:eastAsia="Times New Roman" w:hAnsi="Tahoma" w:cs="Tahoma"/>
        <w:sz w:val="20"/>
        <w:szCs w:val="20"/>
        <w:lang w:val="es-419" w:eastAsia="es-ES"/>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2AFB"/>
    <w:rsid w:val="00004F2F"/>
    <w:rsid w:val="000075EE"/>
    <w:rsid w:val="00013CA8"/>
    <w:rsid w:val="00072167"/>
    <w:rsid w:val="000801D6"/>
    <w:rsid w:val="000A10C0"/>
    <w:rsid w:val="000C60AA"/>
    <w:rsid w:val="000C62CE"/>
    <w:rsid w:val="000C6971"/>
    <w:rsid w:val="000D53A9"/>
    <w:rsid w:val="000E74CC"/>
    <w:rsid w:val="000F44B6"/>
    <w:rsid w:val="001032FD"/>
    <w:rsid w:val="00112248"/>
    <w:rsid w:val="00125092"/>
    <w:rsid w:val="0015550A"/>
    <w:rsid w:val="00161181"/>
    <w:rsid w:val="00163816"/>
    <w:rsid w:val="00171838"/>
    <w:rsid w:val="00195488"/>
    <w:rsid w:val="001B7DAB"/>
    <w:rsid w:val="001C0FAC"/>
    <w:rsid w:val="001F42B1"/>
    <w:rsid w:val="00210010"/>
    <w:rsid w:val="002120F3"/>
    <w:rsid w:val="00214403"/>
    <w:rsid w:val="002169C4"/>
    <w:rsid w:val="00217CC0"/>
    <w:rsid w:val="002843C8"/>
    <w:rsid w:val="00296023"/>
    <w:rsid w:val="002F4E79"/>
    <w:rsid w:val="00304902"/>
    <w:rsid w:val="0030553F"/>
    <w:rsid w:val="00305C60"/>
    <w:rsid w:val="003151B1"/>
    <w:rsid w:val="00316BA0"/>
    <w:rsid w:val="00317682"/>
    <w:rsid w:val="00323E4B"/>
    <w:rsid w:val="003470B5"/>
    <w:rsid w:val="00393E5C"/>
    <w:rsid w:val="003A169D"/>
    <w:rsid w:val="003B69FA"/>
    <w:rsid w:val="003D039E"/>
    <w:rsid w:val="003D0B82"/>
    <w:rsid w:val="003F200C"/>
    <w:rsid w:val="004122B8"/>
    <w:rsid w:val="004137DC"/>
    <w:rsid w:val="00421B2D"/>
    <w:rsid w:val="004234E8"/>
    <w:rsid w:val="004260FB"/>
    <w:rsid w:val="00426154"/>
    <w:rsid w:val="004365E7"/>
    <w:rsid w:val="00457848"/>
    <w:rsid w:val="00471D53"/>
    <w:rsid w:val="004B4943"/>
    <w:rsid w:val="004D5BA3"/>
    <w:rsid w:val="00526A16"/>
    <w:rsid w:val="00536C8C"/>
    <w:rsid w:val="00544768"/>
    <w:rsid w:val="00564EF2"/>
    <w:rsid w:val="00585829"/>
    <w:rsid w:val="00596541"/>
    <w:rsid w:val="005B147A"/>
    <w:rsid w:val="005D4FCE"/>
    <w:rsid w:val="006003F4"/>
    <w:rsid w:val="00610795"/>
    <w:rsid w:val="00615E26"/>
    <w:rsid w:val="00630A4C"/>
    <w:rsid w:val="006547E8"/>
    <w:rsid w:val="00670CD9"/>
    <w:rsid w:val="006761BB"/>
    <w:rsid w:val="006961C9"/>
    <w:rsid w:val="006B1C70"/>
    <w:rsid w:val="006B3F52"/>
    <w:rsid w:val="006B45F8"/>
    <w:rsid w:val="006B7D0A"/>
    <w:rsid w:val="006C0469"/>
    <w:rsid w:val="006C1E97"/>
    <w:rsid w:val="006C3E13"/>
    <w:rsid w:val="00705A59"/>
    <w:rsid w:val="00705F42"/>
    <w:rsid w:val="00736DA3"/>
    <w:rsid w:val="007570D4"/>
    <w:rsid w:val="007728A5"/>
    <w:rsid w:val="00777C50"/>
    <w:rsid w:val="00792794"/>
    <w:rsid w:val="007B2B2C"/>
    <w:rsid w:val="007B5FF2"/>
    <w:rsid w:val="007E0422"/>
    <w:rsid w:val="007F1AC9"/>
    <w:rsid w:val="008165A9"/>
    <w:rsid w:val="00825FE3"/>
    <w:rsid w:val="008771B9"/>
    <w:rsid w:val="008A1361"/>
    <w:rsid w:val="008A2700"/>
    <w:rsid w:val="008D1418"/>
    <w:rsid w:val="008E19A7"/>
    <w:rsid w:val="009031C3"/>
    <w:rsid w:val="00930E23"/>
    <w:rsid w:val="00934C9F"/>
    <w:rsid w:val="00936C5C"/>
    <w:rsid w:val="00940C8D"/>
    <w:rsid w:val="0094119B"/>
    <w:rsid w:val="00977C75"/>
    <w:rsid w:val="00986FE1"/>
    <w:rsid w:val="0099779A"/>
    <w:rsid w:val="009A5151"/>
    <w:rsid w:val="009A72BC"/>
    <w:rsid w:val="009B136A"/>
    <w:rsid w:val="009B3B49"/>
    <w:rsid w:val="009C58F1"/>
    <w:rsid w:val="009C6C76"/>
    <w:rsid w:val="009F7A7B"/>
    <w:rsid w:val="00A07907"/>
    <w:rsid w:val="00A16817"/>
    <w:rsid w:val="00A17ACC"/>
    <w:rsid w:val="00A3299A"/>
    <w:rsid w:val="00A36D83"/>
    <w:rsid w:val="00A460CA"/>
    <w:rsid w:val="00A52E09"/>
    <w:rsid w:val="00A83CF8"/>
    <w:rsid w:val="00A92601"/>
    <w:rsid w:val="00AC39D7"/>
    <w:rsid w:val="00AD5657"/>
    <w:rsid w:val="00AF60AE"/>
    <w:rsid w:val="00B00032"/>
    <w:rsid w:val="00B003A9"/>
    <w:rsid w:val="00B066CE"/>
    <w:rsid w:val="00B0757E"/>
    <w:rsid w:val="00B26F30"/>
    <w:rsid w:val="00B3338B"/>
    <w:rsid w:val="00B534BA"/>
    <w:rsid w:val="00B570F3"/>
    <w:rsid w:val="00B668BC"/>
    <w:rsid w:val="00B73350"/>
    <w:rsid w:val="00BA2D91"/>
    <w:rsid w:val="00BA4216"/>
    <w:rsid w:val="00BB5FDC"/>
    <w:rsid w:val="00BC0754"/>
    <w:rsid w:val="00BE06FA"/>
    <w:rsid w:val="00BE4084"/>
    <w:rsid w:val="00C03A82"/>
    <w:rsid w:val="00C15C42"/>
    <w:rsid w:val="00C21FA7"/>
    <w:rsid w:val="00C615C3"/>
    <w:rsid w:val="00C80CE3"/>
    <w:rsid w:val="00C84FF8"/>
    <w:rsid w:val="00C9279D"/>
    <w:rsid w:val="00C92D58"/>
    <w:rsid w:val="00CA349D"/>
    <w:rsid w:val="00CC682A"/>
    <w:rsid w:val="00CE4301"/>
    <w:rsid w:val="00D16F4F"/>
    <w:rsid w:val="00D3103D"/>
    <w:rsid w:val="00D44051"/>
    <w:rsid w:val="00D75B6B"/>
    <w:rsid w:val="00DA774B"/>
    <w:rsid w:val="00DB3771"/>
    <w:rsid w:val="00DB576B"/>
    <w:rsid w:val="00DE0984"/>
    <w:rsid w:val="00E21A31"/>
    <w:rsid w:val="00E30491"/>
    <w:rsid w:val="00E74F7F"/>
    <w:rsid w:val="00E76104"/>
    <w:rsid w:val="00E91DE7"/>
    <w:rsid w:val="00ED6623"/>
    <w:rsid w:val="00EF139D"/>
    <w:rsid w:val="00F06F26"/>
    <w:rsid w:val="00F13B33"/>
    <w:rsid w:val="00F20C83"/>
    <w:rsid w:val="00F41E9F"/>
    <w:rsid w:val="00F4456E"/>
    <w:rsid w:val="00F7668B"/>
    <w:rsid w:val="00F841DA"/>
    <w:rsid w:val="00F902C7"/>
    <w:rsid w:val="00FA10B5"/>
    <w:rsid w:val="00FB0798"/>
    <w:rsid w:val="00FB111C"/>
    <w:rsid w:val="00FD2DB1"/>
    <w:rsid w:val="00FE73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semiHidden/>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A460CA"/>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A460CA"/>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A460CA"/>
    <w:rPr>
      <w:vertAlign w:val="superscript"/>
    </w:rPr>
  </w:style>
  <w:style w:type="table" w:customStyle="1" w:styleId="Tablaconcuadrcula1">
    <w:name w:val="Tabla con cuadrícula1"/>
    <w:basedOn w:val="Tablanormal"/>
    <w:next w:val="Tablaconcuadrcula"/>
    <w:rsid w:val="00A460CA"/>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60C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655765832">
      <w:bodyDiv w:val="1"/>
      <w:marLeft w:val="0"/>
      <w:marRight w:val="0"/>
      <w:marTop w:val="0"/>
      <w:marBottom w:val="0"/>
      <w:divBdr>
        <w:top w:val="none" w:sz="0" w:space="0" w:color="auto"/>
        <w:left w:val="none" w:sz="0" w:space="0" w:color="auto"/>
        <w:bottom w:val="none" w:sz="0" w:space="0" w:color="auto"/>
        <w:right w:val="none" w:sz="0" w:space="0" w:color="auto"/>
      </w:divBdr>
    </w:div>
    <w:div w:id="1546867934">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20046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80DA2-4E9A-4D74-9449-68BB27D911AA}">
  <ds:schemaRefs>
    <ds:schemaRef ds:uri="http://schemas.microsoft.com/sharepoint/v3/contenttype/forms"/>
  </ds:schemaRefs>
</ds:datastoreItem>
</file>

<file path=customXml/itemProps2.xml><?xml version="1.0" encoding="utf-8"?>
<ds:datastoreItem xmlns:ds="http://schemas.openxmlformats.org/officeDocument/2006/customXml" ds:itemID="{DEE7DDDD-2291-4AD4-B3CC-4AD2669FC29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2858B85-34AE-4867-8245-551903BEE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9048</Words>
  <Characters>49766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4</cp:revision>
  <dcterms:created xsi:type="dcterms:W3CDTF">2022-11-16T17:45:00Z</dcterms:created>
  <dcterms:modified xsi:type="dcterms:W3CDTF">2023-02-23T14:18:00Z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