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E9D4C1" w14:textId="77777777" w:rsidR="00B90136" w:rsidRPr="00B90136" w:rsidRDefault="00B90136" w:rsidP="00B9013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B9013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93AEAF" w14:textId="77777777" w:rsidR="00B90136" w:rsidRPr="00B90136" w:rsidRDefault="00B90136" w:rsidP="00B90136">
      <w:pPr>
        <w:spacing w:line="240" w:lineRule="auto"/>
        <w:rPr>
          <w:rFonts w:ascii="Arial" w:eastAsia="Times New Roman" w:hAnsi="Arial" w:cs="Arial"/>
          <w:sz w:val="20"/>
          <w:szCs w:val="20"/>
          <w:lang w:val="es-419" w:eastAsia="es-ES"/>
        </w:rPr>
      </w:pPr>
    </w:p>
    <w:p w14:paraId="388D52D8" w14:textId="77777777" w:rsidR="00B90136" w:rsidRPr="00B90136" w:rsidRDefault="00B90136" w:rsidP="00B90136">
      <w:pPr>
        <w:spacing w:line="240" w:lineRule="auto"/>
        <w:rPr>
          <w:rFonts w:ascii="Arial" w:hAnsi="Arial" w:cs="Arial"/>
          <w:color w:val="000000"/>
          <w:sz w:val="20"/>
          <w:szCs w:val="20"/>
          <w:lang w:eastAsia="es-CO"/>
        </w:rPr>
      </w:pPr>
      <w:r w:rsidRPr="00B90136">
        <w:rPr>
          <w:rFonts w:ascii="Arial" w:hAnsi="Arial" w:cs="Arial"/>
          <w:color w:val="000000"/>
          <w:sz w:val="20"/>
          <w:szCs w:val="20"/>
          <w:lang w:eastAsia="es-CO"/>
        </w:rPr>
        <w:t xml:space="preserve">Radicación No.: </w:t>
      </w:r>
      <w:r w:rsidRPr="00B90136">
        <w:rPr>
          <w:rFonts w:ascii="Arial" w:hAnsi="Arial" w:cs="Arial"/>
          <w:color w:val="000000"/>
          <w:sz w:val="20"/>
          <w:szCs w:val="20"/>
          <w:lang w:eastAsia="es-CO"/>
        </w:rPr>
        <w:tab/>
        <w:t>66001-31-05-002-2021-00057-01</w:t>
      </w:r>
    </w:p>
    <w:p w14:paraId="20B00BD3" w14:textId="441ED20E" w:rsidR="00B90136" w:rsidRPr="00B90136" w:rsidRDefault="00B90136" w:rsidP="00B90136">
      <w:pPr>
        <w:spacing w:line="240" w:lineRule="auto"/>
        <w:rPr>
          <w:rFonts w:ascii="Arial" w:hAnsi="Arial" w:cs="Arial"/>
          <w:color w:val="000000"/>
          <w:sz w:val="20"/>
          <w:szCs w:val="20"/>
          <w:lang w:eastAsia="es-CO"/>
        </w:rPr>
      </w:pPr>
      <w:r w:rsidRPr="00B90136">
        <w:rPr>
          <w:rFonts w:ascii="Arial" w:hAnsi="Arial" w:cs="Arial"/>
          <w:color w:val="000000"/>
          <w:sz w:val="20"/>
          <w:szCs w:val="20"/>
          <w:lang w:eastAsia="es-CO"/>
        </w:rPr>
        <w:t xml:space="preserve">Proceso: </w:t>
      </w:r>
      <w:r w:rsidRPr="00B90136">
        <w:rPr>
          <w:rFonts w:ascii="Arial" w:hAnsi="Arial" w:cs="Arial"/>
          <w:color w:val="000000"/>
          <w:sz w:val="20"/>
          <w:szCs w:val="20"/>
          <w:lang w:eastAsia="es-CO"/>
        </w:rPr>
        <w:tab/>
      </w:r>
      <w:r>
        <w:rPr>
          <w:rFonts w:ascii="Arial" w:hAnsi="Arial" w:cs="Arial"/>
          <w:color w:val="000000"/>
          <w:sz w:val="20"/>
          <w:szCs w:val="20"/>
          <w:lang w:eastAsia="es-CO"/>
        </w:rPr>
        <w:tab/>
      </w:r>
      <w:r w:rsidRPr="00B90136">
        <w:rPr>
          <w:rFonts w:ascii="Arial" w:hAnsi="Arial" w:cs="Arial"/>
          <w:color w:val="000000"/>
          <w:sz w:val="20"/>
          <w:szCs w:val="20"/>
          <w:lang w:eastAsia="es-CO"/>
        </w:rPr>
        <w:t xml:space="preserve">Ordinario Laboral </w:t>
      </w:r>
    </w:p>
    <w:p w14:paraId="1CC271F3" w14:textId="6D6D4D42" w:rsidR="00B90136" w:rsidRPr="00B90136" w:rsidRDefault="00B90136" w:rsidP="00B90136">
      <w:pPr>
        <w:spacing w:line="240" w:lineRule="auto"/>
        <w:rPr>
          <w:rFonts w:ascii="Arial" w:hAnsi="Arial" w:cs="Arial"/>
          <w:color w:val="000000"/>
          <w:sz w:val="20"/>
          <w:szCs w:val="20"/>
          <w:lang w:eastAsia="es-CO"/>
        </w:rPr>
      </w:pPr>
      <w:r w:rsidRPr="00B90136">
        <w:rPr>
          <w:rFonts w:ascii="Arial" w:hAnsi="Arial" w:cs="Arial"/>
          <w:color w:val="000000"/>
          <w:sz w:val="20"/>
          <w:szCs w:val="20"/>
          <w:lang w:eastAsia="es-CO"/>
        </w:rPr>
        <w:t xml:space="preserve">Demandante: </w:t>
      </w:r>
      <w:r>
        <w:rPr>
          <w:rFonts w:ascii="Arial" w:hAnsi="Arial" w:cs="Arial"/>
          <w:color w:val="000000"/>
          <w:sz w:val="20"/>
          <w:szCs w:val="20"/>
          <w:lang w:eastAsia="es-CO"/>
        </w:rPr>
        <w:tab/>
      </w:r>
      <w:r w:rsidRPr="00B90136">
        <w:rPr>
          <w:rFonts w:ascii="Arial" w:hAnsi="Arial" w:cs="Arial"/>
          <w:color w:val="000000"/>
          <w:sz w:val="20"/>
          <w:szCs w:val="20"/>
          <w:lang w:eastAsia="es-CO"/>
        </w:rPr>
        <w:tab/>
        <w:t xml:space="preserve">Fernando Londoño Ramírez </w:t>
      </w:r>
    </w:p>
    <w:p w14:paraId="6A9A3803" w14:textId="1539C594" w:rsidR="00B90136" w:rsidRPr="00B90136" w:rsidRDefault="00B90136" w:rsidP="00B90136">
      <w:pPr>
        <w:spacing w:line="240" w:lineRule="auto"/>
        <w:rPr>
          <w:rFonts w:ascii="Arial" w:hAnsi="Arial" w:cs="Arial"/>
          <w:color w:val="000000"/>
          <w:sz w:val="20"/>
          <w:szCs w:val="20"/>
          <w:lang w:eastAsia="es-CO"/>
        </w:rPr>
      </w:pPr>
      <w:r w:rsidRPr="00B90136">
        <w:rPr>
          <w:rFonts w:ascii="Arial" w:hAnsi="Arial" w:cs="Arial"/>
          <w:color w:val="000000"/>
          <w:sz w:val="20"/>
          <w:szCs w:val="20"/>
          <w:lang w:eastAsia="es-CO"/>
        </w:rPr>
        <w:t xml:space="preserve">Demandados: </w:t>
      </w:r>
      <w:r>
        <w:rPr>
          <w:rFonts w:ascii="Arial" w:hAnsi="Arial" w:cs="Arial"/>
          <w:color w:val="000000"/>
          <w:sz w:val="20"/>
          <w:szCs w:val="20"/>
          <w:lang w:eastAsia="es-CO"/>
        </w:rPr>
        <w:tab/>
      </w:r>
      <w:r w:rsidRPr="00B90136">
        <w:rPr>
          <w:rFonts w:ascii="Arial" w:hAnsi="Arial" w:cs="Arial"/>
          <w:color w:val="000000"/>
          <w:sz w:val="20"/>
          <w:szCs w:val="20"/>
          <w:lang w:eastAsia="es-CO"/>
        </w:rPr>
        <w:tab/>
        <w:t>Colpensiones y Protección S.A.</w:t>
      </w:r>
    </w:p>
    <w:p w14:paraId="0BA7361A" w14:textId="645D881E" w:rsidR="00B90136" w:rsidRPr="00B90136" w:rsidRDefault="00B90136" w:rsidP="00B90136">
      <w:pPr>
        <w:spacing w:line="240" w:lineRule="auto"/>
        <w:rPr>
          <w:rFonts w:ascii="Arial" w:hAnsi="Arial" w:cs="Arial"/>
          <w:color w:val="000000"/>
          <w:sz w:val="20"/>
          <w:szCs w:val="20"/>
          <w:lang w:eastAsia="es-CO"/>
        </w:rPr>
      </w:pPr>
      <w:r w:rsidRPr="00B90136">
        <w:rPr>
          <w:rFonts w:ascii="Arial" w:hAnsi="Arial" w:cs="Arial"/>
          <w:color w:val="000000"/>
          <w:sz w:val="20"/>
          <w:szCs w:val="20"/>
          <w:lang w:eastAsia="es-CO"/>
        </w:rPr>
        <w:t xml:space="preserve">Juzgado: </w:t>
      </w:r>
      <w:r>
        <w:rPr>
          <w:rFonts w:ascii="Arial" w:hAnsi="Arial" w:cs="Arial"/>
          <w:color w:val="000000"/>
          <w:sz w:val="20"/>
          <w:szCs w:val="20"/>
          <w:lang w:eastAsia="es-CO"/>
        </w:rPr>
        <w:tab/>
      </w:r>
      <w:r w:rsidRPr="00B90136">
        <w:rPr>
          <w:rFonts w:ascii="Arial" w:hAnsi="Arial" w:cs="Arial"/>
          <w:color w:val="000000"/>
          <w:sz w:val="20"/>
          <w:szCs w:val="20"/>
          <w:lang w:eastAsia="es-CO"/>
        </w:rPr>
        <w:tab/>
        <w:t>Segundo Laboral del Circuito de Pereira</w:t>
      </w:r>
    </w:p>
    <w:p w14:paraId="28D34712" w14:textId="77777777" w:rsidR="00B90136" w:rsidRPr="00B90136" w:rsidRDefault="00B90136" w:rsidP="00B90136">
      <w:pPr>
        <w:spacing w:line="240" w:lineRule="auto"/>
        <w:rPr>
          <w:rFonts w:ascii="Arial" w:hAnsi="Arial" w:cs="Arial"/>
          <w:color w:val="000000"/>
          <w:sz w:val="20"/>
          <w:szCs w:val="20"/>
          <w:lang w:eastAsia="es-CO"/>
        </w:rPr>
      </w:pPr>
    </w:p>
    <w:p w14:paraId="4C5A4189" w14:textId="77777777" w:rsidR="00B90136" w:rsidRPr="00B90136" w:rsidRDefault="00B90136" w:rsidP="00B90136">
      <w:pPr>
        <w:spacing w:line="240" w:lineRule="auto"/>
        <w:rPr>
          <w:rFonts w:ascii="Arial" w:eastAsia="Times New Roman" w:hAnsi="Arial" w:cs="Arial"/>
          <w:b/>
          <w:bCs/>
          <w:iCs/>
          <w:sz w:val="20"/>
          <w:szCs w:val="20"/>
          <w:lang w:val="es-419" w:eastAsia="fr-FR"/>
        </w:rPr>
      </w:pPr>
      <w:bookmarkStart w:id="3" w:name="_Hlk82369399"/>
      <w:bookmarkEnd w:id="1"/>
      <w:bookmarkEnd w:id="2"/>
      <w:r w:rsidRPr="00B90136">
        <w:rPr>
          <w:rFonts w:ascii="Arial" w:eastAsia="Times New Roman" w:hAnsi="Arial" w:cs="Arial"/>
          <w:b/>
          <w:bCs/>
          <w:iCs/>
          <w:sz w:val="20"/>
          <w:szCs w:val="20"/>
          <w:u w:val="single"/>
          <w:lang w:val="es-419" w:eastAsia="fr-FR"/>
        </w:rPr>
        <w:t>TEMAS:</w:t>
      </w:r>
      <w:r w:rsidRPr="00B90136">
        <w:rPr>
          <w:rFonts w:ascii="Arial" w:eastAsia="Times New Roman" w:hAnsi="Arial" w:cs="Arial"/>
          <w:b/>
          <w:bCs/>
          <w:iCs/>
          <w:sz w:val="20"/>
          <w:szCs w:val="20"/>
          <w:lang w:val="es-419" w:eastAsia="fr-FR"/>
        </w:rPr>
        <w:tab/>
      </w:r>
      <w:r w:rsidRPr="00B90136">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D910B9C" w14:textId="77777777" w:rsidR="00B90136" w:rsidRPr="00B90136" w:rsidRDefault="00B90136" w:rsidP="00B90136">
      <w:pPr>
        <w:spacing w:line="240" w:lineRule="auto"/>
        <w:rPr>
          <w:rFonts w:ascii="Arial" w:eastAsia="Times New Roman" w:hAnsi="Arial" w:cs="Arial"/>
          <w:sz w:val="20"/>
          <w:szCs w:val="20"/>
          <w:lang w:val="es-419" w:eastAsia="es-ES"/>
        </w:rPr>
      </w:pPr>
    </w:p>
    <w:p w14:paraId="007731F3" w14:textId="77777777" w:rsidR="00B90136" w:rsidRPr="00B90136" w:rsidRDefault="00B90136" w:rsidP="00B90136">
      <w:pPr>
        <w:spacing w:line="240" w:lineRule="auto"/>
        <w:rPr>
          <w:rFonts w:ascii="Arial" w:eastAsia="Times New Roman" w:hAnsi="Arial" w:cs="Arial"/>
          <w:sz w:val="20"/>
          <w:szCs w:val="20"/>
          <w:lang w:val="es-419" w:eastAsia="es-ES"/>
        </w:rPr>
      </w:pPr>
      <w:r w:rsidRPr="00B90136">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7C3D552" w14:textId="77777777" w:rsidR="00B90136" w:rsidRPr="00B90136" w:rsidRDefault="00B90136" w:rsidP="00B90136">
      <w:pPr>
        <w:spacing w:line="240" w:lineRule="auto"/>
        <w:rPr>
          <w:rFonts w:ascii="Arial" w:eastAsia="Times New Roman" w:hAnsi="Arial" w:cs="Arial"/>
          <w:sz w:val="20"/>
          <w:szCs w:val="20"/>
          <w:lang w:val="es-419" w:eastAsia="es-ES"/>
        </w:rPr>
      </w:pPr>
    </w:p>
    <w:p w14:paraId="2EDBA4C6" w14:textId="77777777" w:rsidR="00B90136" w:rsidRPr="00B90136" w:rsidRDefault="00B90136" w:rsidP="00B90136">
      <w:pPr>
        <w:spacing w:line="240" w:lineRule="auto"/>
        <w:rPr>
          <w:rFonts w:ascii="Arial" w:eastAsia="Times New Roman" w:hAnsi="Arial" w:cs="Arial"/>
          <w:sz w:val="20"/>
          <w:szCs w:val="20"/>
          <w:lang w:val="es-419" w:eastAsia="es-ES"/>
        </w:rPr>
      </w:pPr>
      <w:r w:rsidRPr="00B90136">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B4D1A38" w14:textId="77777777" w:rsidR="00B90136" w:rsidRPr="00B90136" w:rsidRDefault="00B90136" w:rsidP="00B90136">
      <w:pPr>
        <w:spacing w:line="240" w:lineRule="auto"/>
        <w:rPr>
          <w:rFonts w:ascii="Arial" w:eastAsia="Times New Roman" w:hAnsi="Arial" w:cs="Arial"/>
          <w:sz w:val="20"/>
          <w:szCs w:val="20"/>
          <w:lang w:val="es-419" w:eastAsia="es-ES"/>
        </w:rPr>
      </w:pPr>
    </w:p>
    <w:p w14:paraId="17F3AB77" w14:textId="77777777" w:rsidR="00B90136" w:rsidRPr="00B90136" w:rsidRDefault="00B90136" w:rsidP="00B90136">
      <w:pPr>
        <w:spacing w:line="240" w:lineRule="auto"/>
        <w:rPr>
          <w:rFonts w:ascii="Arial" w:eastAsia="Times New Roman" w:hAnsi="Arial" w:cs="Arial"/>
          <w:sz w:val="20"/>
          <w:szCs w:val="20"/>
          <w:lang w:val="es-419" w:eastAsia="es-ES"/>
        </w:rPr>
      </w:pPr>
      <w:r w:rsidRPr="00B90136">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A05B4E4" w14:textId="77777777" w:rsidR="00B90136" w:rsidRPr="00B90136" w:rsidRDefault="00B90136" w:rsidP="00B90136">
      <w:pPr>
        <w:spacing w:line="240" w:lineRule="auto"/>
        <w:rPr>
          <w:rFonts w:ascii="Arial" w:eastAsia="Times New Roman" w:hAnsi="Arial" w:cs="Arial"/>
          <w:sz w:val="20"/>
          <w:szCs w:val="20"/>
          <w:lang w:val="es-419" w:eastAsia="es-ES"/>
        </w:rPr>
      </w:pPr>
    </w:p>
    <w:p w14:paraId="47F985AA" w14:textId="77777777" w:rsidR="00B90136" w:rsidRPr="00B90136" w:rsidRDefault="00B90136" w:rsidP="00B90136">
      <w:pPr>
        <w:spacing w:line="240" w:lineRule="auto"/>
        <w:rPr>
          <w:rFonts w:ascii="Arial" w:eastAsia="Times New Roman" w:hAnsi="Arial" w:cs="Arial"/>
          <w:sz w:val="20"/>
          <w:szCs w:val="20"/>
          <w:lang w:val="es-419" w:eastAsia="es-ES"/>
        </w:rPr>
      </w:pPr>
      <w:r w:rsidRPr="00B90136">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4A89A7E5" w14:textId="77777777" w:rsidR="00B90136" w:rsidRPr="00B90136" w:rsidRDefault="00B90136" w:rsidP="00B90136">
      <w:pPr>
        <w:spacing w:line="240" w:lineRule="auto"/>
        <w:rPr>
          <w:rFonts w:ascii="Arial" w:eastAsia="Times New Roman" w:hAnsi="Arial" w:cs="Arial"/>
          <w:sz w:val="20"/>
          <w:szCs w:val="20"/>
          <w:lang w:val="es-419" w:eastAsia="es-ES"/>
        </w:rPr>
      </w:pPr>
    </w:p>
    <w:p w14:paraId="1DFACD91" w14:textId="77777777" w:rsidR="00B90136" w:rsidRPr="00B90136" w:rsidRDefault="00B90136" w:rsidP="00B90136">
      <w:pPr>
        <w:spacing w:line="240" w:lineRule="auto"/>
        <w:rPr>
          <w:rFonts w:ascii="Arial" w:eastAsia="Times New Roman" w:hAnsi="Arial" w:cs="Arial"/>
          <w:sz w:val="20"/>
          <w:szCs w:val="20"/>
          <w:lang w:val="es-419" w:eastAsia="es-ES"/>
        </w:rPr>
      </w:pPr>
      <w:r w:rsidRPr="00B90136">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9ACF131" w14:textId="77777777" w:rsidR="00B90136" w:rsidRPr="00B90136" w:rsidRDefault="00B90136" w:rsidP="00B90136">
      <w:pPr>
        <w:spacing w:line="240" w:lineRule="auto"/>
        <w:rPr>
          <w:rFonts w:ascii="Arial" w:eastAsia="Times New Roman" w:hAnsi="Arial" w:cs="Arial"/>
          <w:sz w:val="20"/>
          <w:szCs w:val="20"/>
          <w:lang w:val="es-419" w:eastAsia="es-ES"/>
        </w:rPr>
      </w:pPr>
    </w:p>
    <w:p w14:paraId="3AADC383" w14:textId="77777777" w:rsidR="00B90136" w:rsidRPr="00B90136" w:rsidRDefault="00B90136" w:rsidP="00B90136">
      <w:pPr>
        <w:spacing w:line="240" w:lineRule="auto"/>
        <w:rPr>
          <w:rFonts w:ascii="Arial" w:eastAsia="Times New Roman" w:hAnsi="Arial" w:cs="Arial"/>
          <w:sz w:val="20"/>
          <w:szCs w:val="20"/>
          <w:lang w:val="es-419" w:eastAsia="es-ES"/>
        </w:rPr>
      </w:pPr>
      <w:r w:rsidRPr="00B90136">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373242D8" w14:textId="77777777" w:rsidR="00B90136" w:rsidRPr="00B90136" w:rsidRDefault="00B90136" w:rsidP="00B90136">
      <w:pPr>
        <w:spacing w:line="240" w:lineRule="auto"/>
        <w:rPr>
          <w:rFonts w:ascii="Arial" w:eastAsia="Times New Roman" w:hAnsi="Arial" w:cs="Arial"/>
          <w:sz w:val="20"/>
          <w:szCs w:val="20"/>
          <w:lang w:eastAsia="es-ES"/>
        </w:rPr>
      </w:pPr>
    </w:p>
    <w:p w14:paraId="1E3B3289" w14:textId="77777777" w:rsidR="00B90136" w:rsidRPr="00B90136" w:rsidRDefault="00B90136" w:rsidP="00B90136">
      <w:pPr>
        <w:spacing w:line="240" w:lineRule="auto"/>
        <w:rPr>
          <w:rFonts w:ascii="Arial" w:eastAsia="Times New Roman" w:hAnsi="Arial" w:cs="Arial"/>
          <w:sz w:val="20"/>
          <w:szCs w:val="20"/>
          <w:lang w:eastAsia="es-ES"/>
        </w:rPr>
      </w:pPr>
    </w:p>
    <w:bookmarkEnd w:id="3"/>
    <w:p w14:paraId="600E71FB" w14:textId="77777777" w:rsidR="00B90136" w:rsidRPr="00B90136" w:rsidRDefault="00B90136" w:rsidP="00B90136">
      <w:pPr>
        <w:spacing w:line="240" w:lineRule="auto"/>
        <w:rPr>
          <w:rFonts w:ascii="Arial" w:eastAsia="Times New Roman" w:hAnsi="Arial" w:cs="Arial"/>
          <w:sz w:val="20"/>
          <w:szCs w:val="20"/>
          <w:lang w:eastAsia="es-ES"/>
        </w:rPr>
      </w:pPr>
    </w:p>
    <w:p w14:paraId="00000018" w14:textId="77777777" w:rsidR="001738DF" w:rsidRPr="00B90136" w:rsidRDefault="00E4412A" w:rsidP="00B90136">
      <w:pPr>
        <w:pStyle w:val="Ttulo4"/>
        <w:widowControl w:val="0"/>
        <w:spacing w:line="276" w:lineRule="auto"/>
        <w:ind w:left="709" w:right="845"/>
        <w:contextualSpacing/>
        <w:rPr>
          <w:rFonts w:ascii="Tahoma" w:eastAsia="Tahoma" w:hAnsi="Tahoma" w:cs="Tahoma"/>
          <w:szCs w:val="24"/>
        </w:rPr>
      </w:pPr>
      <w:r w:rsidRPr="00B90136">
        <w:rPr>
          <w:rFonts w:ascii="Tahoma" w:eastAsia="Tahoma" w:hAnsi="Tahoma" w:cs="Tahoma"/>
          <w:szCs w:val="24"/>
        </w:rPr>
        <w:t>TRIBUNAL SUPERIOR DEL DISTRITO JUDICIAL DE PEREIRA</w:t>
      </w:r>
    </w:p>
    <w:p w14:paraId="00000019" w14:textId="77777777" w:rsidR="001738DF" w:rsidRPr="00B90136" w:rsidRDefault="00E4412A" w:rsidP="00B90136">
      <w:pPr>
        <w:pStyle w:val="Ttulo4"/>
        <w:widowControl w:val="0"/>
        <w:spacing w:line="276" w:lineRule="auto"/>
        <w:ind w:left="709" w:right="845"/>
        <w:contextualSpacing/>
        <w:rPr>
          <w:rFonts w:ascii="Tahoma" w:eastAsia="Tahoma" w:hAnsi="Tahoma" w:cs="Tahoma"/>
          <w:szCs w:val="24"/>
        </w:rPr>
      </w:pPr>
      <w:r w:rsidRPr="00B90136">
        <w:rPr>
          <w:rFonts w:ascii="Tahoma" w:eastAsia="Tahoma" w:hAnsi="Tahoma" w:cs="Tahoma"/>
          <w:szCs w:val="24"/>
        </w:rPr>
        <w:t xml:space="preserve">SALA PRIMERA DE DECISION LABORAL </w:t>
      </w:r>
    </w:p>
    <w:p w14:paraId="0000001A" w14:textId="77777777" w:rsidR="001738DF" w:rsidRPr="00B90136" w:rsidRDefault="001738DF" w:rsidP="00B90136">
      <w:pPr>
        <w:spacing w:line="276" w:lineRule="auto"/>
        <w:jc w:val="center"/>
        <w:rPr>
          <w:szCs w:val="24"/>
        </w:rPr>
      </w:pPr>
    </w:p>
    <w:p w14:paraId="0000001C" w14:textId="42F2A282" w:rsidR="001738DF" w:rsidRPr="00B90136" w:rsidRDefault="00E4412A" w:rsidP="00B90136">
      <w:pPr>
        <w:spacing w:line="276" w:lineRule="auto"/>
        <w:jc w:val="center"/>
        <w:rPr>
          <w:szCs w:val="24"/>
        </w:rPr>
      </w:pPr>
      <w:r w:rsidRPr="00B90136">
        <w:rPr>
          <w:szCs w:val="24"/>
        </w:rPr>
        <w:t>Magistrada Ponente: </w:t>
      </w:r>
      <w:r w:rsidRPr="00B90136">
        <w:rPr>
          <w:b/>
          <w:szCs w:val="24"/>
        </w:rPr>
        <w:t>Ana Lucía Caicedo Calderón</w:t>
      </w:r>
      <w:r w:rsidRPr="00B90136">
        <w:rPr>
          <w:szCs w:val="24"/>
        </w:rPr>
        <w:t>  </w:t>
      </w:r>
    </w:p>
    <w:p w14:paraId="3AFFF71E" w14:textId="77777777" w:rsidR="00DC42A3" w:rsidRPr="00B90136" w:rsidRDefault="00DC42A3" w:rsidP="00B90136">
      <w:pPr>
        <w:spacing w:line="276" w:lineRule="auto"/>
        <w:jc w:val="center"/>
        <w:rPr>
          <w:szCs w:val="24"/>
        </w:rPr>
      </w:pPr>
    </w:p>
    <w:p w14:paraId="0000001D" w14:textId="19800842" w:rsidR="001738DF" w:rsidRPr="00B90136" w:rsidRDefault="00E4412A" w:rsidP="00B90136">
      <w:pPr>
        <w:spacing w:line="276" w:lineRule="auto"/>
        <w:contextualSpacing/>
        <w:jc w:val="center"/>
        <w:rPr>
          <w:szCs w:val="24"/>
        </w:rPr>
      </w:pPr>
      <w:r w:rsidRPr="00B90136">
        <w:rPr>
          <w:szCs w:val="24"/>
        </w:rPr>
        <w:t xml:space="preserve">Pereira, Risaralda, </w:t>
      </w:r>
      <w:r w:rsidR="00D708B9" w:rsidRPr="00B90136">
        <w:rPr>
          <w:szCs w:val="24"/>
        </w:rPr>
        <w:t>veinticuatro (24) de octubre</w:t>
      </w:r>
      <w:r w:rsidR="009A76B8" w:rsidRPr="00B90136">
        <w:rPr>
          <w:szCs w:val="24"/>
        </w:rPr>
        <w:t xml:space="preserve"> </w:t>
      </w:r>
      <w:r w:rsidRPr="00B90136">
        <w:rPr>
          <w:szCs w:val="24"/>
        </w:rPr>
        <w:t xml:space="preserve">de dos mil </w:t>
      </w:r>
      <w:r w:rsidR="00DC42A3" w:rsidRPr="00B90136">
        <w:rPr>
          <w:szCs w:val="24"/>
        </w:rPr>
        <w:t>veintidós</w:t>
      </w:r>
      <w:r w:rsidRPr="00B90136">
        <w:rPr>
          <w:szCs w:val="24"/>
        </w:rPr>
        <w:t xml:space="preserve"> (202</w:t>
      </w:r>
      <w:r w:rsidR="00DC42A3" w:rsidRPr="00B90136">
        <w:rPr>
          <w:szCs w:val="24"/>
        </w:rPr>
        <w:t>2</w:t>
      </w:r>
      <w:r w:rsidRPr="00B90136">
        <w:rPr>
          <w:szCs w:val="24"/>
        </w:rPr>
        <w:t>)  </w:t>
      </w:r>
    </w:p>
    <w:p w14:paraId="0000001E" w14:textId="52ED4A23" w:rsidR="001738DF" w:rsidRPr="00B90136" w:rsidRDefault="00E4412A" w:rsidP="00B90136">
      <w:pPr>
        <w:spacing w:line="276" w:lineRule="auto"/>
        <w:contextualSpacing/>
        <w:jc w:val="center"/>
        <w:rPr>
          <w:szCs w:val="24"/>
        </w:rPr>
      </w:pPr>
      <w:r w:rsidRPr="00B90136">
        <w:rPr>
          <w:szCs w:val="24"/>
        </w:rPr>
        <w:t> Acta No. </w:t>
      </w:r>
      <w:r w:rsidR="009A76B8" w:rsidRPr="00B90136">
        <w:rPr>
          <w:szCs w:val="24"/>
        </w:rPr>
        <w:t>__</w:t>
      </w:r>
      <w:r w:rsidRPr="00B90136">
        <w:rPr>
          <w:szCs w:val="24"/>
        </w:rPr>
        <w:t xml:space="preserve"> del </w:t>
      </w:r>
      <w:r w:rsidR="00D708B9" w:rsidRPr="00B90136">
        <w:rPr>
          <w:szCs w:val="24"/>
        </w:rPr>
        <w:t>20 de octubre</w:t>
      </w:r>
      <w:r w:rsidRPr="00B90136">
        <w:rPr>
          <w:szCs w:val="24"/>
        </w:rPr>
        <w:t xml:space="preserve"> de 202</w:t>
      </w:r>
      <w:r w:rsidR="00DC42A3" w:rsidRPr="00B90136">
        <w:rPr>
          <w:szCs w:val="24"/>
        </w:rPr>
        <w:t>2</w:t>
      </w:r>
    </w:p>
    <w:p w14:paraId="00000020" w14:textId="08B81E75" w:rsidR="001738DF" w:rsidRPr="00B90136" w:rsidRDefault="001738DF" w:rsidP="00B90136">
      <w:pPr>
        <w:spacing w:line="276" w:lineRule="auto"/>
        <w:rPr>
          <w:b/>
          <w:szCs w:val="24"/>
        </w:rPr>
      </w:pPr>
    </w:p>
    <w:p w14:paraId="1A7518D7" w14:textId="77777777" w:rsidR="00DC42A3" w:rsidRPr="00B90136" w:rsidRDefault="00DC42A3" w:rsidP="00B90136">
      <w:pPr>
        <w:spacing w:line="276" w:lineRule="auto"/>
        <w:rPr>
          <w:b/>
          <w:szCs w:val="24"/>
        </w:rPr>
      </w:pPr>
    </w:p>
    <w:p w14:paraId="00000021" w14:textId="5F62817F" w:rsidR="001738DF" w:rsidRPr="00B90136" w:rsidRDefault="00E4412A" w:rsidP="00B90136">
      <w:pPr>
        <w:spacing w:line="276" w:lineRule="auto"/>
        <w:ind w:firstLine="708"/>
        <w:rPr>
          <w:szCs w:val="24"/>
        </w:rPr>
      </w:pPr>
      <w:bookmarkStart w:id="4" w:name="_heading=h.gjdgxs" w:colFirst="0" w:colLast="0"/>
      <w:bookmarkEnd w:id="4"/>
      <w:r w:rsidRPr="00B90136">
        <w:rPr>
          <w:szCs w:val="24"/>
        </w:rPr>
        <w:t>Teniendo en cuenta que el artículo 15 del Decreto No. 806 del 4 de junio de</w:t>
      </w:r>
      <w:r w:rsidR="00191774" w:rsidRPr="00B90136">
        <w:rPr>
          <w:szCs w:val="24"/>
        </w:rPr>
        <w:t xml:space="preserve"> </w:t>
      </w:r>
      <w:r w:rsidRPr="00B90136">
        <w:rPr>
          <w:szCs w:val="24"/>
        </w:rPr>
        <w:t>2020, expedido por el Ministerio de Justicia y del Derecho, estableció que en la</w:t>
      </w:r>
      <w:r w:rsidR="00191774" w:rsidRPr="00B90136">
        <w:rPr>
          <w:szCs w:val="24"/>
        </w:rPr>
        <w:t xml:space="preserve"> </w:t>
      </w:r>
      <w:r w:rsidRPr="00B90136">
        <w:rPr>
          <w:szCs w:val="24"/>
        </w:rPr>
        <w:t>especialidad laboral se proferirán por escrito las providencias de segunda instancia</w:t>
      </w:r>
      <w:r w:rsidR="00191774" w:rsidRPr="00B90136">
        <w:rPr>
          <w:szCs w:val="24"/>
        </w:rPr>
        <w:t xml:space="preserve"> </w:t>
      </w:r>
      <w:r w:rsidRPr="00B90136">
        <w:rPr>
          <w:szCs w:val="24"/>
        </w:rPr>
        <w:t>en las que se surta el grado jurisdiccional de consulta o se resuelva el recurso de</w:t>
      </w:r>
      <w:r w:rsidR="00191774" w:rsidRPr="00B90136">
        <w:rPr>
          <w:szCs w:val="24"/>
        </w:rPr>
        <w:t xml:space="preserve"> </w:t>
      </w:r>
      <w:r w:rsidRPr="00B90136">
        <w:rPr>
          <w:szCs w:val="24"/>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9E522E">
        <w:rPr>
          <w:b/>
          <w:szCs w:val="24"/>
        </w:rPr>
        <w:t>ordinario laboral</w:t>
      </w:r>
      <w:r w:rsidRPr="00B90136">
        <w:rPr>
          <w:szCs w:val="24"/>
        </w:rPr>
        <w:t xml:space="preserve"> instaurado por </w:t>
      </w:r>
      <w:r w:rsidR="00F45CC1" w:rsidRPr="00B90136">
        <w:rPr>
          <w:b/>
          <w:szCs w:val="24"/>
        </w:rPr>
        <w:t>Fernando Londoño Ramírez</w:t>
      </w:r>
      <w:r w:rsidR="00E47F7B" w:rsidRPr="00B90136">
        <w:rPr>
          <w:b/>
          <w:szCs w:val="24"/>
        </w:rPr>
        <w:t xml:space="preserve"> </w:t>
      </w:r>
      <w:r w:rsidRPr="00B90136">
        <w:rPr>
          <w:szCs w:val="24"/>
        </w:rPr>
        <w:t xml:space="preserve"> en contra de la </w:t>
      </w:r>
      <w:r w:rsidRPr="00B90136">
        <w:rPr>
          <w:b/>
          <w:szCs w:val="24"/>
        </w:rPr>
        <w:t>Administradora Colombiana de Pensiones – Colpensiones</w:t>
      </w:r>
      <w:r w:rsidRPr="00B90136">
        <w:rPr>
          <w:szCs w:val="24"/>
        </w:rPr>
        <w:t xml:space="preserve"> y la </w:t>
      </w:r>
      <w:r w:rsidRPr="00B90136">
        <w:rPr>
          <w:b/>
          <w:szCs w:val="24"/>
        </w:rPr>
        <w:t>Administradora de Fondos de Pensiones –</w:t>
      </w:r>
      <w:r w:rsidRPr="00B90136">
        <w:rPr>
          <w:szCs w:val="24"/>
        </w:rPr>
        <w:t xml:space="preserve"> </w:t>
      </w:r>
      <w:r w:rsidRPr="00B90136">
        <w:rPr>
          <w:b/>
          <w:szCs w:val="24"/>
        </w:rPr>
        <w:t>P</w:t>
      </w:r>
      <w:r w:rsidR="002C6D78" w:rsidRPr="00B90136">
        <w:rPr>
          <w:b/>
          <w:szCs w:val="24"/>
        </w:rPr>
        <w:t>rotección</w:t>
      </w:r>
      <w:r w:rsidRPr="00B90136">
        <w:rPr>
          <w:b/>
          <w:szCs w:val="24"/>
        </w:rPr>
        <w:t xml:space="preserve"> S.A.</w:t>
      </w:r>
    </w:p>
    <w:p w14:paraId="00000023" w14:textId="77777777" w:rsidR="001738DF" w:rsidRPr="00B90136" w:rsidRDefault="001738DF" w:rsidP="00B90136">
      <w:pPr>
        <w:spacing w:line="276" w:lineRule="auto"/>
        <w:rPr>
          <w:szCs w:val="24"/>
        </w:rPr>
      </w:pPr>
    </w:p>
    <w:p w14:paraId="00000024" w14:textId="77777777" w:rsidR="001738DF" w:rsidRPr="00B90136" w:rsidRDefault="00E4412A" w:rsidP="00B90136">
      <w:pPr>
        <w:pBdr>
          <w:top w:val="nil"/>
          <w:left w:val="nil"/>
          <w:bottom w:val="nil"/>
          <w:right w:val="nil"/>
          <w:between w:val="nil"/>
        </w:pBdr>
        <w:spacing w:line="276" w:lineRule="auto"/>
        <w:jc w:val="center"/>
        <w:rPr>
          <w:b/>
          <w:szCs w:val="24"/>
        </w:rPr>
      </w:pPr>
      <w:r w:rsidRPr="00B90136">
        <w:rPr>
          <w:b/>
          <w:szCs w:val="24"/>
        </w:rPr>
        <w:t>PUNTO A TRATAR</w:t>
      </w:r>
    </w:p>
    <w:p w14:paraId="00000025" w14:textId="77777777" w:rsidR="001738DF" w:rsidRPr="00B90136" w:rsidRDefault="001738DF" w:rsidP="00B90136">
      <w:pPr>
        <w:pBdr>
          <w:top w:val="nil"/>
          <w:left w:val="nil"/>
          <w:bottom w:val="nil"/>
          <w:right w:val="nil"/>
          <w:between w:val="nil"/>
        </w:pBdr>
        <w:spacing w:line="276" w:lineRule="auto"/>
        <w:jc w:val="center"/>
        <w:rPr>
          <w:szCs w:val="24"/>
        </w:rPr>
      </w:pPr>
    </w:p>
    <w:p w14:paraId="00000028" w14:textId="3D4E8A5C" w:rsidR="001738DF" w:rsidRPr="00B90136" w:rsidRDefault="00E4412A" w:rsidP="00B90136">
      <w:pPr>
        <w:spacing w:line="276" w:lineRule="auto"/>
        <w:ind w:firstLine="708"/>
        <w:rPr>
          <w:szCs w:val="24"/>
        </w:rPr>
      </w:pPr>
      <w:r w:rsidRPr="00B90136">
        <w:rPr>
          <w:szCs w:val="24"/>
        </w:rPr>
        <w:t xml:space="preserve">Por medio de esta providencia procede la Sala a resolver los recursos de apelación interpuestos por las entidades demandadas en contra de la sentencia proferida el </w:t>
      </w:r>
      <w:r w:rsidR="00F505DE" w:rsidRPr="00B90136">
        <w:rPr>
          <w:szCs w:val="24"/>
        </w:rPr>
        <w:t>7 de junio</w:t>
      </w:r>
      <w:r w:rsidR="00E52B25" w:rsidRPr="00B90136">
        <w:rPr>
          <w:szCs w:val="24"/>
        </w:rPr>
        <w:t xml:space="preserve"> de 2022</w:t>
      </w:r>
      <w:r w:rsidRPr="00B90136">
        <w:rPr>
          <w:szCs w:val="24"/>
        </w:rPr>
        <w:t xml:space="preserve"> por el Juzgado Segundo Laboral del Circuito de </w:t>
      </w:r>
      <w:r w:rsidR="00F45CC1" w:rsidRPr="00B90136">
        <w:rPr>
          <w:szCs w:val="24"/>
        </w:rPr>
        <w:t xml:space="preserve">Pereira; </w:t>
      </w:r>
      <w:r w:rsidR="00E52B25" w:rsidRPr="00B90136">
        <w:rPr>
          <w:szCs w:val="24"/>
        </w:rPr>
        <w:t>A</w:t>
      </w:r>
      <w:r w:rsidR="00DC42A3" w:rsidRPr="00B90136">
        <w:rPr>
          <w:szCs w:val="24"/>
        </w:rPr>
        <w:t>simismo</w:t>
      </w:r>
      <w:r w:rsidRPr="00B90136">
        <w:rPr>
          <w:szCs w:val="24"/>
        </w:rPr>
        <w:t>, se revisará la decisión de instancia en virtud del grado jurisdiccional de consulta respecto de Colpensiones.</w:t>
      </w:r>
      <w:r w:rsidR="00DC42A3" w:rsidRPr="00B90136">
        <w:rPr>
          <w:szCs w:val="24"/>
        </w:rPr>
        <w:t xml:space="preserve"> </w:t>
      </w:r>
      <w:r w:rsidRPr="00B90136">
        <w:rPr>
          <w:szCs w:val="24"/>
        </w:rPr>
        <w:t>Para ello se tiene en cuenta lo siguiente: </w:t>
      </w:r>
    </w:p>
    <w:p w14:paraId="00000029" w14:textId="77777777" w:rsidR="001738DF" w:rsidRPr="00B90136" w:rsidRDefault="001738DF" w:rsidP="00B90136">
      <w:pPr>
        <w:spacing w:line="276" w:lineRule="auto"/>
        <w:ind w:firstLine="708"/>
        <w:rPr>
          <w:szCs w:val="24"/>
        </w:rPr>
      </w:pPr>
    </w:p>
    <w:p w14:paraId="0000002A" w14:textId="6E3A0A1D" w:rsidR="001738DF" w:rsidRPr="00B90136" w:rsidRDefault="00E4412A" w:rsidP="00B90136">
      <w:pPr>
        <w:numPr>
          <w:ilvl w:val="0"/>
          <w:numId w:val="1"/>
        </w:numPr>
        <w:pBdr>
          <w:top w:val="nil"/>
          <w:left w:val="nil"/>
          <w:bottom w:val="nil"/>
          <w:right w:val="nil"/>
          <w:between w:val="nil"/>
        </w:pBdr>
        <w:tabs>
          <w:tab w:val="left" w:pos="284"/>
        </w:tabs>
        <w:spacing w:line="276" w:lineRule="auto"/>
        <w:ind w:left="0" w:firstLine="0"/>
        <w:jc w:val="center"/>
        <w:rPr>
          <w:b/>
          <w:szCs w:val="24"/>
        </w:rPr>
      </w:pPr>
      <w:r w:rsidRPr="00B90136">
        <w:rPr>
          <w:b/>
          <w:szCs w:val="24"/>
        </w:rPr>
        <w:t xml:space="preserve">Demanda y </w:t>
      </w:r>
      <w:r w:rsidR="00922D62" w:rsidRPr="00B90136">
        <w:rPr>
          <w:b/>
          <w:szCs w:val="24"/>
        </w:rPr>
        <w:t>la</w:t>
      </w:r>
      <w:r w:rsidRPr="00B90136">
        <w:rPr>
          <w:b/>
          <w:szCs w:val="24"/>
        </w:rPr>
        <w:t xml:space="preserve"> contestación</w:t>
      </w:r>
      <w:r w:rsidR="00922D62" w:rsidRPr="00B90136">
        <w:rPr>
          <w:b/>
          <w:szCs w:val="24"/>
        </w:rPr>
        <w:t xml:space="preserve"> de la demanda</w:t>
      </w:r>
    </w:p>
    <w:p w14:paraId="0000002B" w14:textId="77777777" w:rsidR="001738DF" w:rsidRPr="00B90136" w:rsidRDefault="001738DF" w:rsidP="00B90136">
      <w:pPr>
        <w:spacing w:line="276" w:lineRule="auto"/>
        <w:ind w:left="360"/>
        <w:rPr>
          <w:szCs w:val="24"/>
        </w:rPr>
      </w:pPr>
    </w:p>
    <w:p w14:paraId="2472ED22" w14:textId="13B98923" w:rsidR="008E1EC4" w:rsidRPr="00B90136" w:rsidRDefault="00EA2A3C" w:rsidP="00B90136">
      <w:pPr>
        <w:spacing w:line="276" w:lineRule="auto"/>
        <w:ind w:firstLine="700"/>
        <w:rPr>
          <w:rFonts w:eastAsia="Times New Roman"/>
          <w:color w:val="000000"/>
          <w:szCs w:val="24"/>
          <w:lang w:val="es-CO"/>
        </w:rPr>
      </w:pPr>
      <w:r w:rsidRPr="00B90136">
        <w:rPr>
          <w:rFonts w:eastAsia="Times New Roman"/>
          <w:color w:val="000000"/>
          <w:szCs w:val="24"/>
        </w:rPr>
        <w:t>El</w:t>
      </w:r>
      <w:r w:rsidR="008E1EC4" w:rsidRPr="00B90136">
        <w:rPr>
          <w:rFonts w:eastAsia="Times New Roman"/>
          <w:color w:val="000000"/>
          <w:szCs w:val="24"/>
          <w:lang w:val="es-CO"/>
        </w:rPr>
        <w:t xml:space="preserve"> citad</w:t>
      </w:r>
      <w:r w:rsidRPr="00B90136">
        <w:rPr>
          <w:rFonts w:eastAsia="Times New Roman"/>
          <w:color w:val="000000"/>
          <w:szCs w:val="24"/>
          <w:lang w:val="es-CO"/>
        </w:rPr>
        <w:t>o</w:t>
      </w:r>
      <w:r w:rsidR="008E1EC4" w:rsidRPr="00B90136">
        <w:rPr>
          <w:rFonts w:eastAsia="Times New Roman"/>
          <w:color w:val="000000"/>
          <w:szCs w:val="24"/>
          <w:lang w:val="es-CO"/>
        </w:rPr>
        <w:t xml:space="preserve"> demandante busca que se declare la ineficacia de la afiliación que realizó a </w:t>
      </w:r>
      <w:r w:rsidRPr="00B90136">
        <w:rPr>
          <w:rFonts w:eastAsia="Times New Roman"/>
          <w:color w:val="000000"/>
          <w:szCs w:val="24"/>
          <w:lang w:val="es-CO"/>
        </w:rPr>
        <w:t>Colmena, hoy Protección</w:t>
      </w:r>
      <w:r w:rsidR="008E1EC4" w:rsidRPr="00B90136">
        <w:rPr>
          <w:rFonts w:eastAsia="Times New Roman"/>
          <w:color w:val="000000"/>
          <w:szCs w:val="24"/>
          <w:lang w:val="es-CO"/>
        </w:rPr>
        <w:t xml:space="preserve"> S.A., a través de la cual se trasladó del régimen de prima media con prestación definida (en adelante RPM) al régimen de ahorro individual con solidaridad (en adelante RAIS).</w:t>
      </w:r>
    </w:p>
    <w:p w14:paraId="67FFFF80" w14:textId="77777777" w:rsidR="008E1EC4" w:rsidRPr="00B90136" w:rsidRDefault="008E1EC4" w:rsidP="00B90136">
      <w:pPr>
        <w:spacing w:line="276" w:lineRule="auto"/>
        <w:ind w:firstLine="700"/>
        <w:rPr>
          <w:rFonts w:eastAsia="Times New Roman"/>
          <w:color w:val="000000"/>
          <w:szCs w:val="24"/>
          <w:lang w:val="es-CO"/>
        </w:rPr>
      </w:pPr>
      <w:r w:rsidRPr="00B90136">
        <w:rPr>
          <w:rFonts w:eastAsia="Times New Roman"/>
          <w:color w:val="000000"/>
          <w:szCs w:val="24"/>
          <w:lang w:val="es-CO"/>
        </w:rPr>
        <w:t> </w:t>
      </w:r>
    </w:p>
    <w:p w14:paraId="62F9BCA5" w14:textId="17FD3DCD" w:rsidR="008E1EC4" w:rsidRPr="00B90136" w:rsidRDefault="008E1EC4" w:rsidP="00B90136">
      <w:pPr>
        <w:spacing w:line="276" w:lineRule="auto"/>
        <w:ind w:firstLine="700"/>
        <w:rPr>
          <w:rFonts w:eastAsia="Times New Roman"/>
          <w:color w:val="000000"/>
          <w:szCs w:val="24"/>
          <w:lang w:val="es-CO"/>
        </w:rPr>
      </w:pPr>
      <w:r w:rsidRPr="00B90136">
        <w:rPr>
          <w:rFonts w:eastAsia="Times New Roman"/>
          <w:color w:val="000000"/>
          <w:szCs w:val="24"/>
          <w:lang w:val="es-CO"/>
        </w:rPr>
        <w:t>Asimismo, pretende que se declare válida, vigente y sin solución de continuidad su afiliación al régimen de prima media con prestación definida administrado por Colpensiones</w:t>
      </w:r>
      <w:r w:rsidR="004C45D7" w:rsidRPr="00B90136">
        <w:rPr>
          <w:rFonts w:eastAsia="Times New Roman"/>
          <w:color w:val="000000"/>
          <w:szCs w:val="24"/>
          <w:lang w:val="es-CO"/>
        </w:rPr>
        <w:t>.</w:t>
      </w:r>
    </w:p>
    <w:p w14:paraId="0E9DE0E5" w14:textId="3D69E4FB" w:rsidR="008C3FF6" w:rsidRPr="00B90136" w:rsidRDefault="008E1EC4" w:rsidP="00B90136">
      <w:pPr>
        <w:spacing w:line="276" w:lineRule="auto"/>
        <w:ind w:firstLine="700"/>
        <w:rPr>
          <w:rFonts w:eastAsia="Times New Roman"/>
          <w:color w:val="000000"/>
          <w:szCs w:val="24"/>
          <w:lang w:val="es-CO"/>
        </w:rPr>
      </w:pPr>
      <w:r w:rsidRPr="00B90136">
        <w:rPr>
          <w:rFonts w:eastAsia="Times New Roman"/>
          <w:color w:val="000000"/>
          <w:szCs w:val="24"/>
          <w:lang w:val="es-CO"/>
        </w:rPr>
        <w:t> </w:t>
      </w:r>
    </w:p>
    <w:p w14:paraId="59C969B0" w14:textId="7A2366C1" w:rsidR="008C3FF6" w:rsidRPr="00B90136" w:rsidRDefault="008C3FF6" w:rsidP="00B90136">
      <w:pPr>
        <w:spacing w:line="276" w:lineRule="auto"/>
        <w:ind w:firstLine="709"/>
        <w:contextualSpacing/>
        <w:rPr>
          <w:szCs w:val="24"/>
        </w:rPr>
      </w:pPr>
      <w:r w:rsidRPr="00B90136">
        <w:rPr>
          <w:szCs w:val="24"/>
        </w:rPr>
        <w:t>En consecuencia, procura que se condene a Protección S.A. a liberarlo de su base de datos y a trasladar a Colpensiones todos los valores que hubiera recibido con ocasión de su afiliación. Adicionalmente, solicita que se condene a esta última a recibirla nuevamente como afiliada cotizante.</w:t>
      </w:r>
    </w:p>
    <w:p w14:paraId="0000002F" w14:textId="77777777" w:rsidR="001738DF" w:rsidRPr="00B90136" w:rsidRDefault="001738DF" w:rsidP="00B90136">
      <w:pPr>
        <w:spacing w:line="276" w:lineRule="auto"/>
        <w:rPr>
          <w:szCs w:val="24"/>
        </w:rPr>
      </w:pPr>
    </w:p>
    <w:p w14:paraId="00000030" w14:textId="41AF3490" w:rsidR="001738DF" w:rsidRPr="00B90136" w:rsidRDefault="00E4412A" w:rsidP="00B90136">
      <w:pPr>
        <w:spacing w:line="276" w:lineRule="auto"/>
        <w:ind w:firstLine="709"/>
        <w:rPr>
          <w:szCs w:val="24"/>
        </w:rPr>
      </w:pPr>
      <w:r w:rsidRPr="00B90136">
        <w:rPr>
          <w:szCs w:val="24"/>
        </w:rPr>
        <w:t>Por último, pide que se condene a P</w:t>
      </w:r>
      <w:r w:rsidR="008C3FF6" w:rsidRPr="00B90136">
        <w:rPr>
          <w:szCs w:val="24"/>
        </w:rPr>
        <w:t>rotección</w:t>
      </w:r>
      <w:r w:rsidRPr="00B90136">
        <w:rPr>
          <w:szCs w:val="24"/>
        </w:rPr>
        <w:t xml:space="preserve"> S.A a cancelar las costas procesales y a lo extra y ultra petita debatido y probado en el proceso.</w:t>
      </w:r>
    </w:p>
    <w:p w14:paraId="00000031" w14:textId="77777777" w:rsidR="001738DF" w:rsidRPr="00B90136" w:rsidRDefault="001738DF" w:rsidP="00B90136">
      <w:pPr>
        <w:spacing w:line="276" w:lineRule="auto"/>
        <w:ind w:left="360"/>
        <w:rPr>
          <w:szCs w:val="24"/>
        </w:rPr>
      </w:pPr>
    </w:p>
    <w:p w14:paraId="32ADD17F" w14:textId="4E696EB9" w:rsidR="00DE7C8D" w:rsidRPr="00B90136" w:rsidRDefault="00DE7C8D" w:rsidP="00B90136">
      <w:pPr>
        <w:spacing w:line="276" w:lineRule="auto"/>
        <w:ind w:firstLine="709"/>
        <w:rPr>
          <w:szCs w:val="24"/>
        </w:rPr>
      </w:pPr>
      <w:r w:rsidRPr="00B90136">
        <w:rPr>
          <w:szCs w:val="24"/>
        </w:rPr>
        <w:t xml:space="preserve">En sustento de lo pretendido, relata la demandante que nació el </w:t>
      </w:r>
      <w:r w:rsidR="005C1AA3" w:rsidRPr="00B90136">
        <w:rPr>
          <w:szCs w:val="24"/>
        </w:rPr>
        <w:t>1 de febrero de 1961</w:t>
      </w:r>
      <w:r w:rsidRPr="00B90136">
        <w:rPr>
          <w:szCs w:val="24"/>
        </w:rPr>
        <w:t xml:space="preserve"> y que el 3</w:t>
      </w:r>
      <w:r w:rsidR="005C1AA3" w:rsidRPr="00B90136">
        <w:rPr>
          <w:szCs w:val="24"/>
        </w:rPr>
        <w:t xml:space="preserve">6 de agosto de 1978 </w:t>
      </w:r>
      <w:r w:rsidRPr="00B90136">
        <w:rPr>
          <w:szCs w:val="24"/>
        </w:rPr>
        <w:t xml:space="preserve">se afilió al RPM, suscribiendo posteriormente, el </w:t>
      </w:r>
      <w:r w:rsidR="005C1AA3" w:rsidRPr="00B90136">
        <w:rPr>
          <w:szCs w:val="24"/>
        </w:rPr>
        <w:t>30 de noviembre de 1994</w:t>
      </w:r>
      <w:r w:rsidRPr="00B90136">
        <w:rPr>
          <w:szCs w:val="24"/>
        </w:rPr>
        <w:t xml:space="preserve">, formulario de afiliación a la AFP </w:t>
      </w:r>
      <w:r w:rsidR="005C1AA3" w:rsidRPr="00B90136">
        <w:rPr>
          <w:szCs w:val="24"/>
        </w:rPr>
        <w:t>Protección</w:t>
      </w:r>
      <w:r w:rsidRPr="00B90136">
        <w:rPr>
          <w:szCs w:val="24"/>
        </w:rPr>
        <w:t xml:space="preserve"> S.A.</w:t>
      </w:r>
    </w:p>
    <w:p w14:paraId="6DA0986D" w14:textId="77777777" w:rsidR="00DE7C8D" w:rsidRPr="00B90136" w:rsidRDefault="00DE7C8D" w:rsidP="00B90136">
      <w:pPr>
        <w:spacing w:line="276" w:lineRule="auto"/>
        <w:ind w:firstLine="709"/>
        <w:rPr>
          <w:szCs w:val="24"/>
        </w:rPr>
      </w:pPr>
    </w:p>
    <w:p w14:paraId="0F1C8B7B" w14:textId="335F7B54" w:rsidR="00F7512D" w:rsidRPr="00B90136" w:rsidRDefault="00F7512D" w:rsidP="00B90136">
      <w:pPr>
        <w:spacing w:line="276" w:lineRule="auto"/>
        <w:ind w:firstLine="708"/>
        <w:contextualSpacing/>
        <w:rPr>
          <w:szCs w:val="24"/>
        </w:rPr>
      </w:pPr>
      <w:bookmarkStart w:id="5" w:name="_heading=h.30j0zll" w:colFirst="0" w:colLast="0"/>
      <w:bookmarkEnd w:id="5"/>
      <w:r w:rsidRPr="00B90136">
        <w:rPr>
          <w:szCs w:val="24"/>
        </w:rPr>
        <w:lastRenderedPageBreak/>
        <w:t>Refiere que el asesor de la AFP Colmena que gestionó su traslado se limitó a ofrecer el traslado de régimen pero omitió brindarle la asesoría completa sobre los dos regímenes, tales como beneficios y desventajas de cada régimen pensional</w:t>
      </w:r>
    </w:p>
    <w:p w14:paraId="551FA9DA" w14:textId="77777777" w:rsidR="00F7512D" w:rsidRPr="00B90136" w:rsidRDefault="00F7512D" w:rsidP="00B90136">
      <w:pPr>
        <w:spacing w:line="276" w:lineRule="auto"/>
        <w:ind w:firstLine="708"/>
        <w:contextualSpacing/>
        <w:rPr>
          <w:szCs w:val="24"/>
        </w:rPr>
      </w:pPr>
    </w:p>
    <w:p w14:paraId="3AC3F011" w14:textId="616E6A35" w:rsidR="00F7512D" w:rsidRPr="00B90136" w:rsidRDefault="00F7512D" w:rsidP="00B90136">
      <w:pPr>
        <w:spacing w:line="276" w:lineRule="auto"/>
        <w:ind w:firstLine="708"/>
        <w:contextualSpacing/>
        <w:rPr>
          <w:szCs w:val="24"/>
        </w:rPr>
      </w:pPr>
      <w:r w:rsidRPr="00B90136">
        <w:rPr>
          <w:szCs w:val="24"/>
        </w:rPr>
        <w:t>Agrega que Protección S.A le comunicó que no contaba con el soporte documental de la asesoría que le brindó al momento del traslado y, por último, señala que el 20 de enero de 2020 Colpensiones negó su solicitud de traslado al régimen de prima media, bajo el argumento de que se</w:t>
      </w:r>
      <w:r w:rsidRPr="00B90136">
        <w:rPr>
          <w:i/>
          <w:szCs w:val="24"/>
        </w:rPr>
        <w:t xml:space="preserve"> </w:t>
      </w:r>
      <w:r w:rsidRPr="00B90136">
        <w:rPr>
          <w:szCs w:val="24"/>
        </w:rPr>
        <w:t>encontraba a diez años o menos del requisito de tiempo para pensionarse.</w:t>
      </w:r>
    </w:p>
    <w:p w14:paraId="63ED6A8A" w14:textId="77777777" w:rsidR="00F7512D" w:rsidRPr="00B90136" w:rsidRDefault="00F7512D" w:rsidP="00B90136">
      <w:pPr>
        <w:spacing w:line="276" w:lineRule="auto"/>
        <w:ind w:firstLine="708"/>
        <w:contextualSpacing/>
        <w:rPr>
          <w:szCs w:val="24"/>
        </w:rPr>
      </w:pPr>
    </w:p>
    <w:p w14:paraId="47F6AA74" w14:textId="359A788D" w:rsidR="00F7512D" w:rsidRPr="00B90136" w:rsidRDefault="00F7512D" w:rsidP="00B90136">
      <w:pPr>
        <w:spacing w:line="276" w:lineRule="auto"/>
        <w:ind w:firstLine="709"/>
        <w:rPr>
          <w:szCs w:val="24"/>
        </w:rPr>
      </w:pPr>
      <w:r w:rsidRPr="00B90136">
        <w:rPr>
          <w:b/>
          <w:szCs w:val="24"/>
        </w:rPr>
        <w:t>Colpensiones</w:t>
      </w:r>
      <w:r w:rsidRPr="00B90136">
        <w:rPr>
          <w:szCs w:val="24"/>
        </w:rPr>
        <w:t xml:space="preserve"> se opuso a la totalidad de las pretensiones de la demanda arguyendo que no </w:t>
      </w:r>
      <w:r w:rsidR="00474E56" w:rsidRPr="00B90136">
        <w:rPr>
          <w:szCs w:val="24"/>
        </w:rPr>
        <w:t>se logra</w:t>
      </w:r>
      <w:r w:rsidRPr="00B90136">
        <w:rPr>
          <w:szCs w:val="24"/>
        </w:rPr>
        <w:t xml:space="preserve"> evidenciar que haya existido engaño alguno, puesto que la afiliación se dio en virtud de su libertad de escogencia de régimen pensional y no a una nulidad por</w:t>
      </w:r>
      <w:r w:rsidR="009E522E">
        <w:rPr>
          <w:szCs w:val="24"/>
        </w:rPr>
        <w:t xml:space="preserve"> </w:t>
      </w:r>
      <w:r w:rsidRPr="00B90136">
        <w:rPr>
          <w:szCs w:val="24"/>
        </w:rPr>
        <w:t>vicio en el consentimiento como se viene alegando, el actor era consiente de en cual régimen deseaba estar, tanto así que actualmente lleva más de 17 años desde la fecha de la afiliación.</w:t>
      </w:r>
    </w:p>
    <w:p w14:paraId="44115BC0" w14:textId="77777777" w:rsidR="00F7512D" w:rsidRPr="00B90136" w:rsidRDefault="00F7512D" w:rsidP="00B90136">
      <w:pPr>
        <w:spacing w:line="276" w:lineRule="auto"/>
        <w:rPr>
          <w:szCs w:val="24"/>
        </w:rPr>
      </w:pPr>
    </w:p>
    <w:p w14:paraId="653BAFFF" w14:textId="39B04F25" w:rsidR="00F7512D" w:rsidRPr="00B90136" w:rsidRDefault="00F7512D" w:rsidP="00B90136">
      <w:pPr>
        <w:spacing w:line="276" w:lineRule="auto"/>
        <w:ind w:firstLine="709"/>
        <w:rPr>
          <w:szCs w:val="24"/>
        </w:rPr>
      </w:pPr>
      <w:r w:rsidRPr="00B90136">
        <w:rPr>
          <w:color w:val="000000" w:themeColor="text1"/>
          <w:szCs w:val="24"/>
        </w:rPr>
        <w:t xml:space="preserve">En esa medida, invocó como excepciones de mérito las que denominó </w:t>
      </w:r>
      <w:r w:rsidRPr="00B90136">
        <w:rPr>
          <w:szCs w:val="24"/>
        </w:rPr>
        <w:t>“Validez de la afiliación al RAIS”; “Saneamiento de una presunta nulidad”; “Solicitud de traslado de dineros de gastos de administración”; “Prescripción”; “</w:t>
      </w:r>
      <w:r w:rsidR="00C636D6" w:rsidRPr="00B90136">
        <w:rPr>
          <w:szCs w:val="24"/>
        </w:rPr>
        <w:t>Imposibilidad jurídica para</w:t>
      </w:r>
      <w:r w:rsidRPr="00B90136">
        <w:rPr>
          <w:szCs w:val="24"/>
        </w:rPr>
        <w:t xml:space="preserve"> reconocer y pagar derechos por fuera del ordenamiento legal”; “Buena fe: Colpensiones”; e “Imposibilidad de condena en costas”.</w:t>
      </w:r>
    </w:p>
    <w:p w14:paraId="3558E478" w14:textId="159D82D2" w:rsidR="00F7512D" w:rsidRPr="00B90136" w:rsidRDefault="00F7512D" w:rsidP="00B90136">
      <w:pPr>
        <w:spacing w:line="276" w:lineRule="auto"/>
        <w:ind w:firstLine="708"/>
        <w:contextualSpacing/>
        <w:rPr>
          <w:szCs w:val="24"/>
        </w:rPr>
      </w:pPr>
    </w:p>
    <w:p w14:paraId="357F9971" w14:textId="77777777" w:rsidR="00C636D6" w:rsidRPr="00B90136" w:rsidRDefault="00C636D6" w:rsidP="00B90136">
      <w:pPr>
        <w:spacing w:line="276" w:lineRule="auto"/>
        <w:ind w:firstLine="851"/>
        <w:rPr>
          <w:iCs/>
          <w:szCs w:val="24"/>
        </w:rPr>
      </w:pPr>
      <w:r w:rsidRPr="00B90136">
        <w:rPr>
          <w:b/>
          <w:bCs/>
          <w:iCs/>
          <w:szCs w:val="24"/>
        </w:rPr>
        <w:t>Protección S.A.</w:t>
      </w:r>
      <w:r w:rsidRPr="00B90136">
        <w:rPr>
          <w:iCs/>
          <w:szCs w:val="24"/>
        </w:rPr>
        <w:t xml:space="preserve"> se opuso a todo lo pretendido por la demandada, manifestando que el actor no puede ser víctima de la omisión de la información </w:t>
      </w:r>
      <w:r w:rsidRPr="00B90136">
        <w:rPr>
          <w:szCs w:val="24"/>
        </w:rPr>
        <w:t>en el momento de su decisión de trasladarse de régimen, pues es un acto de su propia  voluntad,  porque no es y no lo era  sujeto susceptible  de  beneficiarse  del  régimen  de  transición,  por  no  haber  cotizado  al  sistema los  15  años  de  prestación    de  servicios  que  exige  la  ley  y  la  jurisprudencia nacional, porque de haber reunido el requisito de la edad, la misma ley prevé  que  al  respecto  y  por  su  migración  hubo  de  proceder  por  ello  la  renuncia voluntaria a dicho régimen,  así  entonces  es  que tampoco pudo ser sujeto susceptible de engaño por no habérsele hecho incurrir en error sobre el objeto    de    la    contratación    en    lo    relativo    a    sus    derechos prestacionales, características y condiciones del régimen que acogía.</w:t>
      </w:r>
    </w:p>
    <w:p w14:paraId="3B2878C5" w14:textId="77777777" w:rsidR="00C636D6" w:rsidRPr="00B90136" w:rsidRDefault="00C636D6" w:rsidP="00B90136">
      <w:pPr>
        <w:spacing w:line="276" w:lineRule="auto"/>
        <w:rPr>
          <w:iCs/>
          <w:szCs w:val="24"/>
        </w:rPr>
      </w:pPr>
    </w:p>
    <w:p w14:paraId="1A04085F" w14:textId="7B2E52B9" w:rsidR="00C636D6" w:rsidRPr="00B90136" w:rsidRDefault="00C636D6" w:rsidP="00B90136">
      <w:pPr>
        <w:spacing w:line="276" w:lineRule="auto"/>
        <w:ind w:firstLine="851"/>
        <w:rPr>
          <w:iCs/>
          <w:szCs w:val="24"/>
        </w:rPr>
      </w:pPr>
      <w:r w:rsidRPr="00B90136">
        <w:rPr>
          <w:szCs w:val="24"/>
        </w:rPr>
        <w:t xml:space="preserve">En ese sentido, propuso excepciones de mérito que denominó como “Genérica </w:t>
      </w:r>
      <w:proofErr w:type="spellStart"/>
      <w:r w:rsidRPr="00B90136">
        <w:rPr>
          <w:szCs w:val="24"/>
        </w:rPr>
        <w:t>ó</w:t>
      </w:r>
      <w:proofErr w:type="spellEnd"/>
      <w:r w:rsidRPr="00B90136">
        <w:rPr>
          <w:szCs w:val="24"/>
        </w:rPr>
        <w:t xml:space="preserve">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y “Excepción de mérito cuotas de administración.”</w:t>
      </w:r>
    </w:p>
    <w:p w14:paraId="0D309CFA" w14:textId="77777777" w:rsidR="00D22EC0" w:rsidRPr="00B90136" w:rsidRDefault="00D22EC0" w:rsidP="00B90136">
      <w:pPr>
        <w:spacing w:line="276" w:lineRule="auto"/>
        <w:ind w:firstLine="426"/>
        <w:rPr>
          <w:szCs w:val="24"/>
        </w:rPr>
      </w:pPr>
    </w:p>
    <w:p w14:paraId="0000003C" w14:textId="77777777" w:rsidR="001738DF" w:rsidRPr="00B90136" w:rsidRDefault="00E4412A" w:rsidP="00B90136">
      <w:pPr>
        <w:numPr>
          <w:ilvl w:val="0"/>
          <w:numId w:val="1"/>
        </w:numPr>
        <w:pBdr>
          <w:top w:val="nil"/>
          <w:left w:val="nil"/>
          <w:bottom w:val="nil"/>
          <w:right w:val="nil"/>
          <w:between w:val="nil"/>
        </w:pBdr>
        <w:spacing w:line="276" w:lineRule="auto"/>
        <w:ind w:left="426" w:hanging="426"/>
        <w:jc w:val="center"/>
        <w:rPr>
          <w:b/>
          <w:szCs w:val="24"/>
        </w:rPr>
      </w:pPr>
      <w:r w:rsidRPr="00B90136">
        <w:rPr>
          <w:b/>
          <w:szCs w:val="24"/>
        </w:rPr>
        <w:t>Sentencia de primera instancia</w:t>
      </w:r>
    </w:p>
    <w:p w14:paraId="2FEA5411" w14:textId="77777777" w:rsidR="00270B41" w:rsidRPr="00B90136" w:rsidRDefault="00270B41" w:rsidP="00B90136">
      <w:pPr>
        <w:pBdr>
          <w:top w:val="nil"/>
          <w:left w:val="nil"/>
          <w:bottom w:val="nil"/>
          <w:right w:val="nil"/>
          <w:between w:val="nil"/>
        </w:pBdr>
        <w:spacing w:line="276" w:lineRule="auto"/>
        <w:ind w:firstLine="709"/>
        <w:rPr>
          <w:szCs w:val="24"/>
        </w:rPr>
      </w:pPr>
    </w:p>
    <w:p w14:paraId="4801BFCC" w14:textId="67F57DFB" w:rsidR="00C636D6" w:rsidRPr="00B90136" w:rsidRDefault="00C636D6" w:rsidP="00B90136">
      <w:pPr>
        <w:spacing w:line="276" w:lineRule="auto"/>
        <w:ind w:firstLine="709"/>
        <w:rPr>
          <w:rFonts w:eastAsia="Calibri"/>
          <w:szCs w:val="24"/>
        </w:rPr>
      </w:pPr>
      <w:r w:rsidRPr="00B90136">
        <w:rPr>
          <w:rFonts w:eastAsia="Calibri"/>
          <w:szCs w:val="24"/>
        </w:rPr>
        <w:t xml:space="preserve">El Jueza de primera instancia declaró </w:t>
      </w:r>
      <w:r w:rsidRPr="00B90136">
        <w:rPr>
          <w:szCs w:val="24"/>
        </w:rPr>
        <w:t xml:space="preserve">la ineficacia de la afiliación del señor </w:t>
      </w:r>
      <w:r w:rsidR="007228DA" w:rsidRPr="00B90136">
        <w:rPr>
          <w:szCs w:val="24"/>
        </w:rPr>
        <w:t xml:space="preserve">Fernando Londoño Ramírez, </w:t>
      </w:r>
      <w:r w:rsidRPr="00B90136">
        <w:rPr>
          <w:szCs w:val="24"/>
        </w:rPr>
        <w:t xml:space="preserve">a la Administradora </w:t>
      </w:r>
      <w:r w:rsidR="009E522E">
        <w:rPr>
          <w:szCs w:val="24"/>
        </w:rPr>
        <w:t>d</w:t>
      </w:r>
      <w:r w:rsidRPr="00B90136">
        <w:rPr>
          <w:szCs w:val="24"/>
        </w:rPr>
        <w:t xml:space="preserve">e </w:t>
      </w:r>
      <w:r w:rsidR="007228DA" w:rsidRPr="00B90136">
        <w:rPr>
          <w:szCs w:val="24"/>
        </w:rPr>
        <w:t xml:space="preserve">Cesantías </w:t>
      </w:r>
      <w:r w:rsidR="009E522E">
        <w:rPr>
          <w:szCs w:val="24"/>
        </w:rPr>
        <w:t>y</w:t>
      </w:r>
      <w:r w:rsidRPr="00B90136">
        <w:rPr>
          <w:szCs w:val="24"/>
        </w:rPr>
        <w:t xml:space="preserve"> Pensiones Colmena hoy Protección S.A</w:t>
      </w:r>
      <w:r w:rsidR="009E522E">
        <w:rPr>
          <w:szCs w:val="24"/>
        </w:rPr>
        <w:t>.</w:t>
      </w:r>
      <w:r w:rsidRPr="00B90136">
        <w:rPr>
          <w:szCs w:val="24"/>
        </w:rPr>
        <w:t xml:space="preserve">, suscrita el 30 de noviembre de 1994, que se constituyó en traslado del Régimen </w:t>
      </w:r>
      <w:r w:rsidR="009E522E">
        <w:rPr>
          <w:szCs w:val="24"/>
        </w:rPr>
        <w:t>d</w:t>
      </w:r>
      <w:r w:rsidRPr="00B90136">
        <w:rPr>
          <w:szCs w:val="24"/>
        </w:rPr>
        <w:t xml:space="preserve">e Prima Media </w:t>
      </w:r>
      <w:r w:rsidR="009E522E">
        <w:rPr>
          <w:szCs w:val="24"/>
        </w:rPr>
        <w:t>c</w:t>
      </w:r>
      <w:r w:rsidRPr="00B90136">
        <w:rPr>
          <w:szCs w:val="24"/>
        </w:rPr>
        <w:t xml:space="preserve">on Prestación Definida </w:t>
      </w:r>
      <w:r w:rsidR="009E522E">
        <w:rPr>
          <w:szCs w:val="24"/>
        </w:rPr>
        <w:t>a</w:t>
      </w:r>
      <w:r w:rsidRPr="00B90136">
        <w:rPr>
          <w:szCs w:val="24"/>
        </w:rPr>
        <w:t xml:space="preserve">l Régimen </w:t>
      </w:r>
      <w:r w:rsidR="009E522E">
        <w:rPr>
          <w:szCs w:val="24"/>
        </w:rPr>
        <w:t>d</w:t>
      </w:r>
      <w:r w:rsidRPr="00B90136">
        <w:rPr>
          <w:szCs w:val="24"/>
        </w:rPr>
        <w:t xml:space="preserve">e Ahorro </w:t>
      </w:r>
      <w:r w:rsidR="00D4303A">
        <w:rPr>
          <w:szCs w:val="24"/>
        </w:rPr>
        <w:t>c</w:t>
      </w:r>
      <w:r w:rsidRPr="00B90136">
        <w:rPr>
          <w:szCs w:val="24"/>
        </w:rPr>
        <w:t>on Solidaridad.</w:t>
      </w:r>
    </w:p>
    <w:p w14:paraId="4A9F4084" w14:textId="77777777" w:rsidR="00C636D6" w:rsidRPr="00B90136" w:rsidRDefault="00C636D6" w:rsidP="00B90136">
      <w:pPr>
        <w:spacing w:line="276" w:lineRule="auto"/>
        <w:rPr>
          <w:szCs w:val="24"/>
        </w:rPr>
      </w:pPr>
    </w:p>
    <w:p w14:paraId="0627C7AF" w14:textId="377C2D40" w:rsidR="00C636D6" w:rsidRPr="00B90136" w:rsidRDefault="00C636D6" w:rsidP="00B90136">
      <w:pPr>
        <w:spacing w:line="276" w:lineRule="auto"/>
        <w:ind w:firstLine="709"/>
        <w:rPr>
          <w:szCs w:val="24"/>
        </w:rPr>
      </w:pPr>
      <w:r w:rsidRPr="00B90136">
        <w:rPr>
          <w:rFonts w:eastAsia="Calibri"/>
          <w:szCs w:val="24"/>
        </w:rPr>
        <w:t xml:space="preserve">En consecuencia, ordenó a </w:t>
      </w:r>
      <w:r w:rsidRPr="00B90136">
        <w:rPr>
          <w:szCs w:val="24"/>
        </w:rPr>
        <w:t xml:space="preserve">Protección S.A., a que efectúe el traslado a </w:t>
      </w:r>
      <w:r w:rsidR="007228DA" w:rsidRPr="00B90136">
        <w:rPr>
          <w:szCs w:val="24"/>
        </w:rPr>
        <w:t xml:space="preserve">Colpensiones, </w:t>
      </w:r>
      <w:r w:rsidRPr="00B90136">
        <w:rPr>
          <w:szCs w:val="24"/>
        </w:rPr>
        <w:t>de la totalidad del capital existente en la cuenta individual del señor Fernando Londoño Ramírez, con sus respectivos rendimientos financieros. Así mismo, a devolver a Colpensiones, con cargo a sus propios recursos y debidamente indexados, el valor de las comisiones y cuotas de administración que cobró al afiliado, así como de las cuotas de garantía de pensión mínima y seguros previsionales, durante el período que el actor estuvo afiliado a ese fondo.</w:t>
      </w:r>
    </w:p>
    <w:p w14:paraId="00000043" w14:textId="7EB1DFD8" w:rsidR="001738DF" w:rsidRPr="00B90136" w:rsidRDefault="001738DF" w:rsidP="00B90136">
      <w:pPr>
        <w:pBdr>
          <w:top w:val="nil"/>
          <w:left w:val="nil"/>
          <w:bottom w:val="nil"/>
          <w:right w:val="nil"/>
          <w:between w:val="nil"/>
        </w:pBdr>
        <w:spacing w:line="276" w:lineRule="auto"/>
        <w:ind w:firstLine="709"/>
        <w:jc w:val="left"/>
        <w:rPr>
          <w:szCs w:val="24"/>
        </w:rPr>
      </w:pPr>
    </w:p>
    <w:p w14:paraId="314BE128" w14:textId="0BFA40CD" w:rsidR="007228DA" w:rsidRPr="00B90136" w:rsidRDefault="005059BF" w:rsidP="00B90136">
      <w:pPr>
        <w:spacing w:line="276" w:lineRule="auto"/>
        <w:ind w:firstLine="709"/>
        <w:rPr>
          <w:rFonts w:eastAsia="Calibri"/>
          <w:szCs w:val="24"/>
        </w:rPr>
      </w:pPr>
      <w:r w:rsidRPr="00B90136">
        <w:rPr>
          <w:rFonts w:eastAsia="Calibri"/>
          <w:szCs w:val="24"/>
        </w:rPr>
        <w:t xml:space="preserve">Por otra parte, ordenó a Colpensiones que </w:t>
      </w:r>
      <w:r w:rsidR="007228DA" w:rsidRPr="00B90136">
        <w:rPr>
          <w:rFonts w:eastAsia="Calibri"/>
          <w:szCs w:val="24"/>
        </w:rPr>
        <w:t>t</w:t>
      </w:r>
      <w:r w:rsidR="007228DA" w:rsidRPr="00B90136">
        <w:rPr>
          <w:szCs w:val="24"/>
        </w:rPr>
        <w:t>ener como</w:t>
      </w:r>
      <w:r w:rsidRPr="00B90136">
        <w:rPr>
          <w:szCs w:val="24"/>
        </w:rPr>
        <w:t xml:space="preserve"> vinculado sin solución de continuidad al actor </w:t>
      </w:r>
      <w:r w:rsidRPr="00B90136">
        <w:rPr>
          <w:szCs w:val="24"/>
          <w:lang w:val="es-MX"/>
        </w:rPr>
        <w:t>y dispuso comunicar la decisión a la OBP del Ministerio de Hacienda y Crédito Público,</w:t>
      </w:r>
      <w:r w:rsidRPr="00B90136">
        <w:rPr>
          <w:szCs w:val="24"/>
        </w:rPr>
        <w:t xml:space="preserve"> para que, en caso de haber emitido el bono pensional, proceda con la anulación del mismo mediante trámite interno.</w:t>
      </w:r>
      <w:r w:rsidR="007228DA" w:rsidRPr="00B90136">
        <w:rPr>
          <w:rFonts w:eastAsia="Calibri"/>
          <w:szCs w:val="24"/>
        </w:rPr>
        <w:t xml:space="preserve"> </w:t>
      </w:r>
    </w:p>
    <w:p w14:paraId="5532D501" w14:textId="77777777" w:rsidR="007228DA" w:rsidRPr="00B90136" w:rsidRDefault="007228DA" w:rsidP="00B90136">
      <w:pPr>
        <w:spacing w:line="276" w:lineRule="auto"/>
        <w:ind w:firstLine="709"/>
        <w:rPr>
          <w:rFonts w:eastAsia="Calibri"/>
          <w:szCs w:val="24"/>
        </w:rPr>
      </w:pPr>
    </w:p>
    <w:p w14:paraId="5E8B27D3" w14:textId="47099200" w:rsidR="007228DA" w:rsidRPr="00B90136" w:rsidRDefault="007228DA" w:rsidP="00B90136">
      <w:pPr>
        <w:spacing w:line="276" w:lineRule="auto"/>
        <w:ind w:firstLine="709"/>
        <w:rPr>
          <w:rFonts w:eastAsia="Calibri"/>
          <w:szCs w:val="24"/>
        </w:rPr>
      </w:pPr>
      <w:r w:rsidRPr="00B90136">
        <w:rPr>
          <w:rFonts w:eastAsia="Calibri"/>
          <w:szCs w:val="24"/>
        </w:rPr>
        <w:t>Por último, condenó en costas a Protección S.A. a favor de la demandante en un 100%.</w:t>
      </w:r>
    </w:p>
    <w:p w14:paraId="5C62300B" w14:textId="77777777" w:rsidR="00C636D6" w:rsidRPr="00B90136" w:rsidRDefault="00C636D6" w:rsidP="00B90136">
      <w:pPr>
        <w:pBdr>
          <w:top w:val="nil"/>
          <w:left w:val="nil"/>
          <w:bottom w:val="nil"/>
          <w:right w:val="nil"/>
          <w:between w:val="nil"/>
        </w:pBdr>
        <w:spacing w:line="276" w:lineRule="auto"/>
        <w:jc w:val="left"/>
        <w:rPr>
          <w:rFonts w:eastAsia="Arial Narrow"/>
          <w:szCs w:val="24"/>
          <w:highlight w:val="yellow"/>
        </w:rPr>
      </w:pPr>
    </w:p>
    <w:p w14:paraId="4D60EF44" w14:textId="1AC7DA66" w:rsidR="00B85832" w:rsidRPr="00B90136" w:rsidRDefault="00E4412A" w:rsidP="00B90136">
      <w:pPr>
        <w:pBdr>
          <w:top w:val="nil"/>
          <w:left w:val="nil"/>
          <w:bottom w:val="nil"/>
          <w:right w:val="nil"/>
          <w:between w:val="nil"/>
        </w:pBdr>
        <w:spacing w:line="276" w:lineRule="auto"/>
        <w:ind w:firstLine="709"/>
        <w:rPr>
          <w:szCs w:val="24"/>
        </w:rPr>
      </w:pPr>
      <w:bookmarkStart w:id="6" w:name="_heading=h.1fob9te" w:colFirst="0" w:colLast="0"/>
      <w:bookmarkEnd w:id="6"/>
      <w:r w:rsidRPr="00B90136">
        <w:rPr>
          <w:szCs w:val="24"/>
        </w:rPr>
        <w:t xml:space="preserve">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w:t>
      </w:r>
    </w:p>
    <w:p w14:paraId="0012349B" w14:textId="77777777" w:rsidR="00B85832" w:rsidRPr="00B90136" w:rsidRDefault="00B85832" w:rsidP="00B90136">
      <w:pPr>
        <w:pBdr>
          <w:top w:val="nil"/>
          <w:left w:val="nil"/>
          <w:bottom w:val="nil"/>
          <w:right w:val="nil"/>
          <w:between w:val="nil"/>
        </w:pBdr>
        <w:spacing w:line="276" w:lineRule="auto"/>
        <w:ind w:firstLine="709"/>
        <w:rPr>
          <w:szCs w:val="24"/>
        </w:rPr>
      </w:pPr>
    </w:p>
    <w:p w14:paraId="00000044" w14:textId="508CCC00" w:rsidR="001738DF" w:rsidRPr="00B90136" w:rsidRDefault="00E4412A" w:rsidP="00B90136">
      <w:pPr>
        <w:pBdr>
          <w:top w:val="nil"/>
          <w:left w:val="nil"/>
          <w:bottom w:val="nil"/>
          <w:right w:val="nil"/>
          <w:between w:val="nil"/>
        </w:pBdr>
        <w:spacing w:line="276" w:lineRule="auto"/>
        <w:ind w:firstLine="720"/>
        <w:rPr>
          <w:szCs w:val="24"/>
        </w:rPr>
      </w:pPr>
      <w:r w:rsidRPr="00B90136">
        <w:rPr>
          <w:szCs w:val="24"/>
        </w:rPr>
        <w:t>Re</w:t>
      </w:r>
      <w:r w:rsidR="00B85832" w:rsidRPr="00B90136">
        <w:rPr>
          <w:szCs w:val="24"/>
        </w:rPr>
        <w:t>sa</w:t>
      </w:r>
      <w:r w:rsidRPr="00B90136">
        <w:rPr>
          <w:szCs w:val="24"/>
        </w:rPr>
        <w:t xml:space="preserve">ltó que para la época del traslado </w:t>
      </w:r>
      <w:r w:rsidR="00B85832" w:rsidRPr="00B90136">
        <w:rPr>
          <w:szCs w:val="24"/>
        </w:rPr>
        <w:t xml:space="preserve">de </w:t>
      </w:r>
      <w:r w:rsidR="005059BF" w:rsidRPr="00B90136">
        <w:rPr>
          <w:szCs w:val="24"/>
        </w:rPr>
        <w:t>al actor</w:t>
      </w:r>
      <w:r w:rsidR="00B85832" w:rsidRPr="00B90136">
        <w:rPr>
          <w:szCs w:val="24"/>
        </w:rPr>
        <w:t xml:space="preserve"> </w:t>
      </w:r>
      <w:r w:rsidRPr="00B90136">
        <w:rPr>
          <w:szCs w:val="24"/>
        </w:rPr>
        <w:t xml:space="preserve">se exigía que la administradora de pensiones ilustrara los elementos definitorios y condiciones tanto del RAIS como del RPM, de manera que al hacer la elección se comprendiera a plenitud las reglas e implicaciones de cada régimen, </w:t>
      </w:r>
      <w:r w:rsidR="00B85832" w:rsidRPr="00B90136">
        <w:rPr>
          <w:szCs w:val="24"/>
        </w:rPr>
        <w:t xml:space="preserve">resultando </w:t>
      </w:r>
      <w:r w:rsidRPr="00B90136">
        <w:rPr>
          <w:szCs w:val="24"/>
        </w:rPr>
        <w:t xml:space="preserve">insuficiente el simple consentimiento vertido en el formulario de afiliación para dar por demostrado el deber de información, toda vez que acredita un consentimiento, pero no informado. </w:t>
      </w:r>
    </w:p>
    <w:p w14:paraId="00000045" w14:textId="77777777" w:rsidR="001738DF" w:rsidRPr="00B90136" w:rsidRDefault="001738DF" w:rsidP="00B90136">
      <w:pPr>
        <w:pBdr>
          <w:top w:val="nil"/>
          <w:left w:val="nil"/>
          <w:bottom w:val="nil"/>
          <w:right w:val="nil"/>
          <w:between w:val="nil"/>
        </w:pBdr>
        <w:spacing w:line="276" w:lineRule="auto"/>
        <w:ind w:firstLine="709"/>
        <w:rPr>
          <w:szCs w:val="24"/>
          <w:highlight w:val="yellow"/>
        </w:rPr>
      </w:pPr>
    </w:p>
    <w:p w14:paraId="00000046" w14:textId="00462146" w:rsidR="001738DF" w:rsidRPr="00B90136" w:rsidRDefault="00E4412A" w:rsidP="00B90136">
      <w:pPr>
        <w:pBdr>
          <w:top w:val="nil"/>
          <w:left w:val="nil"/>
          <w:bottom w:val="nil"/>
          <w:right w:val="nil"/>
          <w:between w:val="nil"/>
        </w:pBdr>
        <w:spacing w:line="276" w:lineRule="auto"/>
        <w:ind w:firstLine="709"/>
        <w:rPr>
          <w:szCs w:val="24"/>
        </w:rPr>
      </w:pPr>
      <w:r w:rsidRPr="00B90136">
        <w:rPr>
          <w:szCs w:val="24"/>
        </w:rPr>
        <w:t>Afirmó que, en estos casos opera una inversión de la carga de la prueba a favor de</w:t>
      </w:r>
      <w:r w:rsidR="00B85832" w:rsidRPr="00B90136">
        <w:rPr>
          <w:szCs w:val="24"/>
        </w:rPr>
        <w:t xml:space="preserve"> </w:t>
      </w:r>
      <w:r w:rsidRPr="00B90136">
        <w:rPr>
          <w:szCs w:val="24"/>
        </w:rPr>
        <w:t>l</w:t>
      </w:r>
      <w:r w:rsidR="00B85832" w:rsidRPr="00B90136">
        <w:rPr>
          <w:szCs w:val="24"/>
        </w:rPr>
        <w:t>a</w:t>
      </w:r>
      <w:r w:rsidRPr="00B90136">
        <w:rPr>
          <w:szCs w:val="24"/>
        </w:rPr>
        <w:t xml:space="preserve"> afiliad</w:t>
      </w:r>
      <w:r w:rsidR="00B85832" w:rsidRPr="00B90136">
        <w:rPr>
          <w:szCs w:val="24"/>
        </w:rPr>
        <w:t>a</w:t>
      </w:r>
      <w:r w:rsidRPr="00B90136">
        <w:rPr>
          <w:szCs w:val="24"/>
        </w:rPr>
        <w:t xml:space="preserve">, por lo que </w:t>
      </w:r>
      <w:r w:rsidR="005059BF" w:rsidRPr="00B90136">
        <w:rPr>
          <w:szCs w:val="24"/>
        </w:rPr>
        <w:t>Protección</w:t>
      </w:r>
      <w:r w:rsidRPr="00B90136">
        <w:rPr>
          <w:szCs w:val="24"/>
        </w:rPr>
        <w:t xml:space="preserve"> S.A. debía acreditar la diligencia o cuidado que tuvo para que ella comprendiera todo lo relacionado con los beneficios y desventajas con el cambio de régimen, así como prever los riesgos y efectos negativos de esa decisión. Sin embargo, </w:t>
      </w:r>
      <w:r w:rsidR="00B85832" w:rsidRPr="00B90136">
        <w:rPr>
          <w:szCs w:val="24"/>
        </w:rPr>
        <w:t>dicha AFP</w:t>
      </w:r>
      <w:r w:rsidRPr="00B90136">
        <w:rPr>
          <w:szCs w:val="24"/>
        </w:rPr>
        <w:t xml:space="preserve"> </w:t>
      </w:r>
      <w:r w:rsidR="00B85832" w:rsidRPr="00B90136">
        <w:rPr>
          <w:szCs w:val="24"/>
        </w:rPr>
        <w:t xml:space="preserve">sólo aportó </w:t>
      </w:r>
      <w:r w:rsidRPr="00B90136">
        <w:rPr>
          <w:szCs w:val="24"/>
        </w:rPr>
        <w:t xml:space="preserve">como prueba el formulario de afiliación, </w:t>
      </w:r>
      <w:r w:rsidR="00B85832" w:rsidRPr="00B90136">
        <w:rPr>
          <w:szCs w:val="24"/>
        </w:rPr>
        <w:t xml:space="preserve">son lograr </w:t>
      </w:r>
      <w:r w:rsidRPr="00B90136">
        <w:rPr>
          <w:szCs w:val="24"/>
        </w:rPr>
        <w:t>acreditar la existencia de un consentimiento informado.</w:t>
      </w:r>
    </w:p>
    <w:p w14:paraId="00000047" w14:textId="77777777" w:rsidR="001738DF" w:rsidRPr="00B90136" w:rsidRDefault="001738DF" w:rsidP="00B90136">
      <w:pPr>
        <w:pBdr>
          <w:top w:val="nil"/>
          <w:left w:val="nil"/>
          <w:bottom w:val="nil"/>
          <w:right w:val="nil"/>
          <w:between w:val="nil"/>
        </w:pBdr>
        <w:spacing w:line="276" w:lineRule="auto"/>
        <w:ind w:firstLine="709"/>
        <w:rPr>
          <w:szCs w:val="24"/>
          <w:highlight w:val="yellow"/>
        </w:rPr>
      </w:pPr>
    </w:p>
    <w:p w14:paraId="30D78251" w14:textId="4F85F1C6" w:rsidR="0024131B" w:rsidRPr="00B90136" w:rsidRDefault="00E4412A" w:rsidP="00B90136">
      <w:pPr>
        <w:pBdr>
          <w:top w:val="nil"/>
          <w:left w:val="nil"/>
          <w:bottom w:val="nil"/>
          <w:right w:val="nil"/>
          <w:between w:val="nil"/>
        </w:pBdr>
        <w:spacing w:line="276" w:lineRule="auto"/>
        <w:ind w:firstLine="709"/>
        <w:rPr>
          <w:szCs w:val="24"/>
        </w:rPr>
      </w:pPr>
      <w:r w:rsidRPr="00B90136">
        <w:rPr>
          <w:szCs w:val="24"/>
        </w:rPr>
        <w:t xml:space="preserve">En cuanto al interrogatorio rendido por </w:t>
      </w:r>
      <w:r w:rsidR="005059BF" w:rsidRPr="00B90136">
        <w:rPr>
          <w:szCs w:val="24"/>
        </w:rPr>
        <w:t>el señor Fernando Londoño Ramírez</w:t>
      </w:r>
      <w:r w:rsidRPr="00B90136">
        <w:rPr>
          <w:szCs w:val="24"/>
        </w:rPr>
        <w:t>, concluyó que de él no se obtuvo confesión alguna que condujera a definir que hubiera existido un consentimiento informado.</w:t>
      </w:r>
      <w:r w:rsidR="00B85832" w:rsidRPr="00B90136">
        <w:rPr>
          <w:szCs w:val="24"/>
        </w:rPr>
        <w:t xml:space="preserve"> </w:t>
      </w:r>
      <w:r w:rsidRPr="00B90136">
        <w:rPr>
          <w:szCs w:val="24"/>
        </w:rPr>
        <w:t xml:space="preserve">Por lo dicho, concluyó que se </w:t>
      </w:r>
      <w:r w:rsidR="00951DF9" w:rsidRPr="00B90136">
        <w:rPr>
          <w:szCs w:val="24"/>
        </w:rPr>
        <w:t>presentó una</w:t>
      </w:r>
      <w:r w:rsidRPr="00B90136">
        <w:rPr>
          <w:szCs w:val="24"/>
        </w:rPr>
        <w:t xml:space="preserve"> </w:t>
      </w:r>
      <w:r w:rsidRPr="00B90136">
        <w:rPr>
          <w:szCs w:val="24"/>
        </w:rPr>
        <w:lastRenderedPageBreak/>
        <w:t xml:space="preserve">indebida asesoría </w:t>
      </w:r>
      <w:r w:rsidR="00951DF9" w:rsidRPr="00B90136">
        <w:rPr>
          <w:szCs w:val="24"/>
        </w:rPr>
        <w:t xml:space="preserve">que vició </w:t>
      </w:r>
      <w:r w:rsidRPr="00B90136">
        <w:rPr>
          <w:szCs w:val="24"/>
        </w:rPr>
        <w:t xml:space="preserve">el consentimiento </w:t>
      </w:r>
      <w:r w:rsidR="00951DF9" w:rsidRPr="00B90136">
        <w:rPr>
          <w:szCs w:val="24"/>
        </w:rPr>
        <w:t xml:space="preserve">de aquella en </w:t>
      </w:r>
      <w:r w:rsidRPr="00B90136">
        <w:rPr>
          <w:szCs w:val="24"/>
        </w:rPr>
        <w:t>l</w:t>
      </w:r>
      <w:r w:rsidR="00951DF9" w:rsidRPr="00B90136">
        <w:rPr>
          <w:szCs w:val="24"/>
        </w:rPr>
        <w:t>a</w:t>
      </w:r>
      <w:r w:rsidRPr="00B90136">
        <w:rPr>
          <w:szCs w:val="24"/>
        </w:rPr>
        <w:t xml:space="preserve"> vinculación a</w:t>
      </w:r>
      <w:r w:rsidR="00951DF9" w:rsidRPr="00B90136">
        <w:rPr>
          <w:szCs w:val="24"/>
        </w:rPr>
        <w:t>nte el RAIS, siendo procedente declarar la ineficacia del acto</w:t>
      </w:r>
      <w:r w:rsidRPr="00B90136">
        <w:rPr>
          <w:szCs w:val="24"/>
        </w:rPr>
        <w:t>.</w:t>
      </w:r>
    </w:p>
    <w:p w14:paraId="74DD5178" w14:textId="77777777" w:rsidR="0024131B" w:rsidRPr="00B90136" w:rsidRDefault="0024131B" w:rsidP="00B90136">
      <w:pPr>
        <w:pBdr>
          <w:top w:val="nil"/>
          <w:left w:val="nil"/>
          <w:bottom w:val="nil"/>
          <w:right w:val="nil"/>
          <w:between w:val="nil"/>
        </w:pBdr>
        <w:spacing w:line="276" w:lineRule="auto"/>
        <w:ind w:firstLine="709"/>
        <w:rPr>
          <w:szCs w:val="24"/>
        </w:rPr>
      </w:pPr>
    </w:p>
    <w:p w14:paraId="0000004B" w14:textId="598C5E1D" w:rsidR="001738DF" w:rsidRPr="00B90136" w:rsidRDefault="00E4412A" w:rsidP="00B90136">
      <w:pPr>
        <w:numPr>
          <w:ilvl w:val="0"/>
          <w:numId w:val="1"/>
        </w:numPr>
        <w:pBdr>
          <w:top w:val="nil"/>
          <w:left w:val="nil"/>
          <w:bottom w:val="nil"/>
          <w:right w:val="nil"/>
          <w:between w:val="nil"/>
        </w:pBdr>
        <w:spacing w:line="276" w:lineRule="auto"/>
        <w:ind w:left="426" w:hanging="426"/>
        <w:jc w:val="center"/>
        <w:rPr>
          <w:b/>
          <w:szCs w:val="24"/>
        </w:rPr>
      </w:pPr>
      <w:r w:rsidRPr="00B90136">
        <w:rPr>
          <w:b/>
          <w:szCs w:val="24"/>
        </w:rPr>
        <w:t>Recursos de apelación y procedencia de la consulta</w:t>
      </w:r>
    </w:p>
    <w:p w14:paraId="20A9949C" w14:textId="7B8CD125" w:rsidR="00AD6EF4" w:rsidRPr="0098187E" w:rsidRDefault="00AD6EF4" w:rsidP="0098187E">
      <w:pPr>
        <w:pBdr>
          <w:top w:val="nil"/>
          <w:left w:val="nil"/>
          <w:bottom w:val="nil"/>
          <w:right w:val="nil"/>
          <w:between w:val="nil"/>
        </w:pBdr>
        <w:spacing w:line="276" w:lineRule="auto"/>
        <w:ind w:firstLine="709"/>
        <w:rPr>
          <w:szCs w:val="24"/>
        </w:rPr>
      </w:pPr>
    </w:p>
    <w:p w14:paraId="313FB59D" w14:textId="6D566CFF" w:rsidR="00635926" w:rsidRDefault="008E76F4" w:rsidP="0098187E">
      <w:pPr>
        <w:widowControl w:val="0"/>
        <w:autoSpaceDE w:val="0"/>
        <w:autoSpaceDN w:val="0"/>
        <w:spacing w:line="276" w:lineRule="auto"/>
        <w:ind w:firstLine="851"/>
        <w:contextualSpacing/>
        <w:rPr>
          <w:rFonts w:eastAsia="Calibri"/>
          <w:szCs w:val="24"/>
        </w:rPr>
      </w:pPr>
      <w:r w:rsidRPr="00B90136">
        <w:rPr>
          <w:rFonts w:eastAsia="Times New Roman"/>
          <w:b/>
          <w:bCs/>
          <w:color w:val="000000"/>
          <w:szCs w:val="24"/>
        </w:rPr>
        <w:t xml:space="preserve">Colpensiones </w:t>
      </w:r>
      <w:r w:rsidRPr="00B90136">
        <w:rPr>
          <w:rFonts w:eastAsia="Times New Roman"/>
          <w:color w:val="000000"/>
          <w:szCs w:val="24"/>
        </w:rPr>
        <w:t>atacó la sentencia de primera instancia argumentando que con el demandante permaneció durante más de 20 años en el RAIS, de esta manera, ratific</w:t>
      </w:r>
      <w:r w:rsidR="007365F4" w:rsidRPr="00B90136">
        <w:rPr>
          <w:rFonts w:eastAsia="Times New Roman"/>
          <w:color w:val="000000"/>
          <w:szCs w:val="24"/>
        </w:rPr>
        <w:t>ó</w:t>
      </w:r>
      <w:r w:rsidRPr="00B90136">
        <w:rPr>
          <w:rFonts w:eastAsia="Times New Roman"/>
          <w:color w:val="000000"/>
          <w:szCs w:val="24"/>
        </w:rPr>
        <w:t xml:space="preserve"> su voluntad de querer permanecer en dicho régimen pensional</w:t>
      </w:r>
      <w:r w:rsidR="00635926" w:rsidRPr="00B90136">
        <w:rPr>
          <w:rFonts w:eastAsia="Times New Roman"/>
          <w:color w:val="000000"/>
          <w:szCs w:val="24"/>
        </w:rPr>
        <w:t xml:space="preserve"> y, además,</w:t>
      </w:r>
      <w:r w:rsidRPr="00B90136">
        <w:rPr>
          <w:rFonts w:eastAsia="Times New Roman"/>
          <w:color w:val="000000"/>
          <w:szCs w:val="24"/>
        </w:rPr>
        <w:t xml:space="preserve"> </w:t>
      </w:r>
      <w:r w:rsidR="00635926" w:rsidRPr="00B90136">
        <w:rPr>
          <w:rFonts w:eastAsia="Times New Roman"/>
          <w:color w:val="000000"/>
          <w:szCs w:val="24"/>
        </w:rPr>
        <w:t xml:space="preserve">el </w:t>
      </w:r>
      <w:r w:rsidRPr="00B90136">
        <w:rPr>
          <w:rFonts w:eastAsia="Times New Roman"/>
          <w:color w:val="000000"/>
          <w:szCs w:val="24"/>
        </w:rPr>
        <w:t xml:space="preserve">motivo de querer regresar al RPM se debe </w:t>
      </w:r>
      <w:r w:rsidR="00635926" w:rsidRPr="00B90136">
        <w:rPr>
          <w:rFonts w:eastAsia="Times New Roman"/>
          <w:color w:val="000000"/>
          <w:szCs w:val="24"/>
        </w:rPr>
        <w:t xml:space="preserve">netamente </w:t>
      </w:r>
      <w:r w:rsidRPr="00B90136">
        <w:rPr>
          <w:rFonts w:eastAsia="Times New Roman"/>
          <w:color w:val="000000"/>
          <w:szCs w:val="24"/>
        </w:rPr>
        <w:t>a un interés económico</w:t>
      </w:r>
      <w:r w:rsidR="00635926" w:rsidRPr="00B90136">
        <w:rPr>
          <w:rFonts w:eastAsia="Times New Roman"/>
          <w:color w:val="000000"/>
          <w:szCs w:val="24"/>
        </w:rPr>
        <w:t>,</w:t>
      </w:r>
      <w:r w:rsidR="00635926" w:rsidRPr="00B90136">
        <w:rPr>
          <w:rFonts w:eastAsia="Calibri"/>
          <w:szCs w:val="24"/>
        </w:rPr>
        <w:t xml:space="preserve"> por considerar que en el fondo público obtendrá una mesada pensional mayor a la que le ofrece el fondo privado.</w:t>
      </w:r>
    </w:p>
    <w:p w14:paraId="27A0723E" w14:textId="77777777" w:rsidR="0098187E" w:rsidRPr="00B90136" w:rsidRDefault="0098187E" w:rsidP="0098187E">
      <w:pPr>
        <w:widowControl w:val="0"/>
        <w:autoSpaceDE w:val="0"/>
        <w:autoSpaceDN w:val="0"/>
        <w:spacing w:line="276" w:lineRule="auto"/>
        <w:ind w:firstLine="851"/>
        <w:contextualSpacing/>
        <w:rPr>
          <w:rFonts w:eastAsia="Calibri"/>
          <w:szCs w:val="24"/>
        </w:rPr>
      </w:pPr>
    </w:p>
    <w:p w14:paraId="6DF20713" w14:textId="45C7E0F0" w:rsidR="00635926" w:rsidRPr="00B90136" w:rsidRDefault="00635926" w:rsidP="0098187E">
      <w:pPr>
        <w:spacing w:line="276" w:lineRule="auto"/>
        <w:ind w:firstLine="700"/>
        <w:rPr>
          <w:rFonts w:eastAsia="Times New Roman"/>
          <w:color w:val="000000"/>
          <w:szCs w:val="24"/>
        </w:rPr>
      </w:pPr>
      <w:r w:rsidRPr="00B90136">
        <w:rPr>
          <w:rFonts w:eastAsia="Times New Roman"/>
          <w:color w:val="000000"/>
          <w:szCs w:val="24"/>
        </w:rPr>
        <w:t xml:space="preserve">En ese sentido, indicó que el actor no puede regresar al RPM, en tanto que, se encuentra inmerso en la prohibición legal establecida en </w:t>
      </w:r>
      <w:r w:rsidR="007365F4" w:rsidRPr="00B90136">
        <w:rPr>
          <w:rFonts w:eastAsia="Times New Roman"/>
          <w:color w:val="000000"/>
          <w:szCs w:val="24"/>
        </w:rPr>
        <w:t>el</w:t>
      </w:r>
      <w:r w:rsidR="007365F4" w:rsidRPr="00B90136">
        <w:rPr>
          <w:szCs w:val="24"/>
          <w:lang w:eastAsia="es-CO"/>
        </w:rPr>
        <w:t xml:space="preserve"> en el literal e) del</w:t>
      </w:r>
      <w:r w:rsidR="007365F4" w:rsidRPr="00B90136">
        <w:rPr>
          <w:rFonts w:eastAsia="Times New Roman"/>
          <w:color w:val="000000"/>
          <w:szCs w:val="24"/>
        </w:rPr>
        <w:t xml:space="preserve"> </w:t>
      </w:r>
      <w:r w:rsidR="00651DAF" w:rsidRPr="00B90136">
        <w:rPr>
          <w:rFonts w:eastAsia="Times New Roman"/>
          <w:color w:val="000000"/>
          <w:szCs w:val="24"/>
        </w:rPr>
        <w:t>artículo 13 de la ley 100 de 1994</w:t>
      </w:r>
      <w:r w:rsidR="00113C8D" w:rsidRPr="00B90136">
        <w:rPr>
          <w:rFonts w:eastAsia="Times New Roman"/>
          <w:color w:val="000000"/>
          <w:szCs w:val="24"/>
        </w:rPr>
        <w:t xml:space="preserve">, en virtud de que, cuando el actor solicita el traslado en </w:t>
      </w:r>
      <w:r w:rsidR="00651DAF" w:rsidRPr="00B90136">
        <w:rPr>
          <w:rFonts w:eastAsia="Times New Roman"/>
          <w:color w:val="000000"/>
          <w:szCs w:val="24"/>
        </w:rPr>
        <w:t xml:space="preserve">enero de </w:t>
      </w:r>
      <w:r w:rsidR="00113C8D" w:rsidRPr="00B90136">
        <w:rPr>
          <w:rFonts w:eastAsia="Times New Roman"/>
          <w:color w:val="000000"/>
          <w:szCs w:val="24"/>
        </w:rPr>
        <w:t>2020 contaba con 5</w:t>
      </w:r>
      <w:r w:rsidR="00651DAF" w:rsidRPr="00B90136">
        <w:rPr>
          <w:rFonts w:eastAsia="Times New Roman"/>
          <w:color w:val="000000"/>
          <w:szCs w:val="24"/>
        </w:rPr>
        <w:t>8</w:t>
      </w:r>
      <w:r w:rsidR="00113C8D" w:rsidRPr="00B90136">
        <w:rPr>
          <w:rFonts w:eastAsia="Times New Roman"/>
          <w:color w:val="000000"/>
          <w:szCs w:val="24"/>
        </w:rPr>
        <w:t xml:space="preserve"> años de edad.</w:t>
      </w:r>
      <w:r w:rsidR="00651DAF" w:rsidRPr="00B90136">
        <w:rPr>
          <w:rFonts w:eastAsia="Times New Roman"/>
          <w:color w:val="000000"/>
          <w:szCs w:val="24"/>
        </w:rPr>
        <w:t xml:space="preserve"> Adicionalmente, tampoco es beneficiario del régimen de transición, puesto </w:t>
      </w:r>
      <w:r w:rsidR="007365F4" w:rsidRPr="00B90136">
        <w:rPr>
          <w:rFonts w:eastAsia="Times New Roman"/>
          <w:color w:val="000000"/>
          <w:szCs w:val="24"/>
        </w:rPr>
        <w:t xml:space="preserve">que </w:t>
      </w:r>
      <w:r w:rsidR="00651DAF" w:rsidRPr="00B90136">
        <w:rPr>
          <w:rFonts w:eastAsia="Times New Roman"/>
          <w:color w:val="000000"/>
          <w:szCs w:val="24"/>
        </w:rPr>
        <w:t xml:space="preserve">contaba con </w:t>
      </w:r>
      <w:r w:rsidR="007365F4" w:rsidRPr="00B90136">
        <w:rPr>
          <w:rFonts w:eastAsia="Times New Roman"/>
          <w:color w:val="000000"/>
          <w:szCs w:val="24"/>
        </w:rPr>
        <w:t>32</w:t>
      </w:r>
      <w:r w:rsidR="00651DAF" w:rsidRPr="00B90136">
        <w:rPr>
          <w:rFonts w:eastAsia="Times New Roman"/>
          <w:color w:val="000000"/>
          <w:szCs w:val="24"/>
        </w:rPr>
        <w:t xml:space="preserve"> años de edad al 1 de abril de 1994</w:t>
      </w:r>
      <w:r w:rsidR="007365F4" w:rsidRPr="00B90136">
        <w:rPr>
          <w:rFonts w:eastAsia="Times New Roman"/>
          <w:color w:val="000000"/>
          <w:szCs w:val="24"/>
        </w:rPr>
        <w:t>.</w:t>
      </w:r>
    </w:p>
    <w:p w14:paraId="56D0036D" w14:textId="77777777" w:rsidR="0098187E" w:rsidRDefault="0098187E" w:rsidP="0098187E">
      <w:pPr>
        <w:spacing w:line="276" w:lineRule="auto"/>
        <w:ind w:firstLine="700"/>
        <w:rPr>
          <w:rFonts w:eastAsia="Times New Roman"/>
          <w:color w:val="000000"/>
          <w:szCs w:val="24"/>
        </w:rPr>
      </w:pPr>
    </w:p>
    <w:p w14:paraId="28C28DE6" w14:textId="514B74E3" w:rsidR="008E76F4" w:rsidRPr="00B90136" w:rsidRDefault="007365F4" w:rsidP="0098187E">
      <w:pPr>
        <w:spacing w:line="276" w:lineRule="auto"/>
        <w:ind w:firstLine="700"/>
        <w:rPr>
          <w:rFonts w:eastAsia="Times New Roman"/>
          <w:color w:val="000000"/>
          <w:szCs w:val="24"/>
        </w:rPr>
      </w:pPr>
      <w:r w:rsidRPr="00B90136">
        <w:rPr>
          <w:rFonts w:eastAsia="Times New Roman"/>
          <w:color w:val="000000"/>
          <w:szCs w:val="24"/>
        </w:rPr>
        <w:t>Alegó que no tiene por qué asumir la carga del error ajeno, ya que debe velar por la buena administración de sus recursos, en razón de ello, solicita que se revoque la sentencia de primera instancia y no se accedan a las pretensiones de la demanda.</w:t>
      </w:r>
    </w:p>
    <w:p w14:paraId="452C267A" w14:textId="77777777" w:rsidR="0098187E" w:rsidRDefault="0098187E" w:rsidP="0098187E">
      <w:pPr>
        <w:pStyle w:val="Prrafodelista"/>
        <w:spacing w:line="276" w:lineRule="auto"/>
        <w:ind w:left="142" w:firstLine="567"/>
        <w:rPr>
          <w:rFonts w:eastAsia="Times New Roman"/>
          <w:b/>
          <w:bCs/>
          <w:color w:val="000000"/>
          <w:szCs w:val="24"/>
        </w:rPr>
      </w:pPr>
    </w:p>
    <w:p w14:paraId="1A161009" w14:textId="05205A12" w:rsidR="008E76F4" w:rsidRPr="00B90136" w:rsidRDefault="008E76F4" w:rsidP="0098187E">
      <w:pPr>
        <w:pStyle w:val="Prrafodelista"/>
        <w:spacing w:line="276" w:lineRule="auto"/>
        <w:ind w:left="142" w:firstLine="567"/>
        <w:rPr>
          <w:rFonts w:eastAsia="Times New Roman"/>
          <w:color w:val="000000"/>
          <w:szCs w:val="24"/>
        </w:rPr>
      </w:pPr>
      <w:r w:rsidRPr="00B90136">
        <w:rPr>
          <w:rFonts w:eastAsia="Times New Roman"/>
          <w:b/>
          <w:bCs/>
          <w:color w:val="000000"/>
          <w:szCs w:val="24"/>
        </w:rPr>
        <w:t xml:space="preserve">Protección S.A. </w:t>
      </w:r>
      <w:r w:rsidRPr="00B90136">
        <w:rPr>
          <w:rFonts w:eastAsia="Times New Roman"/>
          <w:color w:val="000000"/>
          <w:szCs w:val="24"/>
        </w:rPr>
        <w:t xml:space="preserve">atacó la sentencia de primera instancia argumentando que se encuentra en desacuerdo con la devolución de los gastos de administración, los cuales estaban dispuestos por la gestión de la administradora de fondo de pensiones, comisión con la que se cubrían los costos de operación de las AFP para generar los rendimientos financieros a favor del afiliado sobre el saldo de su cuenta de ahorro individual. </w:t>
      </w:r>
      <w:r w:rsidR="00113C8D" w:rsidRPr="00B90136">
        <w:rPr>
          <w:rFonts w:eastAsia="Times New Roman"/>
          <w:color w:val="000000"/>
          <w:szCs w:val="24"/>
        </w:rPr>
        <w:t>Adicionalmente, no</w:t>
      </w:r>
      <w:r w:rsidRPr="00B90136">
        <w:rPr>
          <w:rFonts w:eastAsia="Times New Roman"/>
          <w:color w:val="000000"/>
          <w:szCs w:val="24"/>
        </w:rPr>
        <w:t xml:space="preserve"> existe norma que le permita a los magistrados de la sala imponer a título de sanción la devolución de los gastos de administración.</w:t>
      </w:r>
    </w:p>
    <w:p w14:paraId="5B71D6AD" w14:textId="77777777" w:rsidR="008E76F4" w:rsidRPr="00B90136" w:rsidRDefault="008E76F4" w:rsidP="00B90136">
      <w:pPr>
        <w:pStyle w:val="Prrafodelista"/>
        <w:spacing w:before="240" w:after="240" w:line="276" w:lineRule="auto"/>
        <w:ind w:left="142" w:firstLine="567"/>
        <w:rPr>
          <w:rFonts w:eastAsia="Times New Roman"/>
          <w:color w:val="000000"/>
          <w:szCs w:val="24"/>
        </w:rPr>
      </w:pPr>
    </w:p>
    <w:p w14:paraId="39458789" w14:textId="77777777" w:rsidR="008E76F4" w:rsidRPr="00B90136" w:rsidRDefault="008E76F4" w:rsidP="00B90136">
      <w:pPr>
        <w:pStyle w:val="Prrafodelista"/>
        <w:spacing w:before="240" w:after="240" w:line="276" w:lineRule="auto"/>
        <w:ind w:left="142" w:firstLine="567"/>
        <w:rPr>
          <w:rFonts w:eastAsia="Times New Roman"/>
          <w:color w:val="000000"/>
          <w:szCs w:val="24"/>
        </w:rPr>
      </w:pPr>
      <w:r w:rsidRPr="00B90136">
        <w:rPr>
          <w:rFonts w:eastAsia="Times New Roman"/>
          <w:color w:val="000000"/>
          <w:szCs w:val="24"/>
        </w:rPr>
        <w:t>Sostuvo que se está violentando el principio de congruencia, según el cual el juez de instancia puede exceder respecto de lo pedido, pero únicamente en las prestaciones que establece la norma, en este caso la demandante no está solicitando la reintegración de los gastos de administración, sin embargo, aquella se  ordena con base a la nueva línea jurisprudencia de la Corte Suprema de Justicia; asimismo, se está vulnerando la teoría de los actos propios, la demandante dentro del interrogatorio de parte mencionó que la decisión de traslado de régimen pensional fue libre y voluntaria, siendo consciente que el valor de la mesada pensional era proporcional a sus ahorros, no se puede retrotraer de sus propias decisiones.</w:t>
      </w:r>
    </w:p>
    <w:p w14:paraId="3B6D60B2" w14:textId="77777777" w:rsidR="008E76F4" w:rsidRPr="00B90136" w:rsidRDefault="008E76F4" w:rsidP="00B90136">
      <w:pPr>
        <w:pStyle w:val="Prrafodelista"/>
        <w:spacing w:before="240" w:after="240" w:line="276" w:lineRule="auto"/>
        <w:ind w:left="142" w:firstLine="567"/>
        <w:rPr>
          <w:rFonts w:eastAsia="Times New Roman"/>
          <w:color w:val="000000"/>
          <w:szCs w:val="24"/>
        </w:rPr>
      </w:pPr>
    </w:p>
    <w:p w14:paraId="70BAF930" w14:textId="55C2674B" w:rsidR="00B27755" w:rsidRDefault="008E76F4" w:rsidP="0098187E">
      <w:pPr>
        <w:pStyle w:val="Prrafodelista"/>
        <w:spacing w:line="276" w:lineRule="auto"/>
        <w:ind w:left="142" w:firstLine="567"/>
        <w:rPr>
          <w:rFonts w:eastAsia="Times New Roman"/>
          <w:color w:val="000000"/>
          <w:szCs w:val="24"/>
        </w:rPr>
      </w:pPr>
      <w:r w:rsidRPr="00B90136">
        <w:rPr>
          <w:rFonts w:eastAsia="Times New Roman"/>
          <w:color w:val="000000"/>
          <w:szCs w:val="24"/>
        </w:rPr>
        <w:t>Afirmó que se está vulnerando el principio de caducidad de las acciones porque se alega que se trata de un derecho prestacional, cuando realmente se trata de una acción contractual, única y exclusivamente relativa al acto de la vinculación y no porque se esté discutiendo o esté en fuego el derecho asistencial a la pensión de vejez.</w:t>
      </w:r>
    </w:p>
    <w:p w14:paraId="1E018E87" w14:textId="77777777" w:rsidR="0098187E" w:rsidRPr="00B90136" w:rsidRDefault="0098187E" w:rsidP="0098187E">
      <w:pPr>
        <w:pStyle w:val="Prrafodelista"/>
        <w:spacing w:line="276" w:lineRule="auto"/>
        <w:ind w:left="142" w:firstLine="567"/>
        <w:rPr>
          <w:rFonts w:eastAsia="Times New Roman"/>
          <w:color w:val="000000"/>
          <w:szCs w:val="24"/>
        </w:rPr>
      </w:pPr>
    </w:p>
    <w:p w14:paraId="4FF69974" w14:textId="77777777" w:rsidR="00B27755" w:rsidRPr="006432FB" w:rsidRDefault="00B27755" w:rsidP="006432FB">
      <w:pPr>
        <w:numPr>
          <w:ilvl w:val="0"/>
          <w:numId w:val="1"/>
        </w:numPr>
        <w:pBdr>
          <w:top w:val="nil"/>
          <w:left w:val="nil"/>
          <w:bottom w:val="nil"/>
          <w:right w:val="nil"/>
          <w:between w:val="nil"/>
        </w:pBdr>
        <w:spacing w:line="276" w:lineRule="auto"/>
        <w:ind w:left="426" w:hanging="426"/>
        <w:jc w:val="center"/>
        <w:rPr>
          <w:b/>
          <w:szCs w:val="24"/>
        </w:rPr>
      </w:pPr>
      <w:r w:rsidRPr="006432FB">
        <w:rPr>
          <w:b/>
          <w:szCs w:val="24"/>
        </w:rPr>
        <w:lastRenderedPageBreak/>
        <w:t>Alegatos de conclusión</w:t>
      </w:r>
    </w:p>
    <w:p w14:paraId="4269CA16" w14:textId="77777777" w:rsidR="00B27755" w:rsidRPr="00B90136" w:rsidRDefault="00B27755" w:rsidP="00B90136">
      <w:pPr>
        <w:spacing w:line="276" w:lineRule="auto"/>
        <w:rPr>
          <w:szCs w:val="24"/>
          <w:lang w:val="es-CO" w:eastAsia="es-CO"/>
        </w:rPr>
      </w:pPr>
      <w:r w:rsidRPr="00B90136">
        <w:rPr>
          <w:szCs w:val="24"/>
          <w:lang w:val="es-CO" w:eastAsia="es-CO"/>
        </w:rPr>
        <w:t xml:space="preserve"> </w:t>
      </w:r>
    </w:p>
    <w:p w14:paraId="6F7A8AC0" w14:textId="43706699" w:rsidR="00B27755" w:rsidRPr="00B90136" w:rsidRDefault="00B27755" w:rsidP="00B90136">
      <w:pPr>
        <w:spacing w:line="276" w:lineRule="auto"/>
        <w:ind w:firstLine="708"/>
        <w:rPr>
          <w:szCs w:val="24"/>
          <w:lang w:val="es-CO" w:eastAsia="es-CO"/>
        </w:rPr>
      </w:pPr>
      <w:r w:rsidRPr="00B90136">
        <w:rPr>
          <w:szCs w:val="24"/>
          <w:lang w:val="es-CO" w:eastAsia="es-CO"/>
        </w:rPr>
        <w:t xml:space="preserve">Analizados los alegatos presentados por escrito por </w:t>
      </w:r>
      <w:r w:rsidR="008E76F4" w:rsidRPr="00B90136">
        <w:rPr>
          <w:szCs w:val="24"/>
          <w:lang w:val="es-CO" w:eastAsia="es-CO"/>
        </w:rPr>
        <w:t>la parte demandante</w:t>
      </w:r>
      <w:r w:rsidRPr="00B90136">
        <w:rPr>
          <w:szCs w:val="24"/>
          <w:lang w:val="es-CO" w:eastAsia="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4B29E302" w14:textId="77777777" w:rsidR="00B27755" w:rsidRPr="00B90136" w:rsidRDefault="00B27755" w:rsidP="00B90136">
      <w:pPr>
        <w:spacing w:line="276" w:lineRule="auto"/>
        <w:rPr>
          <w:szCs w:val="24"/>
          <w:lang w:val="es-CO" w:eastAsia="es-CO"/>
        </w:rPr>
      </w:pPr>
    </w:p>
    <w:p w14:paraId="20F695ED" w14:textId="77777777" w:rsidR="00B27755" w:rsidRPr="006432FB" w:rsidRDefault="00B27755" w:rsidP="006432FB">
      <w:pPr>
        <w:numPr>
          <w:ilvl w:val="0"/>
          <w:numId w:val="1"/>
        </w:numPr>
        <w:pBdr>
          <w:top w:val="nil"/>
          <w:left w:val="nil"/>
          <w:bottom w:val="nil"/>
          <w:right w:val="nil"/>
          <w:between w:val="nil"/>
        </w:pBdr>
        <w:spacing w:line="276" w:lineRule="auto"/>
        <w:ind w:left="426" w:hanging="426"/>
        <w:jc w:val="center"/>
        <w:rPr>
          <w:b/>
          <w:szCs w:val="24"/>
        </w:rPr>
      </w:pPr>
      <w:r w:rsidRPr="006432FB">
        <w:rPr>
          <w:b/>
          <w:szCs w:val="24"/>
        </w:rPr>
        <w:t>Problemas jurídicos por resolver</w:t>
      </w:r>
    </w:p>
    <w:p w14:paraId="2EE2628A" w14:textId="77777777" w:rsidR="00B27755" w:rsidRPr="00B90136" w:rsidRDefault="00B27755" w:rsidP="00B90136">
      <w:pPr>
        <w:spacing w:line="276" w:lineRule="auto"/>
        <w:rPr>
          <w:szCs w:val="24"/>
          <w:lang w:val="es-CO" w:eastAsia="es-CO"/>
        </w:rPr>
      </w:pPr>
      <w:r w:rsidRPr="00B90136">
        <w:rPr>
          <w:rFonts w:eastAsia="Times New Roman"/>
          <w:szCs w:val="24"/>
          <w:lang w:val="es-CO" w:eastAsia="es-CO"/>
        </w:rPr>
        <w:t xml:space="preserve"> </w:t>
      </w:r>
    </w:p>
    <w:p w14:paraId="3DEB1FE0" w14:textId="77777777" w:rsidR="00B27755" w:rsidRPr="00B90136" w:rsidRDefault="00B27755" w:rsidP="00B90136">
      <w:pPr>
        <w:spacing w:line="276" w:lineRule="auto"/>
        <w:ind w:firstLine="360"/>
        <w:rPr>
          <w:szCs w:val="24"/>
          <w:lang w:val="es-CO" w:eastAsia="es-CO"/>
        </w:rPr>
      </w:pPr>
      <w:r w:rsidRPr="00B90136">
        <w:rPr>
          <w:szCs w:val="24"/>
          <w:lang w:val="es-CO" w:eastAsia="es-CO"/>
        </w:rPr>
        <w:t xml:space="preserve">De acuerdo con los argumentos expuestos en la sentencia de primera instancia, los fundamentos de la apelación y los alegatos de conclusión, le corresponde a la Sala resolver los siguientes problemas jurídicos: </w:t>
      </w:r>
    </w:p>
    <w:p w14:paraId="0032A2C1" w14:textId="77777777" w:rsidR="00B27755" w:rsidRPr="00B90136" w:rsidRDefault="00B27755" w:rsidP="00B90136">
      <w:pPr>
        <w:spacing w:line="276" w:lineRule="auto"/>
        <w:jc w:val="center"/>
        <w:rPr>
          <w:szCs w:val="24"/>
          <w:lang w:val="es-CO" w:eastAsia="es-CO"/>
        </w:rPr>
      </w:pPr>
      <w:r w:rsidRPr="00B90136">
        <w:rPr>
          <w:b/>
          <w:bCs/>
          <w:szCs w:val="24"/>
          <w:lang w:val="es-CO" w:eastAsia="es-CO"/>
        </w:rPr>
        <w:t xml:space="preserve"> </w:t>
      </w:r>
    </w:p>
    <w:p w14:paraId="319A7971" w14:textId="77777777" w:rsidR="00B27755" w:rsidRPr="00B90136" w:rsidRDefault="00B27755" w:rsidP="00B90136">
      <w:pPr>
        <w:widowControl w:val="0"/>
        <w:numPr>
          <w:ilvl w:val="0"/>
          <w:numId w:val="3"/>
        </w:numPr>
        <w:autoSpaceDE w:val="0"/>
        <w:autoSpaceDN w:val="0"/>
        <w:spacing w:line="276" w:lineRule="auto"/>
        <w:rPr>
          <w:rFonts w:eastAsia="Times New Roman"/>
          <w:szCs w:val="24"/>
          <w:lang w:val="es-CO" w:eastAsia="es-CO"/>
        </w:rPr>
      </w:pPr>
      <w:r w:rsidRPr="00B90136">
        <w:rPr>
          <w:szCs w:val="24"/>
          <w:lang w:val="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E31A7CA" w14:textId="77777777" w:rsidR="00B27755" w:rsidRPr="00B90136" w:rsidRDefault="00B27755" w:rsidP="00B90136">
      <w:pPr>
        <w:spacing w:line="276" w:lineRule="auto"/>
        <w:ind w:firstLine="707"/>
        <w:rPr>
          <w:szCs w:val="24"/>
          <w:lang w:val="es-CO" w:eastAsia="es-CO"/>
        </w:rPr>
      </w:pPr>
      <w:r w:rsidRPr="00B90136">
        <w:rPr>
          <w:szCs w:val="24"/>
          <w:lang w:val="es" w:eastAsia="es-CO"/>
        </w:rPr>
        <w:t xml:space="preserve"> </w:t>
      </w:r>
    </w:p>
    <w:p w14:paraId="21FEBA0A" w14:textId="77777777" w:rsidR="00B27755" w:rsidRPr="00B90136" w:rsidRDefault="00B27755" w:rsidP="00B90136">
      <w:pPr>
        <w:widowControl w:val="0"/>
        <w:numPr>
          <w:ilvl w:val="0"/>
          <w:numId w:val="3"/>
        </w:numPr>
        <w:autoSpaceDE w:val="0"/>
        <w:autoSpaceDN w:val="0"/>
        <w:spacing w:line="276" w:lineRule="auto"/>
        <w:rPr>
          <w:rFonts w:eastAsia="Times New Roman"/>
          <w:szCs w:val="24"/>
          <w:lang w:val="es-CO" w:eastAsia="es-CO"/>
        </w:rPr>
      </w:pPr>
      <w:r w:rsidRPr="00B90136">
        <w:rPr>
          <w:szCs w:val="24"/>
          <w:lang w:val="es" w:eastAsia="es-CO"/>
        </w:rPr>
        <w:t xml:space="preserve">Definir si para dar por cumplido el deber de información de las AFP es suficiente el diligenciamiento del formulario de afiliación. </w:t>
      </w:r>
    </w:p>
    <w:p w14:paraId="4433DA50" w14:textId="77777777" w:rsidR="00B27755" w:rsidRPr="00B90136" w:rsidRDefault="00B27755" w:rsidP="00B90136">
      <w:pPr>
        <w:spacing w:line="276" w:lineRule="auto"/>
        <w:ind w:firstLine="707"/>
        <w:rPr>
          <w:szCs w:val="24"/>
          <w:lang w:val="es-CO" w:eastAsia="es-CO"/>
        </w:rPr>
      </w:pPr>
      <w:r w:rsidRPr="00B90136">
        <w:rPr>
          <w:szCs w:val="24"/>
          <w:lang w:val="es" w:eastAsia="es-CO"/>
        </w:rPr>
        <w:t xml:space="preserve"> </w:t>
      </w:r>
    </w:p>
    <w:p w14:paraId="144B103F" w14:textId="77777777" w:rsidR="00B27755" w:rsidRPr="00B90136" w:rsidRDefault="00B27755" w:rsidP="00B90136">
      <w:pPr>
        <w:widowControl w:val="0"/>
        <w:numPr>
          <w:ilvl w:val="0"/>
          <w:numId w:val="3"/>
        </w:numPr>
        <w:autoSpaceDE w:val="0"/>
        <w:autoSpaceDN w:val="0"/>
        <w:spacing w:line="276" w:lineRule="auto"/>
        <w:rPr>
          <w:rFonts w:eastAsia="Times New Roman"/>
          <w:szCs w:val="24"/>
          <w:lang w:val="es-CO" w:eastAsia="es-CO"/>
        </w:rPr>
      </w:pPr>
      <w:r w:rsidRPr="00B90136">
        <w:rPr>
          <w:szCs w:val="24"/>
          <w:lang w:val="es" w:eastAsia="es-CO"/>
        </w:rPr>
        <w:t xml:space="preserve"> Determinar la carga probatoria que les corresponde a cada una de las partes cuando está en discusión la eficacia del traslado entre regímenes pensionales.</w:t>
      </w:r>
    </w:p>
    <w:p w14:paraId="1EBB0AEB" w14:textId="77777777" w:rsidR="00B27755" w:rsidRPr="00B90136" w:rsidRDefault="00B27755" w:rsidP="00B90136">
      <w:pPr>
        <w:spacing w:line="276" w:lineRule="auto"/>
        <w:ind w:firstLine="707"/>
        <w:rPr>
          <w:szCs w:val="24"/>
          <w:lang w:val="es-CO" w:eastAsia="es-CO"/>
        </w:rPr>
      </w:pPr>
      <w:r w:rsidRPr="00B90136">
        <w:rPr>
          <w:szCs w:val="24"/>
          <w:lang w:val="es" w:eastAsia="es-CO"/>
        </w:rPr>
        <w:t xml:space="preserve"> </w:t>
      </w:r>
    </w:p>
    <w:p w14:paraId="089E9E89" w14:textId="77777777" w:rsidR="00B27755" w:rsidRPr="00B90136" w:rsidRDefault="00B27755" w:rsidP="00B90136">
      <w:pPr>
        <w:widowControl w:val="0"/>
        <w:numPr>
          <w:ilvl w:val="0"/>
          <w:numId w:val="3"/>
        </w:numPr>
        <w:autoSpaceDE w:val="0"/>
        <w:autoSpaceDN w:val="0"/>
        <w:spacing w:line="276" w:lineRule="auto"/>
        <w:rPr>
          <w:rFonts w:eastAsia="Times New Roman"/>
          <w:szCs w:val="24"/>
          <w:lang w:val="es-CO" w:eastAsia="es-CO"/>
        </w:rPr>
      </w:pPr>
      <w:r w:rsidRPr="00B90136">
        <w:rPr>
          <w:szCs w:val="24"/>
          <w:lang w:val="es" w:eastAsia="es-CO"/>
        </w:rPr>
        <w:t xml:space="preserve">Analizar si quedó probado en el proceso que la parte demandante recibió de parte de la AFP demandada, la asesoría e información suficiente y necesaria para hacer el cambio de régimen. </w:t>
      </w:r>
    </w:p>
    <w:p w14:paraId="2C8473B1" w14:textId="77777777" w:rsidR="00B27755" w:rsidRPr="00B90136" w:rsidRDefault="00B27755" w:rsidP="00B90136">
      <w:pPr>
        <w:spacing w:line="276" w:lineRule="auto"/>
        <w:ind w:firstLine="707"/>
        <w:rPr>
          <w:szCs w:val="24"/>
          <w:lang w:val="es-CO" w:eastAsia="es-CO"/>
        </w:rPr>
      </w:pPr>
    </w:p>
    <w:p w14:paraId="705725F0" w14:textId="77777777" w:rsidR="00B27755" w:rsidRPr="00B90136" w:rsidRDefault="00B27755" w:rsidP="00B90136">
      <w:pPr>
        <w:widowControl w:val="0"/>
        <w:numPr>
          <w:ilvl w:val="0"/>
          <w:numId w:val="3"/>
        </w:numPr>
        <w:autoSpaceDE w:val="0"/>
        <w:autoSpaceDN w:val="0"/>
        <w:spacing w:line="276" w:lineRule="auto"/>
        <w:rPr>
          <w:rFonts w:eastAsia="Times New Roman"/>
          <w:szCs w:val="24"/>
          <w:lang w:val="es-CO" w:eastAsia="es-CO"/>
        </w:rPr>
      </w:pPr>
      <w:r w:rsidRPr="00B90136">
        <w:rPr>
          <w:szCs w:val="24"/>
          <w:lang w:val="es" w:eastAsia="es-CO"/>
        </w:rPr>
        <w:t>Establecer si es dable ordenar a la AFP demandada la devolución, con cargo a sus propios recursos de los gastos de administración, comisiones</w:t>
      </w:r>
      <w:bookmarkStart w:id="7" w:name="_Hlk77058474"/>
      <w:r w:rsidRPr="00B90136">
        <w:rPr>
          <w:szCs w:val="24"/>
          <w:lang w:val="es" w:eastAsia="es-CO"/>
        </w:rPr>
        <w:t>, cuotas de garantía de pensión mínima y seguros previsionales a Colpensiones.</w:t>
      </w:r>
      <w:bookmarkEnd w:id="7"/>
    </w:p>
    <w:p w14:paraId="5C61DBCD" w14:textId="77777777" w:rsidR="00B27755" w:rsidRPr="00B90136" w:rsidRDefault="00B27755" w:rsidP="00B90136">
      <w:pPr>
        <w:spacing w:line="276" w:lineRule="auto"/>
        <w:ind w:left="720"/>
        <w:contextualSpacing/>
        <w:rPr>
          <w:szCs w:val="24"/>
          <w:lang w:val="es-CO" w:eastAsia="es-CO"/>
        </w:rPr>
      </w:pPr>
    </w:p>
    <w:p w14:paraId="313A1CF8" w14:textId="697893A2" w:rsidR="00B27755" w:rsidRPr="00B90136" w:rsidRDefault="00B27755" w:rsidP="00B90136">
      <w:pPr>
        <w:numPr>
          <w:ilvl w:val="0"/>
          <w:numId w:val="3"/>
        </w:numPr>
        <w:spacing w:line="276" w:lineRule="auto"/>
        <w:rPr>
          <w:szCs w:val="24"/>
          <w:lang w:val="es-CO" w:eastAsia="es-CO"/>
        </w:rPr>
      </w:pPr>
      <w:r w:rsidRPr="00B90136">
        <w:rPr>
          <w:szCs w:val="24"/>
          <w:lang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51C48CB6" w14:textId="77777777" w:rsidR="005F18F0" w:rsidRPr="00B90136" w:rsidRDefault="005F18F0" w:rsidP="00B90136">
      <w:pPr>
        <w:spacing w:line="276" w:lineRule="auto"/>
        <w:ind w:left="720"/>
        <w:rPr>
          <w:szCs w:val="24"/>
          <w:lang w:val="es-CO" w:eastAsia="es-CO"/>
        </w:rPr>
      </w:pPr>
    </w:p>
    <w:p w14:paraId="55BDB293" w14:textId="1D8ED757" w:rsidR="005F18F0" w:rsidRPr="00B90136" w:rsidRDefault="005F18F0" w:rsidP="00B90136">
      <w:pPr>
        <w:widowControl w:val="0"/>
        <w:numPr>
          <w:ilvl w:val="0"/>
          <w:numId w:val="3"/>
        </w:numPr>
        <w:autoSpaceDE w:val="0"/>
        <w:autoSpaceDN w:val="0"/>
        <w:adjustRightInd w:val="0"/>
        <w:spacing w:line="276" w:lineRule="auto"/>
        <w:rPr>
          <w:szCs w:val="24"/>
        </w:rPr>
      </w:pPr>
      <w:r w:rsidRPr="00B90136">
        <w:rPr>
          <w:szCs w:val="24"/>
        </w:rPr>
        <w:t>Analizar si hay lugar a ordenar a Pr</w:t>
      </w:r>
      <w:r w:rsidR="007365F4" w:rsidRPr="00B90136">
        <w:rPr>
          <w:szCs w:val="24"/>
        </w:rPr>
        <w:t>otección</w:t>
      </w:r>
      <w:r w:rsidRPr="00B90136">
        <w:rPr>
          <w:szCs w:val="24"/>
        </w:rPr>
        <w:t xml:space="preserve"> S.A., a pagar a Colpensiones, a título de resarcimiento, los valores que se puedan generar para la financiación de la pensión o prestaciones a favor de la demandante, como lo propone Colpensiones.</w:t>
      </w:r>
    </w:p>
    <w:p w14:paraId="1D76133D" w14:textId="77777777" w:rsidR="00B27755" w:rsidRPr="00B90136" w:rsidRDefault="00B27755" w:rsidP="00B90136">
      <w:pPr>
        <w:widowControl w:val="0"/>
        <w:autoSpaceDE w:val="0"/>
        <w:autoSpaceDN w:val="0"/>
        <w:adjustRightInd w:val="0"/>
        <w:spacing w:line="276" w:lineRule="auto"/>
        <w:rPr>
          <w:rFonts w:eastAsia="Calibri"/>
          <w:szCs w:val="24"/>
          <w:lang w:val="es-CO" w:eastAsia="es-CO"/>
        </w:rPr>
      </w:pPr>
    </w:p>
    <w:p w14:paraId="55CCC707" w14:textId="77777777" w:rsidR="00B27755" w:rsidRPr="00B90136" w:rsidRDefault="00B27755" w:rsidP="00B90136">
      <w:pPr>
        <w:widowControl w:val="0"/>
        <w:numPr>
          <w:ilvl w:val="0"/>
          <w:numId w:val="4"/>
        </w:numPr>
        <w:autoSpaceDE w:val="0"/>
        <w:autoSpaceDN w:val="0"/>
        <w:adjustRightInd w:val="0"/>
        <w:spacing w:line="276" w:lineRule="auto"/>
        <w:jc w:val="center"/>
        <w:rPr>
          <w:rFonts w:eastAsia="Calibri"/>
          <w:b/>
          <w:bCs/>
          <w:szCs w:val="24"/>
          <w:lang w:val="es-CO" w:eastAsia="es-CO"/>
        </w:rPr>
      </w:pPr>
      <w:r w:rsidRPr="00B90136">
        <w:rPr>
          <w:rFonts w:eastAsia="Calibri"/>
          <w:b/>
          <w:bCs/>
          <w:szCs w:val="24"/>
          <w:lang w:val="es-CO" w:eastAsia="es-CO"/>
        </w:rPr>
        <w:t>Consideraciones</w:t>
      </w:r>
    </w:p>
    <w:p w14:paraId="2BFC3667" w14:textId="77777777" w:rsidR="00B27755" w:rsidRPr="00B90136" w:rsidRDefault="00B27755" w:rsidP="00B90136">
      <w:pPr>
        <w:widowControl w:val="0"/>
        <w:autoSpaceDE w:val="0"/>
        <w:autoSpaceDN w:val="0"/>
        <w:adjustRightInd w:val="0"/>
        <w:spacing w:line="276" w:lineRule="auto"/>
        <w:ind w:firstLine="284"/>
        <w:rPr>
          <w:rFonts w:eastAsia="Calibri"/>
          <w:b/>
          <w:szCs w:val="24"/>
          <w:lang w:val="es-CO" w:eastAsia="es-CO"/>
        </w:rPr>
      </w:pPr>
    </w:p>
    <w:p w14:paraId="55A0CA80" w14:textId="77777777" w:rsidR="00CB1A26" w:rsidRPr="00CB1A26" w:rsidRDefault="00CB1A26" w:rsidP="00CB1A26">
      <w:pPr>
        <w:widowControl w:val="0"/>
        <w:numPr>
          <w:ilvl w:val="1"/>
          <w:numId w:val="5"/>
        </w:numPr>
        <w:autoSpaceDE w:val="0"/>
        <w:autoSpaceDN w:val="0"/>
        <w:adjustRightInd w:val="0"/>
        <w:spacing w:before="100" w:beforeAutospacing="1" w:after="100" w:afterAutospacing="1" w:line="276" w:lineRule="auto"/>
        <w:contextualSpacing/>
        <w:rPr>
          <w:rFonts w:eastAsia="Calibri"/>
          <w:b/>
          <w:bCs/>
          <w:szCs w:val="24"/>
          <w:lang w:val="es-CO" w:eastAsia="es-CO"/>
        </w:rPr>
      </w:pPr>
      <w:r w:rsidRPr="00CB1A26">
        <w:rPr>
          <w:rFonts w:eastAsia="Calibri"/>
          <w:b/>
          <w:bCs/>
          <w:szCs w:val="24"/>
          <w:lang w:val="es-CO" w:eastAsia="es-CO"/>
        </w:rPr>
        <w:lastRenderedPageBreak/>
        <w:t xml:space="preserve">Precedente vertical: la tesis de la Corte Suprema de Justicia respecto al tema de la ineficacia del traslado constituye doctrina probable </w:t>
      </w:r>
    </w:p>
    <w:p w14:paraId="14857E0C"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60415B43"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r w:rsidRPr="00CB1A26">
        <w:rPr>
          <w:rFonts w:eastAsia="Calibri"/>
          <w:szCs w:val="24"/>
          <w:lang w:val="es-CO" w:eastAsia="es-CO"/>
        </w:rPr>
        <w:t xml:space="preserve">En la actualidad existe </w:t>
      </w:r>
      <w:r w:rsidRPr="00CB1A26">
        <w:rPr>
          <w:rFonts w:eastAsia="Calibri"/>
          <w:b/>
          <w:szCs w:val="24"/>
          <w:lang w:val="es-CO" w:eastAsia="es-CO"/>
        </w:rPr>
        <w:t>doctrina probable</w:t>
      </w:r>
      <w:r w:rsidRPr="00CB1A26">
        <w:rPr>
          <w:rFonts w:eastAsia="Calibri"/>
          <w:szCs w:val="24"/>
          <w:lang w:val="es-CO" w:eastAsia="es-CO"/>
        </w:rPr>
        <w:t xml:space="preserve"> respecto a la ineficacia de los traslados de regímenes, por cuanto la Sala de Casación Laboral ha proferido sobre el tema un número considerable de sentencias (más de 40), entre otras, las siguientes: </w:t>
      </w:r>
    </w:p>
    <w:p w14:paraId="46570F6D"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14F7ACA1"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r w:rsidRPr="00CB1A26">
        <w:rPr>
          <w:rFonts w:eastAsia="Calibri"/>
          <w:bCs/>
          <w:szCs w:val="24"/>
          <w:lang w:val="es-CO" w:eastAsia="es-CO"/>
        </w:rPr>
        <w:t xml:space="preserve">SL 31989 del 9 sep. 2008, </w:t>
      </w:r>
      <w:r w:rsidRPr="00CB1A26">
        <w:rPr>
          <w:rFonts w:eastAsia="Calibri"/>
          <w:szCs w:val="24"/>
          <w:lang w:val="es-CO"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CA662C5"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162807F2"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r w:rsidRPr="00CB1A26">
        <w:rPr>
          <w:rFonts w:eastAsia="Calibri"/>
          <w:szCs w:val="24"/>
          <w:lang w:val="es-CO" w:eastAsia="es-CO"/>
        </w:rPr>
        <w:t xml:space="preserve">En términos generales, en todas estas sentencias se determinó </w:t>
      </w:r>
      <w:r w:rsidRPr="00CB1A26">
        <w:rPr>
          <w:rFonts w:eastAsia="Calibri"/>
          <w:i/>
          <w:szCs w:val="24"/>
          <w:lang w:val="es-CO" w:eastAsia="es-CO"/>
        </w:rPr>
        <w:t xml:space="preserve">i) </w:t>
      </w:r>
      <w:r w:rsidRPr="00CB1A26">
        <w:rPr>
          <w:rFonts w:eastAsia="Calibri"/>
          <w:szCs w:val="24"/>
          <w:lang w:val="es-CO" w:eastAsia="es-CO"/>
        </w:rPr>
        <w:t xml:space="preserve">el alcance del deber de información a cargo de las Administradoras de Fondos de Pensiones, </w:t>
      </w:r>
      <w:r w:rsidRPr="00CB1A26">
        <w:rPr>
          <w:rFonts w:eastAsia="Calibri"/>
          <w:i/>
          <w:szCs w:val="24"/>
          <w:lang w:val="es-CO" w:eastAsia="es-CO"/>
        </w:rPr>
        <w:t xml:space="preserve">ii) </w:t>
      </w:r>
      <w:r w:rsidRPr="00CB1A26">
        <w:rPr>
          <w:rFonts w:eastAsia="Calibri"/>
          <w:szCs w:val="24"/>
          <w:lang w:val="es-CO" w:eastAsia="es-CO"/>
        </w:rPr>
        <w:t xml:space="preserve">la procedencia de la ineficacia del traslado, </w:t>
      </w:r>
      <w:r w:rsidRPr="00CB1A26">
        <w:rPr>
          <w:rFonts w:eastAsia="Calibri"/>
          <w:i/>
          <w:szCs w:val="24"/>
          <w:lang w:val="es-CO" w:eastAsia="es-CO"/>
        </w:rPr>
        <w:t xml:space="preserve">iii) </w:t>
      </w:r>
      <w:r w:rsidRPr="00CB1A26">
        <w:rPr>
          <w:rFonts w:eastAsia="Calibri"/>
          <w:szCs w:val="24"/>
          <w:lang w:val="es-CO"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6C504630" w14:textId="77777777" w:rsidR="00CB1A26" w:rsidRPr="00CB1A26" w:rsidRDefault="00CB1A26" w:rsidP="00CB1A26">
      <w:pPr>
        <w:widowControl w:val="0"/>
        <w:autoSpaceDE w:val="0"/>
        <w:autoSpaceDN w:val="0"/>
        <w:adjustRightInd w:val="0"/>
        <w:spacing w:line="276" w:lineRule="auto"/>
        <w:ind w:left="1429"/>
        <w:rPr>
          <w:rFonts w:eastAsia="Calibri"/>
          <w:b/>
          <w:szCs w:val="24"/>
          <w:lang w:val="es-CO" w:eastAsia="es-CO"/>
        </w:rPr>
      </w:pPr>
    </w:p>
    <w:p w14:paraId="5EA18BDB" w14:textId="77777777" w:rsidR="00CB1A26" w:rsidRPr="00CB1A26" w:rsidRDefault="00CB1A26" w:rsidP="00CB1A26">
      <w:pPr>
        <w:widowControl w:val="0"/>
        <w:numPr>
          <w:ilvl w:val="1"/>
          <w:numId w:val="5"/>
        </w:numPr>
        <w:autoSpaceDE w:val="0"/>
        <w:autoSpaceDN w:val="0"/>
        <w:adjustRightInd w:val="0"/>
        <w:spacing w:before="100" w:beforeAutospacing="1" w:after="100" w:afterAutospacing="1" w:line="276" w:lineRule="auto"/>
        <w:contextualSpacing/>
        <w:rPr>
          <w:rFonts w:eastAsia="Calibri"/>
          <w:b/>
          <w:bCs/>
          <w:szCs w:val="24"/>
          <w:lang w:val="es-CO" w:eastAsia="es-CO"/>
        </w:rPr>
      </w:pPr>
      <w:r w:rsidRPr="00CB1A26">
        <w:rPr>
          <w:rFonts w:eastAsia="Calibri"/>
          <w:b/>
          <w:bCs/>
          <w:szCs w:val="24"/>
          <w:lang w:val="es-CO" w:eastAsia="es-CO"/>
        </w:rPr>
        <w:t>“El deber de información a cargo de las administradoras de fondos de pensiones: Un deber exigible desde su creación</w:t>
      </w:r>
      <w:r w:rsidRPr="00CB1A26">
        <w:rPr>
          <w:rFonts w:eastAsia="Calibri"/>
          <w:bCs/>
          <w:szCs w:val="24"/>
          <w:vertAlign w:val="superscript"/>
          <w:lang w:val="es-CO" w:eastAsia="es-CO"/>
        </w:rPr>
        <w:footnoteReference w:id="1"/>
      </w:r>
      <w:r w:rsidRPr="00CB1A26">
        <w:rPr>
          <w:rFonts w:eastAsia="Calibri"/>
          <w:b/>
          <w:bCs/>
          <w:szCs w:val="24"/>
          <w:lang w:val="es-CO" w:eastAsia="es-CO"/>
        </w:rPr>
        <w:t>”</w:t>
      </w:r>
    </w:p>
    <w:p w14:paraId="767F4A77" w14:textId="77777777" w:rsidR="00CB1A26" w:rsidRPr="00CB1A26" w:rsidRDefault="00CB1A26" w:rsidP="00CB1A26">
      <w:pPr>
        <w:widowControl w:val="0"/>
        <w:autoSpaceDE w:val="0"/>
        <w:autoSpaceDN w:val="0"/>
        <w:adjustRightInd w:val="0"/>
        <w:spacing w:line="276" w:lineRule="auto"/>
        <w:ind w:firstLine="284"/>
        <w:rPr>
          <w:rFonts w:eastAsia="Calibri"/>
          <w:i/>
          <w:szCs w:val="24"/>
          <w:lang w:val="es-CO" w:eastAsia="es-CO"/>
        </w:rPr>
      </w:pPr>
    </w:p>
    <w:p w14:paraId="0C58A561"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r w:rsidRPr="00CB1A26">
        <w:rPr>
          <w:rFonts w:eastAsia="Calibri"/>
          <w:szCs w:val="24"/>
          <w:lang w:val="es-CO" w:eastAsia="es-CO"/>
        </w:rPr>
        <w:t xml:space="preserve">Dado que las Administradoras de Fondos de Pensiones son organismos profesionales, resulta aplicable el artículo 1604 del Código Civil, según el cual la prueba de la </w:t>
      </w:r>
      <w:r w:rsidRPr="00CB1A26">
        <w:rPr>
          <w:rFonts w:eastAsia="Calibri"/>
          <w:szCs w:val="24"/>
          <w:u w:val="single"/>
          <w:lang w:val="es-CO" w:eastAsia="es-CO"/>
        </w:rPr>
        <w:t>debida diligencia y cuidado</w:t>
      </w:r>
      <w:r w:rsidRPr="00CB1A26">
        <w:rPr>
          <w:rFonts w:eastAsia="Calibri"/>
          <w:szCs w:val="24"/>
          <w:lang w:val="es-CO" w:eastAsia="es-CO"/>
        </w:rPr>
        <w:t xml:space="preserve"> incumbe a quien ha debido emplearla, atendiendo a las siguientes razones:</w:t>
      </w:r>
    </w:p>
    <w:p w14:paraId="3FCD2E50" w14:textId="77777777" w:rsidR="00CB1A26" w:rsidRPr="00CB1A26" w:rsidRDefault="00CB1A26" w:rsidP="00CB1A26">
      <w:pPr>
        <w:widowControl w:val="0"/>
        <w:autoSpaceDE w:val="0"/>
        <w:autoSpaceDN w:val="0"/>
        <w:adjustRightInd w:val="0"/>
        <w:spacing w:line="276" w:lineRule="auto"/>
        <w:ind w:firstLine="284"/>
        <w:rPr>
          <w:rFonts w:eastAsia="Calibri"/>
          <w:b/>
          <w:szCs w:val="24"/>
          <w:lang w:val="es-CO" w:eastAsia="es-CO"/>
        </w:rPr>
      </w:pPr>
    </w:p>
    <w:p w14:paraId="3D76961E"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r w:rsidRPr="00CB1A26">
        <w:rPr>
          <w:rFonts w:eastAsia="Calibri"/>
          <w:b/>
          <w:szCs w:val="24"/>
          <w:lang w:val="es-CO" w:eastAsia="es-CO"/>
        </w:rPr>
        <w:t>1)</w:t>
      </w:r>
      <w:r w:rsidRPr="00CB1A26">
        <w:rPr>
          <w:rFonts w:eastAsia="Calibri"/>
          <w:szCs w:val="24"/>
          <w:lang w:val="es-CO" w:eastAsia="es-CO"/>
        </w:rPr>
        <w:t xml:space="preserve"> Las Administradoras de Fondos de Pensiones tienen deberes de carácter profesional con sus afiliados y con los consumidores del mercado potencial en general. Además, sus actividades se encuentran reguladas por el </w:t>
      </w:r>
      <w:r w:rsidRPr="00CB1A26">
        <w:rPr>
          <w:rFonts w:eastAsia="Calibri"/>
          <w:szCs w:val="24"/>
          <w:u w:val="single"/>
          <w:lang w:val="es-CO" w:eastAsia="es-CO"/>
        </w:rPr>
        <w:t>Decreto 663 de 1993</w:t>
      </w:r>
      <w:r w:rsidRPr="00CB1A26">
        <w:rPr>
          <w:rFonts w:eastAsia="Calibri"/>
          <w:szCs w:val="24"/>
          <w:u w:val="single"/>
          <w:vertAlign w:val="superscript"/>
          <w:lang w:val="es-CO" w:eastAsia="es-CO"/>
        </w:rPr>
        <w:footnoteReference w:id="2"/>
      </w:r>
      <w:r w:rsidRPr="00CB1A26">
        <w:rPr>
          <w:rFonts w:eastAsia="Calibri"/>
          <w:szCs w:val="24"/>
          <w:lang w:val="es-CO" w:eastAsia="es-CO"/>
        </w:rPr>
        <w:t>, norma en la que se destaca la importancia de los principios de debida diligencia, transparencia e información cierta, suficiente y oportuna.</w:t>
      </w:r>
    </w:p>
    <w:p w14:paraId="0969DBB0"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3D1D99CC"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r w:rsidRPr="00CB1A26">
        <w:rPr>
          <w:rFonts w:eastAsia="Calibri"/>
          <w:b/>
          <w:szCs w:val="24"/>
          <w:lang w:val="es-CO" w:eastAsia="es-CO"/>
        </w:rPr>
        <w:t>2)</w:t>
      </w:r>
      <w:r w:rsidRPr="00CB1A26">
        <w:rPr>
          <w:rFonts w:eastAsia="Calibri"/>
          <w:szCs w:val="24"/>
          <w:lang w:val="es-CO" w:eastAsia="es-CO"/>
        </w:rPr>
        <w:t xml:space="preserve"> Adicionalmente, se tiene previsto en el artículo 12 del Decreto 720 de 1994, que los promotores que empleen las sociedades administradoras del sistema general de pensiones deberán suministrar </w:t>
      </w:r>
      <w:r w:rsidRPr="00CB1A26">
        <w:rPr>
          <w:rFonts w:eastAsia="Calibri"/>
          <w:szCs w:val="24"/>
          <w:u w:val="single"/>
          <w:lang w:val="es-CO" w:eastAsia="es-CO"/>
        </w:rPr>
        <w:t>suficiente, amplia y oportuna</w:t>
      </w:r>
      <w:r w:rsidRPr="00CB1A26">
        <w:rPr>
          <w:rFonts w:eastAsia="Calibri"/>
          <w:szCs w:val="24"/>
          <w:lang w:val="es-CO" w:eastAsia="es-CO"/>
        </w:rPr>
        <w:t xml:space="preserve"> información a los </w:t>
      </w:r>
      <w:r w:rsidRPr="00CB1A26">
        <w:rPr>
          <w:rFonts w:eastAsia="Calibri"/>
          <w:szCs w:val="24"/>
          <w:lang w:val="es-CO" w:eastAsia="es-CO"/>
        </w:rPr>
        <w:lastRenderedPageBreak/>
        <w:t>posibles afiliados al momento de la promoción de la afiliación y durante toda la vinculación con ocasión de las prestaciones a las cuales tenga derecho el afiliado. </w:t>
      </w:r>
    </w:p>
    <w:p w14:paraId="33A1FD0E"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6875C2AC"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r w:rsidRPr="00CB1A26">
        <w:rPr>
          <w:rFonts w:eastAsia="Calibri"/>
          <w:b/>
          <w:szCs w:val="24"/>
          <w:lang w:val="es-CO" w:eastAsia="es-CO"/>
        </w:rPr>
        <w:t>3)</w:t>
      </w:r>
      <w:r w:rsidRPr="00CB1A26">
        <w:rPr>
          <w:rFonts w:eastAsia="Calibri"/>
          <w:szCs w:val="24"/>
          <w:lang w:val="es-CO"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8BA305B"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69DDCDCD" w14:textId="77777777" w:rsidR="00CB1A26" w:rsidRPr="00CB1A26" w:rsidRDefault="00CB1A26" w:rsidP="00CB1A26">
      <w:pPr>
        <w:widowControl w:val="0"/>
        <w:autoSpaceDE w:val="0"/>
        <w:autoSpaceDN w:val="0"/>
        <w:adjustRightInd w:val="0"/>
        <w:spacing w:line="276" w:lineRule="auto"/>
        <w:ind w:firstLine="708"/>
        <w:rPr>
          <w:rFonts w:eastAsia="Calibri"/>
          <w:iCs/>
          <w:szCs w:val="24"/>
          <w:u w:val="single"/>
          <w:lang w:val="es-CO" w:eastAsia="es-CO"/>
        </w:rPr>
      </w:pPr>
      <w:r w:rsidRPr="00CB1A26">
        <w:rPr>
          <w:rFonts w:eastAsia="Calibri"/>
          <w:b/>
          <w:szCs w:val="24"/>
          <w:lang w:val="es-CO" w:eastAsia="es-CO"/>
        </w:rPr>
        <w:t>4)</w:t>
      </w:r>
      <w:r w:rsidRPr="00CB1A26">
        <w:rPr>
          <w:rFonts w:eastAsia="Calibri"/>
          <w:szCs w:val="24"/>
          <w:lang w:val="es-CO" w:eastAsia="es-CO"/>
        </w:rPr>
        <w:t xml:space="preserve"> En numerosas sentencias del órgano de cierre de la jurisdicción ordinaria laboral, se ha establecido que no puede argüirse que </w:t>
      </w:r>
      <w:r w:rsidRPr="00CB1A26">
        <w:rPr>
          <w:rFonts w:eastAsia="Calibri"/>
          <w:iCs/>
          <w:szCs w:val="24"/>
          <w:lang w:val="es-CO"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B1A26">
        <w:rPr>
          <w:rFonts w:eastAsia="Calibri"/>
          <w:i/>
          <w:iCs/>
          <w:szCs w:val="24"/>
          <w:lang w:val="es-CO" w:eastAsia="es-CO"/>
        </w:rPr>
        <w:t>“</w:t>
      </w:r>
      <w:r w:rsidRPr="00CB1A26">
        <w:rPr>
          <w:rFonts w:eastAsia="Calibri"/>
          <w:i/>
          <w:iCs/>
          <w:sz w:val="22"/>
          <w:szCs w:val="24"/>
          <w:u w:val="single"/>
          <w:lang w:val="es-CO" w:eastAsia="es-CO"/>
        </w:rPr>
        <w:t>dar cuenta de que documentaron clara y suficientemente los efectos que acarrea el cambio de régimen, so pena de declarar ineficaz ese tránsito</w:t>
      </w:r>
      <w:r w:rsidRPr="00CB1A26">
        <w:rPr>
          <w:rFonts w:eastAsia="Calibri"/>
          <w:i/>
          <w:iCs/>
          <w:szCs w:val="24"/>
          <w:u w:val="single"/>
          <w:lang w:val="es-CO" w:eastAsia="es-CO"/>
        </w:rPr>
        <w:t>”</w:t>
      </w:r>
      <w:r w:rsidRPr="00CB1A26">
        <w:rPr>
          <w:rFonts w:eastAsia="Calibri"/>
          <w:iCs/>
          <w:szCs w:val="24"/>
          <w:u w:val="single"/>
          <w:lang w:val="es-CO" w:eastAsia="es-CO"/>
        </w:rPr>
        <w:t>.</w:t>
      </w:r>
    </w:p>
    <w:p w14:paraId="7D2D1AE5" w14:textId="77777777" w:rsidR="00CB1A26" w:rsidRPr="00CB1A26" w:rsidRDefault="00CB1A26" w:rsidP="00CB1A26">
      <w:pPr>
        <w:widowControl w:val="0"/>
        <w:autoSpaceDE w:val="0"/>
        <w:autoSpaceDN w:val="0"/>
        <w:adjustRightInd w:val="0"/>
        <w:spacing w:line="276" w:lineRule="auto"/>
        <w:ind w:firstLine="284"/>
        <w:rPr>
          <w:rFonts w:eastAsia="Calibri"/>
          <w:iCs/>
          <w:szCs w:val="24"/>
          <w:u w:val="single"/>
          <w:lang w:val="es-CO" w:eastAsia="es-CO"/>
        </w:rPr>
      </w:pPr>
    </w:p>
    <w:p w14:paraId="466DB2D6" w14:textId="77777777" w:rsidR="00CB1A26" w:rsidRPr="00CB1A26" w:rsidRDefault="00CB1A26" w:rsidP="00CB1A26">
      <w:pPr>
        <w:widowControl w:val="0"/>
        <w:autoSpaceDE w:val="0"/>
        <w:autoSpaceDN w:val="0"/>
        <w:adjustRightInd w:val="0"/>
        <w:spacing w:line="276" w:lineRule="auto"/>
        <w:ind w:firstLine="284"/>
        <w:rPr>
          <w:rFonts w:eastAsia="Calibri"/>
          <w:iCs/>
          <w:szCs w:val="24"/>
          <w:lang w:val="es-CO" w:eastAsia="es-CO"/>
        </w:rPr>
      </w:pPr>
      <w:r w:rsidRPr="00CB1A26">
        <w:rPr>
          <w:rFonts w:eastAsia="Calibri"/>
          <w:iCs/>
          <w:szCs w:val="24"/>
          <w:lang w:val="es-CO"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9728817" w14:textId="77777777" w:rsidR="00CB1A26" w:rsidRPr="00CB1A26" w:rsidRDefault="00CB1A26" w:rsidP="00CB1A26">
      <w:pPr>
        <w:widowControl w:val="0"/>
        <w:autoSpaceDE w:val="0"/>
        <w:autoSpaceDN w:val="0"/>
        <w:adjustRightInd w:val="0"/>
        <w:spacing w:line="276" w:lineRule="auto"/>
        <w:ind w:firstLine="284"/>
        <w:rPr>
          <w:rFonts w:eastAsia="Calibri"/>
          <w:iCs/>
          <w:szCs w:val="24"/>
          <w:lang w:val="es-CO" w:eastAsia="es-CO"/>
        </w:rPr>
      </w:pPr>
    </w:p>
    <w:p w14:paraId="39DBDE15" w14:textId="77777777" w:rsidR="00CB1A26" w:rsidRPr="00CB1A26" w:rsidRDefault="00CB1A26" w:rsidP="00CB1A26">
      <w:pPr>
        <w:widowControl w:val="0"/>
        <w:autoSpaceDE w:val="0"/>
        <w:autoSpaceDN w:val="0"/>
        <w:adjustRightInd w:val="0"/>
        <w:spacing w:line="276" w:lineRule="auto"/>
        <w:ind w:firstLine="284"/>
        <w:rPr>
          <w:rFonts w:eastAsia="Calibri"/>
          <w:iCs/>
          <w:szCs w:val="24"/>
          <w:lang w:val="es-CO" w:eastAsia="es-CO"/>
        </w:rPr>
      </w:pPr>
      <w:r w:rsidRPr="00CB1A26">
        <w:rPr>
          <w:rFonts w:eastAsia="Calibri"/>
          <w:iCs/>
          <w:szCs w:val="24"/>
          <w:lang w:val="es-CO"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2E38BB1" w14:textId="77777777" w:rsidR="00CB1A26" w:rsidRPr="00CB1A26" w:rsidRDefault="00CB1A26" w:rsidP="00CB1A26">
      <w:pPr>
        <w:widowControl w:val="0"/>
        <w:autoSpaceDE w:val="0"/>
        <w:autoSpaceDN w:val="0"/>
        <w:adjustRightInd w:val="0"/>
        <w:spacing w:line="276" w:lineRule="auto"/>
        <w:ind w:firstLine="284"/>
        <w:rPr>
          <w:rFonts w:eastAsia="Calibri"/>
          <w:iCs/>
          <w:szCs w:val="24"/>
          <w:lang w:val="es-CO" w:eastAsia="es-CO"/>
        </w:rPr>
      </w:pPr>
    </w:p>
    <w:p w14:paraId="2E72EAC1"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r w:rsidRPr="00CB1A26">
        <w:rPr>
          <w:rFonts w:eastAsia="Calibri"/>
          <w:szCs w:val="24"/>
          <w:lang w:val="es-CO" w:eastAsia="es-CO"/>
        </w:rPr>
        <w:tab/>
        <w:t xml:space="preserve">Ello así, también ha dicho el órgano de cierre de la especialidad laboral, que las </w:t>
      </w:r>
      <w:proofErr w:type="spellStart"/>
      <w:r w:rsidRPr="00CB1A26">
        <w:rPr>
          <w:rFonts w:eastAsia="Calibri"/>
          <w:szCs w:val="24"/>
          <w:lang w:val="es-CO" w:eastAsia="es-CO"/>
        </w:rPr>
        <w:t>AFPs</w:t>
      </w:r>
      <w:proofErr w:type="spellEnd"/>
      <w:r w:rsidRPr="00CB1A26">
        <w:rPr>
          <w:rFonts w:eastAsia="Calibri"/>
          <w:szCs w:val="24"/>
          <w:lang w:val="es-CO"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9A4C5B5"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11417132" w14:textId="77777777" w:rsidR="00CB1A26" w:rsidRPr="00CB1A26" w:rsidRDefault="00CB1A26" w:rsidP="00CB1A26">
      <w:pPr>
        <w:widowControl w:val="0"/>
        <w:autoSpaceDE w:val="0"/>
        <w:autoSpaceDN w:val="0"/>
        <w:adjustRightInd w:val="0"/>
        <w:spacing w:line="276" w:lineRule="auto"/>
        <w:ind w:firstLine="708"/>
        <w:rPr>
          <w:rFonts w:eastAsia="Calibri"/>
          <w:szCs w:val="24"/>
          <w:lang w:val="es-CO" w:eastAsia="es-CO"/>
        </w:rPr>
      </w:pPr>
      <w:bookmarkStart w:id="8" w:name="_Hlk90025453"/>
      <w:r w:rsidRPr="00CB1A26">
        <w:rPr>
          <w:rFonts w:eastAsia="Calibri"/>
          <w:szCs w:val="24"/>
          <w:lang w:val="es-CO"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w:t>
      </w:r>
      <w:r w:rsidRPr="00CB1A26">
        <w:rPr>
          <w:rFonts w:eastAsia="Calibri"/>
          <w:szCs w:val="24"/>
          <w:lang w:val="es-CO" w:eastAsia="es-CO"/>
        </w:rPr>
        <w:lastRenderedPageBreak/>
        <w:t xml:space="preserve">las AFP les compete, desde su creación, el deber de suministrar una información </w:t>
      </w:r>
      <w:r w:rsidRPr="00CB1A26">
        <w:rPr>
          <w:rFonts w:eastAsia="Calibri"/>
          <w:b/>
          <w:szCs w:val="24"/>
          <w:lang w:val="es-CO" w:eastAsia="es-CO"/>
        </w:rPr>
        <w:t xml:space="preserve">necesaria y transparente, </w:t>
      </w:r>
      <w:r w:rsidRPr="00CB1A26">
        <w:rPr>
          <w:rFonts w:eastAsia="Calibri"/>
          <w:szCs w:val="24"/>
          <w:lang w:val="es-CO" w:eastAsia="es-CO"/>
        </w:rPr>
        <w:t xml:space="preserve">que con el transcurrir del tiempo esta exigencia cambió, pasando de un deber de información necesaria al de </w:t>
      </w:r>
      <w:r w:rsidRPr="00CB1A26">
        <w:rPr>
          <w:rFonts w:eastAsia="Calibri"/>
          <w:b/>
          <w:szCs w:val="24"/>
          <w:lang w:val="es-CO" w:eastAsia="es-CO"/>
        </w:rPr>
        <w:t>asesoría y buen consejo</w:t>
      </w:r>
      <w:r w:rsidRPr="00CB1A26">
        <w:rPr>
          <w:rFonts w:eastAsia="Calibri"/>
          <w:szCs w:val="24"/>
          <w:lang w:val="es-CO" w:eastAsia="es-CO"/>
        </w:rPr>
        <w:t xml:space="preserve">, y finalmente al de </w:t>
      </w:r>
      <w:r w:rsidRPr="00CB1A26">
        <w:rPr>
          <w:rFonts w:eastAsia="Calibri"/>
          <w:b/>
          <w:szCs w:val="24"/>
          <w:lang w:val="es-CO" w:eastAsia="es-CO"/>
        </w:rPr>
        <w:t>doble asesoría</w:t>
      </w:r>
      <w:r w:rsidRPr="00CB1A26">
        <w:rPr>
          <w:rFonts w:eastAsia="Calibri"/>
          <w:szCs w:val="24"/>
          <w:lang w:val="es-CO" w:eastAsia="es-CO"/>
        </w:rPr>
        <w:t>, explicando en qué consiste cada uno de esos conceptos</w:t>
      </w:r>
      <w:bookmarkEnd w:id="8"/>
      <w:r w:rsidRPr="00CB1A26">
        <w:rPr>
          <w:rFonts w:eastAsia="Calibri"/>
          <w:szCs w:val="24"/>
          <w:lang w:val="es-CO" w:eastAsia="es-CO"/>
        </w:rPr>
        <w:t>. Dicho recuento histórico, se compendia de la siguiente manera:</w:t>
      </w:r>
    </w:p>
    <w:p w14:paraId="16A046BC" w14:textId="77777777" w:rsidR="00CB1A26" w:rsidRPr="00CB1A26" w:rsidRDefault="00CB1A26" w:rsidP="00CB1A26">
      <w:pPr>
        <w:widowControl w:val="0"/>
        <w:autoSpaceDE w:val="0"/>
        <w:autoSpaceDN w:val="0"/>
        <w:adjustRightInd w:val="0"/>
        <w:spacing w:line="276" w:lineRule="auto"/>
        <w:ind w:firstLine="284"/>
        <w:rPr>
          <w:rFonts w:eastAsia="Calibri"/>
          <w:szCs w:val="24"/>
          <w:lang w:val="es-CO" w:eastAsia="es-CO"/>
        </w:rPr>
      </w:pPr>
    </w:p>
    <w:p w14:paraId="1DC65D49" w14:textId="77777777" w:rsidR="00CB1A26" w:rsidRPr="00CB1A26" w:rsidRDefault="00CB1A26" w:rsidP="00CB1A26">
      <w:pPr>
        <w:spacing w:line="240" w:lineRule="auto"/>
        <w:ind w:left="426" w:right="420"/>
        <w:textAlignment w:val="baseline"/>
        <w:rPr>
          <w:rFonts w:eastAsia="Times New Roman"/>
          <w:sz w:val="22"/>
          <w:szCs w:val="24"/>
          <w:lang w:val="es-CO" w:eastAsia="es-ES"/>
        </w:rPr>
      </w:pPr>
      <w:bookmarkStart w:id="9" w:name="_Hlk66368436"/>
      <w:r w:rsidRPr="00CB1A26">
        <w:rPr>
          <w:rFonts w:eastAsia="Times New Roman"/>
          <w:i/>
          <w:iCs/>
          <w:sz w:val="22"/>
          <w:szCs w:val="24"/>
          <w:lang w:val="es-CO" w:eastAsia="es-ES"/>
        </w:rPr>
        <w:t>“El anterior recuento sobre la evolución normativa del deber de información a cargo de las administradoras de pensiones podría, a grandes rasgos, sintetizarse así:</w:t>
      </w:r>
    </w:p>
    <w:p w14:paraId="5DF57BD4" w14:textId="77777777" w:rsidR="00CB1A26" w:rsidRPr="00CB1A26" w:rsidRDefault="00CB1A26" w:rsidP="00CB1A26">
      <w:pPr>
        <w:spacing w:line="240" w:lineRule="auto"/>
        <w:ind w:left="426" w:right="420"/>
        <w:textAlignment w:val="baseline"/>
        <w:rPr>
          <w:rFonts w:eastAsia="Times New Roman"/>
          <w:sz w:val="22"/>
          <w:szCs w:val="24"/>
          <w:lang w:val="es-CO"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B1A26" w:rsidRPr="00CB1A26" w14:paraId="3C5376F1"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9C6AB4"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b/>
                <w:bCs/>
                <w:i/>
                <w:iCs/>
                <w:sz w:val="20"/>
                <w:szCs w:val="24"/>
                <w:lang w:val="es-CO" w:eastAsia="es-ES"/>
              </w:rPr>
              <w:t>Etapa acumulativa</w:t>
            </w:r>
            <w:r w:rsidRPr="00CB1A26">
              <w:rPr>
                <w:rFonts w:eastAsia="Times New Roman"/>
                <w:sz w:val="20"/>
                <w:szCs w:val="24"/>
                <w:lang w:val="es-CO"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B64A70"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b/>
                <w:bCs/>
                <w:i/>
                <w:iCs/>
                <w:sz w:val="20"/>
                <w:szCs w:val="24"/>
                <w:lang w:val="es-CO" w:eastAsia="es-ES"/>
              </w:rPr>
              <w:t>Normas que obligan a las administradoras de pensiones a dar información</w:t>
            </w:r>
            <w:r w:rsidRPr="00CB1A26">
              <w:rPr>
                <w:rFonts w:eastAsia="Times New Roman"/>
                <w:sz w:val="20"/>
                <w:szCs w:val="24"/>
                <w:lang w:val="es-CO"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529CBB"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b/>
                <w:bCs/>
                <w:i/>
                <w:iCs/>
                <w:sz w:val="20"/>
                <w:szCs w:val="24"/>
                <w:lang w:val="es-CO" w:eastAsia="es-ES"/>
              </w:rPr>
              <w:t>Contenido mínimo y alcance del deber de información</w:t>
            </w:r>
            <w:r w:rsidRPr="00CB1A26">
              <w:rPr>
                <w:rFonts w:eastAsia="Times New Roman"/>
                <w:sz w:val="20"/>
                <w:szCs w:val="24"/>
                <w:lang w:val="es-CO" w:eastAsia="es-ES"/>
              </w:rPr>
              <w:t> </w:t>
            </w:r>
          </w:p>
        </w:tc>
      </w:tr>
      <w:tr w:rsidR="00CB1A26" w:rsidRPr="00CB1A26" w14:paraId="2EE1E3A5"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06E08D"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Deber de información </w:t>
            </w:r>
            <w:r w:rsidRPr="00CB1A26">
              <w:rPr>
                <w:rFonts w:eastAsia="Times New Roman"/>
                <w:sz w:val="20"/>
                <w:szCs w:val="24"/>
                <w:lang w:val="es-CO"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E17BBB"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Arts. 13 literal b), 271 y 272 de la Ley 100 de 1993</w:t>
            </w:r>
            <w:r w:rsidRPr="00CB1A26">
              <w:rPr>
                <w:rFonts w:eastAsia="Times New Roman"/>
                <w:sz w:val="20"/>
                <w:szCs w:val="24"/>
                <w:lang w:val="es-CO" w:eastAsia="es-ES"/>
              </w:rPr>
              <w:t> </w:t>
            </w:r>
          </w:p>
          <w:p w14:paraId="30548E19"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Art. 97, numeral 1 del Decreto 663 de 1993, modificado por el artículo 23 de la Ley 797 de 2003</w:t>
            </w:r>
            <w:r w:rsidRPr="00CB1A26">
              <w:rPr>
                <w:rFonts w:eastAsia="Times New Roman"/>
                <w:sz w:val="20"/>
                <w:szCs w:val="24"/>
                <w:lang w:val="es-CO" w:eastAsia="es-ES"/>
              </w:rPr>
              <w:t> </w:t>
            </w:r>
          </w:p>
          <w:p w14:paraId="36DC34C4"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Disposiciones constitucionales relativas al derecho a la información, no menoscabo de derechos laborales y autonomía personal</w:t>
            </w:r>
            <w:r w:rsidRPr="00CB1A26">
              <w:rPr>
                <w:rFonts w:eastAsia="Times New Roman"/>
                <w:sz w:val="20"/>
                <w:szCs w:val="24"/>
                <w:lang w:val="es-CO"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E11B52"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CB1A26">
              <w:rPr>
                <w:rFonts w:eastAsia="Times New Roman"/>
                <w:sz w:val="20"/>
                <w:szCs w:val="24"/>
                <w:lang w:val="es-CO" w:eastAsia="es-ES"/>
              </w:rPr>
              <w:t> </w:t>
            </w:r>
          </w:p>
        </w:tc>
      </w:tr>
      <w:tr w:rsidR="00CB1A26" w:rsidRPr="00CB1A26" w14:paraId="6D418AC4"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E6F607"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Deber de información, asesoría y buen consejo</w:t>
            </w:r>
            <w:r w:rsidRPr="00CB1A26">
              <w:rPr>
                <w:rFonts w:eastAsia="Times New Roman"/>
                <w:sz w:val="20"/>
                <w:szCs w:val="24"/>
                <w:lang w:val="es-CO"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793026"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Artículo 3, literal c) de la Ley 1328 de 2009</w:t>
            </w:r>
            <w:r w:rsidRPr="00CB1A26">
              <w:rPr>
                <w:rFonts w:eastAsia="Times New Roman"/>
                <w:sz w:val="20"/>
                <w:szCs w:val="24"/>
                <w:lang w:val="es-CO" w:eastAsia="es-ES"/>
              </w:rPr>
              <w:t> </w:t>
            </w:r>
          </w:p>
          <w:p w14:paraId="39391831"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Decreto 2241 de 2010</w:t>
            </w:r>
            <w:r w:rsidRPr="00CB1A26">
              <w:rPr>
                <w:rFonts w:eastAsia="Times New Roman"/>
                <w:sz w:val="20"/>
                <w:szCs w:val="24"/>
                <w:lang w:val="es-CO"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E61E957"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B1A26">
              <w:rPr>
                <w:rFonts w:eastAsia="Times New Roman"/>
                <w:sz w:val="20"/>
                <w:szCs w:val="24"/>
                <w:lang w:val="es-CO" w:eastAsia="es-ES"/>
              </w:rPr>
              <w:t> </w:t>
            </w:r>
          </w:p>
        </w:tc>
      </w:tr>
      <w:tr w:rsidR="00CB1A26" w:rsidRPr="00CB1A26" w14:paraId="3F741789"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6756B15"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Deber de información, asesoría, buen consejo y doble asesoría. </w:t>
            </w:r>
            <w:r w:rsidRPr="00CB1A26">
              <w:rPr>
                <w:rFonts w:eastAsia="Times New Roman"/>
                <w:sz w:val="20"/>
                <w:szCs w:val="24"/>
                <w:lang w:val="es-CO"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99AB11"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Ley 1748 de 2014</w:t>
            </w:r>
            <w:r w:rsidRPr="00CB1A26">
              <w:rPr>
                <w:rFonts w:eastAsia="Times New Roman"/>
                <w:sz w:val="20"/>
                <w:szCs w:val="24"/>
                <w:lang w:val="es-CO" w:eastAsia="es-ES"/>
              </w:rPr>
              <w:t> </w:t>
            </w:r>
          </w:p>
          <w:p w14:paraId="5F448BFB"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Artículo 3 del Decreto 2071 de 2015</w:t>
            </w:r>
            <w:r w:rsidRPr="00CB1A26">
              <w:rPr>
                <w:rFonts w:eastAsia="Times New Roman"/>
                <w:sz w:val="20"/>
                <w:szCs w:val="24"/>
                <w:lang w:val="es-CO" w:eastAsia="es-ES"/>
              </w:rPr>
              <w:t> </w:t>
            </w:r>
          </w:p>
          <w:p w14:paraId="63BB1019"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Circular Externa n. 016 de 2016</w:t>
            </w:r>
            <w:r w:rsidRPr="00CB1A26">
              <w:rPr>
                <w:rFonts w:eastAsia="Times New Roman"/>
                <w:sz w:val="20"/>
                <w:szCs w:val="24"/>
                <w:lang w:val="es-CO"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A6568D9" w14:textId="77777777" w:rsidR="00CB1A26" w:rsidRPr="00CB1A26" w:rsidRDefault="00CB1A26" w:rsidP="00CB1A26">
            <w:pPr>
              <w:spacing w:line="276" w:lineRule="auto"/>
              <w:textAlignment w:val="baseline"/>
              <w:rPr>
                <w:rFonts w:eastAsia="Times New Roman"/>
                <w:sz w:val="20"/>
                <w:szCs w:val="24"/>
                <w:lang w:val="es-CO" w:eastAsia="es-ES"/>
              </w:rPr>
            </w:pPr>
            <w:r w:rsidRPr="00CB1A26">
              <w:rPr>
                <w:rFonts w:eastAsia="Times New Roman"/>
                <w:i/>
                <w:iCs/>
                <w:sz w:val="20"/>
                <w:szCs w:val="24"/>
                <w:lang w:val="es-CO" w:eastAsia="es-ES"/>
              </w:rPr>
              <w:t>Junto con lo anterior, lleva inmerso el derecho a obtener asesoría de los representantes de ambos regímenes pensionales.</w:t>
            </w:r>
            <w:r w:rsidRPr="00CB1A26">
              <w:rPr>
                <w:rFonts w:eastAsia="Times New Roman"/>
                <w:sz w:val="20"/>
                <w:szCs w:val="24"/>
                <w:lang w:val="es-CO" w:eastAsia="es-ES"/>
              </w:rPr>
              <w:t> </w:t>
            </w:r>
          </w:p>
        </w:tc>
      </w:tr>
    </w:tbl>
    <w:p w14:paraId="63B7C047" w14:textId="77777777" w:rsidR="00CB1A26" w:rsidRPr="00CB1A26" w:rsidRDefault="00CB1A26" w:rsidP="00CB1A26">
      <w:pPr>
        <w:spacing w:line="240" w:lineRule="auto"/>
        <w:ind w:left="426" w:right="420"/>
        <w:rPr>
          <w:rFonts w:eastAsia="Calibri"/>
          <w:b/>
          <w:i/>
          <w:spacing w:val="-4"/>
          <w:sz w:val="22"/>
          <w:szCs w:val="24"/>
          <w:lang w:val="es-CO" w:eastAsia="es-CO"/>
        </w:rPr>
      </w:pPr>
    </w:p>
    <w:bookmarkEnd w:id="9"/>
    <w:p w14:paraId="1B585802" w14:textId="77777777" w:rsidR="00CB1A26" w:rsidRPr="00CB1A26" w:rsidRDefault="00CB1A26" w:rsidP="00CB1A26">
      <w:pPr>
        <w:spacing w:line="240" w:lineRule="auto"/>
        <w:ind w:left="426" w:right="420"/>
        <w:rPr>
          <w:rFonts w:eastAsia="Calibri"/>
          <w:b/>
          <w:i/>
          <w:sz w:val="22"/>
          <w:szCs w:val="24"/>
          <w:lang w:val="es-CO" w:eastAsia="es-CO"/>
        </w:rPr>
      </w:pPr>
      <w:r w:rsidRPr="00CB1A26">
        <w:rPr>
          <w:rFonts w:eastAsia="Calibri"/>
          <w:b/>
          <w:i/>
          <w:sz w:val="22"/>
          <w:szCs w:val="24"/>
          <w:lang w:val="es-CO" w:eastAsia="es-CO"/>
        </w:rPr>
        <w:t>1.4 Conclusión: La constatación del deber de información es ineludible</w:t>
      </w:r>
    </w:p>
    <w:p w14:paraId="27351401" w14:textId="77777777" w:rsidR="00CB1A26" w:rsidRPr="00CB1A26" w:rsidRDefault="00CB1A26" w:rsidP="00CB1A26">
      <w:pPr>
        <w:spacing w:line="240" w:lineRule="auto"/>
        <w:ind w:left="426" w:right="420"/>
        <w:rPr>
          <w:rFonts w:eastAsia="Calibri"/>
          <w:b/>
          <w:i/>
          <w:sz w:val="22"/>
          <w:szCs w:val="24"/>
          <w:lang w:val="es-CO" w:eastAsia="es-CO"/>
        </w:rPr>
      </w:pPr>
    </w:p>
    <w:p w14:paraId="3A4D2495" w14:textId="77777777" w:rsidR="00CB1A26" w:rsidRPr="00CB1A26" w:rsidRDefault="00CB1A26" w:rsidP="00CB1A26">
      <w:pPr>
        <w:spacing w:line="240" w:lineRule="auto"/>
        <w:ind w:left="426" w:right="420" w:firstLine="1"/>
        <w:rPr>
          <w:rFonts w:eastAsia="Calibri"/>
          <w:i/>
          <w:sz w:val="22"/>
          <w:szCs w:val="24"/>
          <w:lang w:val="es-CO" w:eastAsia="es-CO"/>
        </w:rPr>
      </w:pPr>
      <w:r w:rsidRPr="00CB1A26">
        <w:rPr>
          <w:rFonts w:eastAsia="Calibri"/>
          <w:i/>
          <w:sz w:val="22"/>
          <w:szCs w:val="24"/>
          <w:lang w:val="es-CO" w:eastAsia="es-CO"/>
        </w:rPr>
        <w:t xml:space="preserve">Según se pudo advertir del anterior recuento, </w:t>
      </w:r>
      <w:r w:rsidRPr="00CB1A26">
        <w:rPr>
          <w:rFonts w:eastAsia="Calibri"/>
          <w:b/>
          <w:i/>
          <w:sz w:val="22"/>
          <w:szCs w:val="24"/>
          <w:lang w:val="es-CO" w:eastAsia="es-CO"/>
        </w:rPr>
        <w:t>las AFP, desde su creación, tenían el deber de brindar información a los afiliados o usuarios del sistema pensional a fin de que estos pudiesen adoptar una decisión consciente y realmente libre sobre su futuro pensional.</w:t>
      </w:r>
      <w:r w:rsidRPr="00CB1A26">
        <w:rPr>
          <w:rFonts w:eastAsia="Calibri"/>
          <w:i/>
          <w:sz w:val="22"/>
          <w:szCs w:val="24"/>
          <w:lang w:val="es-CO"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C814723" w14:textId="77777777" w:rsidR="00CB1A26" w:rsidRPr="00CB1A26" w:rsidRDefault="00CB1A26" w:rsidP="00CB1A26">
      <w:pPr>
        <w:spacing w:line="240" w:lineRule="auto"/>
        <w:ind w:left="426" w:right="420" w:firstLine="1"/>
        <w:rPr>
          <w:rFonts w:eastAsia="Calibri"/>
          <w:i/>
          <w:sz w:val="22"/>
          <w:szCs w:val="24"/>
          <w:lang w:val="es-CO" w:eastAsia="es-CO"/>
        </w:rPr>
      </w:pPr>
    </w:p>
    <w:p w14:paraId="4692EFD8" w14:textId="77777777" w:rsidR="00CB1A26" w:rsidRPr="00CB1A26" w:rsidRDefault="00CB1A26" w:rsidP="00CB1A26">
      <w:pPr>
        <w:spacing w:line="240" w:lineRule="auto"/>
        <w:ind w:left="426" w:right="420"/>
        <w:rPr>
          <w:rFonts w:eastAsia="Calibri"/>
          <w:i/>
          <w:sz w:val="22"/>
          <w:szCs w:val="24"/>
          <w:lang w:val="es-CO" w:eastAsia="es-CO"/>
        </w:rPr>
      </w:pPr>
      <w:r w:rsidRPr="00CB1A26">
        <w:rPr>
          <w:rFonts w:eastAsia="Calibri"/>
          <w:i/>
          <w:sz w:val="22"/>
          <w:szCs w:val="24"/>
          <w:lang w:val="es-CO"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E07FB0D" w14:textId="77777777" w:rsidR="00CB1A26" w:rsidRPr="00CB1A26" w:rsidRDefault="00CB1A26" w:rsidP="00CB1A26">
      <w:pPr>
        <w:spacing w:line="240" w:lineRule="auto"/>
        <w:ind w:left="426" w:right="420"/>
        <w:rPr>
          <w:rFonts w:eastAsia="Calibri"/>
          <w:i/>
          <w:sz w:val="22"/>
          <w:szCs w:val="24"/>
          <w:lang w:val="es-CO" w:eastAsia="es-CO"/>
        </w:rPr>
      </w:pPr>
    </w:p>
    <w:p w14:paraId="6336E36F" w14:textId="77777777" w:rsidR="00CB1A26" w:rsidRPr="00CB1A26" w:rsidRDefault="00CB1A26" w:rsidP="00CB1A26">
      <w:pPr>
        <w:spacing w:line="240" w:lineRule="auto"/>
        <w:ind w:left="426" w:right="420"/>
        <w:rPr>
          <w:rFonts w:eastAsia="Calibri"/>
          <w:i/>
          <w:sz w:val="22"/>
          <w:szCs w:val="24"/>
          <w:lang w:val="es-CO" w:eastAsia="es-CO"/>
        </w:rPr>
      </w:pPr>
      <w:r w:rsidRPr="00CB1A26">
        <w:rPr>
          <w:rFonts w:eastAsia="Calibri"/>
          <w:i/>
          <w:sz w:val="22"/>
          <w:szCs w:val="24"/>
          <w:lang w:val="es-CO" w:eastAsia="es-CO"/>
        </w:rPr>
        <w:lastRenderedPageBreak/>
        <w:t xml:space="preserve">Adicionalmente, la Sala no puede pasar por alto la indebida fundamentación con la que </w:t>
      </w:r>
      <w:r w:rsidRPr="00CB1A26">
        <w:rPr>
          <w:rFonts w:eastAsia="Calibri"/>
          <w:bCs/>
          <w:i/>
          <w:sz w:val="22"/>
          <w:szCs w:val="24"/>
          <w:lang w:val="es-CO" w:eastAsia="es-CO"/>
        </w:rPr>
        <w:t>la Sala Primera de Decisión Laboral del Tribunal de Medellín</w:t>
      </w:r>
      <w:r w:rsidRPr="00CB1A26">
        <w:rPr>
          <w:rFonts w:eastAsia="Calibri"/>
          <w:i/>
          <w:sz w:val="22"/>
          <w:szCs w:val="24"/>
          <w:lang w:val="es-CO"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6A9FCF6" w14:textId="77777777" w:rsidR="00B27755" w:rsidRPr="00B90136" w:rsidRDefault="00B27755" w:rsidP="00B90136">
      <w:pPr>
        <w:widowControl w:val="0"/>
        <w:autoSpaceDE w:val="0"/>
        <w:autoSpaceDN w:val="0"/>
        <w:adjustRightInd w:val="0"/>
        <w:spacing w:line="276" w:lineRule="auto"/>
        <w:ind w:firstLine="284"/>
        <w:rPr>
          <w:rFonts w:eastAsia="Calibri"/>
          <w:i/>
          <w:szCs w:val="24"/>
          <w:lang w:val="es-CO" w:eastAsia="es-CO"/>
        </w:rPr>
      </w:pPr>
    </w:p>
    <w:p w14:paraId="425A18F2"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r w:rsidRPr="00B90136">
        <w:rPr>
          <w:rFonts w:eastAsia="Calibri"/>
          <w:szCs w:val="24"/>
          <w:lang w:val="es-CO" w:eastAsia="es-CO"/>
        </w:rPr>
        <w:t>Con lo dicho precedentemente queda resuelto el primer problema jurídico.</w:t>
      </w:r>
    </w:p>
    <w:p w14:paraId="157BE2DE"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4CBB2827" w14:textId="77777777" w:rsidR="00B27755" w:rsidRPr="004A0476" w:rsidRDefault="00B27755" w:rsidP="004A0476">
      <w:pPr>
        <w:widowControl w:val="0"/>
        <w:numPr>
          <w:ilvl w:val="1"/>
          <w:numId w:val="5"/>
        </w:numPr>
        <w:autoSpaceDE w:val="0"/>
        <w:autoSpaceDN w:val="0"/>
        <w:adjustRightInd w:val="0"/>
        <w:spacing w:before="100" w:beforeAutospacing="1" w:after="100" w:afterAutospacing="1" w:line="276" w:lineRule="auto"/>
        <w:contextualSpacing/>
        <w:rPr>
          <w:rFonts w:eastAsia="Calibri"/>
          <w:b/>
          <w:bCs/>
          <w:szCs w:val="24"/>
          <w:lang w:val="es-CO" w:eastAsia="es-CO"/>
        </w:rPr>
      </w:pPr>
      <w:r w:rsidRPr="004A0476">
        <w:rPr>
          <w:rFonts w:eastAsia="Calibri"/>
          <w:b/>
          <w:bCs/>
          <w:szCs w:val="24"/>
          <w:lang w:val="es-CO" w:eastAsia="es-CO"/>
        </w:rPr>
        <w:t xml:space="preserve">“El simple consentimiento vertido en el formulario de afiliación es insuficiente – Necesidad de un consentimiento informado” </w:t>
      </w:r>
      <w:r w:rsidRPr="004A0476">
        <w:rPr>
          <w:rFonts w:eastAsia="Calibri"/>
          <w:b/>
          <w:bCs/>
          <w:szCs w:val="24"/>
          <w:vertAlign w:val="superscript"/>
          <w:lang w:val="es-CO" w:eastAsia="es-CO"/>
        </w:rPr>
        <w:footnoteReference w:id="3"/>
      </w:r>
      <w:r w:rsidRPr="004A0476">
        <w:rPr>
          <w:rFonts w:eastAsia="Calibri"/>
          <w:b/>
          <w:bCs/>
          <w:szCs w:val="24"/>
          <w:lang w:val="es-CO" w:eastAsia="es-CO"/>
        </w:rPr>
        <w:t xml:space="preserve"> </w:t>
      </w:r>
    </w:p>
    <w:p w14:paraId="02B27B34" w14:textId="77777777" w:rsidR="00CB1A26" w:rsidRDefault="00CB1A26" w:rsidP="00B90136">
      <w:pPr>
        <w:widowControl w:val="0"/>
        <w:autoSpaceDE w:val="0"/>
        <w:autoSpaceDN w:val="0"/>
        <w:adjustRightInd w:val="0"/>
        <w:spacing w:line="276" w:lineRule="auto"/>
        <w:ind w:firstLine="708"/>
        <w:rPr>
          <w:rFonts w:eastAsia="Calibri"/>
          <w:szCs w:val="24"/>
          <w:lang w:val="es-CO" w:eastAsia="es-CO"/>
        </w:rPr>
      </w:pPr>
    </w:p>
    <w:p w14:paraId="7BD503DA" w14:textId="5BFC8CCD"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B90136">
        <w:rPr>
          <w:rFonts w:eastAsia="Calibri"/>
          <w:b/>
          <w:szCs w:val="24"/>
          <w:lang w:val="es-CO" w:eastAsia="es-CO"/>
        </w:rPr>
        <w:t>pero no informado</w:t>
      </w:r>
      <w:r w:rsidRPr="00B90136">
        <w:rPr>
          <w:rFonts w:eastAsia="Calibri"/>
          <w:szCs w:val="24"/>
          <w:lang w:val="es-CO" w:eastAsia="es-CO"/>
        </w:rPr>
        <w:t xml:space="preserve">, tal como se expresa a continuación: </w:t>
      </w:r>
    </w:p>
    <w:p w14:paraId="1EEDCAE3" w14:textId="77777777" w:rsidR="00251F08" w:rsidRPr="00251F08" w:rsidRDefault="00251F08" w:rsidP="00251F08">
      <w:pPr>
        <w:widowControl w:val="0"/>
        <w:autoSpaceDE w:val="0"/>
        <w:autoSpaceDN w:val="0"/>
        <w:adjustRightInd w:val="0"/>
        <w:spacing w:line="276" w:lineRule="auto"/>
        <w:ind w:firstLine="284"/>
        <w:rPr>
          <w:rFonts w:eastAsia="Calibri"/>
          <w:szCs w:val="24"/>
          <w:lang w:val="es-CO" w:eastAsia="es-CO"/>
        </w:rPr>
      </w:pPr>
    </w:p>
    <w:p w14:paraId="238D20E9" w14:textId="77777777" w:rsidR="00251F08" w:rsidRPr="00251F08" w:rsidRDefault="00251F08" w:rsidP="00251F08">
      <w:pPr>
        <w:widowControl w:val="0"/>
        <w:autoSpaceDE w:val="0"/>
        <w:autoSpaceDN w:val="0"/>
        <w:adjustRightInd w:val="0"/>
        <w:spacing w:line="240" w:lineRule="auto"/>
        <w:ind w:left="426" w:right="420"/>
        <w:rPr>
          <w:rFonts w:eastAsia="Calibri"/>
          <w:i/>
          <w:sz w:val="22"/>
          <w:szCs w:val="24"/>
          <w:lang w:val="es-CO" w:eastAsia="es-CO"/>
        </w:rPr>
      </w:pPr>
      <w:r w:rsidRPr="00251F08">
        <w:rPr>
          <w:rFonts w:eastAsia="Calibri"/>
          <w:i/>
          <w:sz w:val="22"/>
          <w:szCs w:val="24"/>
          <w:lang w:val="es-CO" w:eastAsia="es-CO"/>
        </w:rPr>
        <w:t xml:space="preserve">“Para el Tribunal el consentimiento informado no es predicable del acto jurídico de traslado, pues basta la consignación en el formulario de que la afiliación se hizo de manera libre y voluntaria. </w:t>
      </w:r>
    </w:p>
    <w:p w14:paraId="78345831" w14:textId="77777777" w:rsidR="00251F08" w:rsidRPr="00251F08" w:rsidRDefault="00251F08" w:rsidP="00251F08">
      <w:pPr>
        <w:widowControl w:val="0"/>
        <w:autoSpaceDE w:val="0"/>
        <w:autoSpaceDN w:val="0"/>
        <w:adjustRightInd w:val="0"/>
        <w:spacing w:line="240" w:lineRule="auto"/>
        <w:ind w:left="426" w:right="420" w:firstLine="284"/>
        <w:rPr>
          <w:rFonts w:eastAsia="Calibri"/>
          <w:i/>
          <w:sz w:val="22"/>
          <w:szCs w:val="24"/>
          <w:lang w:val="es-CO" w:eastAsia="es-CO"/>
        </w:rPr>
      </w:pPr>
    </w:p>
    <w:p w14:paraId="0B284FEF" w14:textId="77777777" w:rsidR="00251F08" w:rsidRPr="00251F08" w:rsidRDefault="00251F08" w:rsidP="00251F08">
      <w:pPr>
        <w:widowControl w:val="0"/>
        <w:autoSpaceDE w:val="0"/>
        <w:autoSpaceDN w:val="0"/>
        <w:adjustRightInd w:val="0"/>
        <w:spacing w:line="240" w:lineRule="auto"/>
        <w:ind w:left="426" w:right="420"/>
        <w:rPr>
          <w:rFonts w:eastAsia="Calibri"/>
          <w:i/>
          <w:sz w:val="22"/>
          <w:szCs w:val="24"/>
          <w:lang w:val="es-CO" w:eastAsia="es-CO"/>
        </w:rPr>
      </w:pPr>
      <w:r w:rsidRPr="00251F08">
        <w:rPr>
          <w:rFonts w:eastAsia="Calibri"/>
          <w:i/>
          <w:sz w:val="22"/>
          <w:szCs w:val="24"/>
          <w:lang w:val="es-CO"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48F2851" w14:textId="77777777" w:rsidR="00251F08" w:rsidRPr="00251F08" w:rsidRDefault="00251F08" w:rsidP="00251F08">
      <w:pPr>
        <w:widowControl w:val="0"/>
        <w:autoSpaceDE w:val="0"/>
        <w:autoSpaceDN w:val="0"/>
        <w:adjustRightInd w:val="0"/>
        <w:spacing w:line="240" w:lineRule="auto"/>
        <w:ind w:left="426" w:right="420"/>
        <w:rPr>
          <w:rFonts w:eastAsia="Calibri"/>
          <w:i/>
          <w:sz w:val="22"/>
          <w:szCs w:val="24"/>
          <w:lang w:val="es-CO" w:eastAsia="es-CO"/>
        </w:rPr>
      </w:pPr>
    </w:p>
    <w:p w14:paraId="230A7083" w14:textId="77777777" w:rsidR="00251F08" w:rsidRPr="00251F08" w:rsidRDefault="00251F08" w:rsidP="00251F08">
      <w:pPr>
        <w:widowControl w:val="0"/>
        <w:autoSpaceDE w:val="0"/>
        <w:autoSpaceDN w:val="0"/>
        <w:adjustRightInd w:val="0"/>
        <w:spacing w:line="240" w:lineRule="auto"/>
        <w:ind w:left="426" w:right="420"/>
        <w:rPr>
          <w:rFonts w:eastAsia="Calibri"/>
          <w:i/>
          <w:sz w:val="22"/>
          <w:szCs w:val="24"/>
          <w:lang w:val="es-CO" w:eastAsia="es-CO"/>
        </w:rPr>
      </w:pPr>
      <w:r w:rsidRPr="00251F08">
        <w:rPr>
          <w:rFonts w:eastAsia="Calibri"/>
          <w:i/>
          <w:sz w:val="22"/>
          <w:szCs w:val="24"/>
          <w:lang w:val="es-CO"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28B1732" w14:textId="77777777" w:rsidR="00251F08" w:rsidRPr="00251F08" w:rsidRDefault="00251F08" w:rsidP="00251F08">
      <w:pPr>
        <w:widowControl w:val="0"/>
        <w:autoSpaceDE w:val="0"/>
        <w:autoSpaceDN w:val="0"/>
        <w:adjustRightInd w:val="0"/>
        <w:spacing w:line="240" w:lineRule="auto"/>
        <w:ind w:left="426" w:right="420" w:firstLine="284"/>
        <w:rPr>
          <w:rFonts w:eastAsia="Calibri"/>
          <w:i/>
          <w:sz w:val="22"/>
          <w:szCs w:val="24"/>
          <w:lang w:val="es-CO" w:eastAsia="es-CO"/>
        </w:rPr>
      </w:pPr>
    </w:p>
    <w:p w14:paraId="0D05CF8E" w14:textId="77777777" w:rsidR="00251F08" w:rsidRPr="00251F08" w:rsidRDefault="00251F08" w:rsidP="00251F08">
      <w:pPr>
        <w:widowControl w:val="0"/>
        <w:autoSpaceDE w:val="0"/>
        <w:autoSpaceDN w:val="0"/>
        <w:adjustRightInd w:val="0"/>
        <w:spacing w:line="240" w:lineRule="auto"/>
        <w:ind w:left="426" w:right="420"/>
        <w:rPr>
          <w:rFonts w:eastAsia="Calibri"/>
          <w:i/>
          <w:sz w:val="22"/>
          <w:szCs w:val="24"/>
          <w:lang w:val="es-CO" w:eastAsia="es-CO"/>
        </w:rPr>
      </w:pPr>
      <w:r w:rsidRPr="00251F08">
        <w:rPr>
          <w:rFonts w:eastAsia="Calibri"/>
          <w:i/>
          <w:sz w:val="22"/>
          <w:szCs w:val="24"/>
          <w:lang w:val="es-CO"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2F82DC3" w14:textId="77777777" w:rsidR="00251F08" w:rsidRPr="00251F08" w:rsidRDefault="00251F08" w:rsidP="00251F08">
      <w:pPr>
        <w:widowControl w:val="0"/>
        <w:autoSpaceDE w:val="0"/>
        <w:autoSpaceDN w:val="0"/>
        <w:adjustRightInd w:val="0"/>
        <w:spacing w:line="276" w:lineRule="auto"/>
        <w:ind w:firstLine="284"/>
        <w:rPr>
          <w:rFonts w:eastAsia="Calibri"/>
          <w:bCs/>
          <w:szCs w:val="24"/>
          <w:lang w:val="es-CO" w:eastAsia="es-CO"/>
        </w:rPr>
      </w:pPr>
    </w:p>
    <w:p w14:paraId="276F7731" w14:textId="77777777" w:rsidR="00B27755" w:rsidRPr="00B90136" w:rsidRDefault="00B27755" w:rsidP="00B90136">
      <w:pPr>
        <w:widowControl w:val="0"/>
        <w:autoSpaceDE w:val="0"/>
        <w:autoSpaceDN w:val="0"/>
        <w:adjustRightInd w:val="0"/>
        <w:spacing w:line="276" w:lineRule="auto"/>
        <w:ind w:firstLine="708"/>
        <w:rPr>
          <w:rFonts w:eastAsia="Calibri"/>
          <w:bCs/>
          <w:szCs w:val="24"/>
          <w:lang w:val="es-CO" w:eastAsia="es-CO"/>
        </w:rPr>
      </w:pPr>
      <w:r w:rsidRPr="00B90136">
        <w:rPr>
          <w:rFonts w:eastAsia="Calibri"/>
          <w:bCs/>
          <w:szCs w:val="24"/>
          <w:lang w:val="es-CO"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B90136">
        <w:rPr>
          <w:rFonts w:eastAsia="Calibri"/>
          <w:bCs/>
          <w:szCs w:val="24"/>
          <w:vertAlign w:val="superscript"/>
          <w:lang w:val="es-CO" w:eastAsia="es-CO"/>
        </w:rPr>
        <w:footnoteReference w:id="4"/>
      </w:r>
      <w:r w:rsidRPr="00B90136">
        <w:rPr>
          <w:rFonts w:eastAsia="Calibri"/>
          <w:bCs/>
          <w:szCs w:val="24"/>
          <w:lang w:val="es-CO" w:eastAsia="es-CO"/>
        </w:rPr>
        <w:t xml:space="preserve">, tampoco es suficiente para declarar eficaz el primer traslado si de todas maneras no se demuestra que al interesado o interesada se le brindó la información suficiente y clara respecto a las </w:t>
      </w:r>
      <w:r w:rsidRPr="00B90136">
        <w:rPr>
          <w:rFonts w:eastAsia="Calibri"/>
          <w:bCs/>
          <w:szCs w:val="24"/>
          <w:lang w:val="es-CO" w:eastAsia="es-CO"/>
        </w:rPr>
        <w:lastRenderedPageBreak/>
        <w:t>ventajas y desventajas del cambio de régimen. Entre estas sentencias, está la providencia CSJ SL12136-2014 en la que se dijo lo siguiente:</w:t>
      </w:r>
    </w:p>
    <w:p w14:paraId="7A3C5F26" w14:textId="77777777" w:rsidR="00B27755" w:rsidRPr="00B90136" w:rsidRDefault="00B27755" w:rsidP="00B90136">
      <w:pPr>
        <w:widowControl w:val="0"/>
        <w:autoSpaceDE w:val="0"/>
        <w:autoSpaceDN w:val="0"/>
        <w:adjustRightInd w:val="0"/>
        <w:spacing w:line="276" w:lineRule="auto"/>
        <w:ind w:firstLine="284"/>
        <w:rPr>
          <w:rFonts w:eastAsia="Calibri"/>
          <w:bCs/>
          <w:i/>
          <w:szCs w:val="24"/>
          <w:lang w:val="es-CO" w:eastAsia="es-CO"/>
        </w:rPr>
      </w:pPr>
    </w:p>
    <w:p w14:paraId="791B3887"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4547979"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p>
    <w:p w14:paraId="57C4D61F"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355741D2" w14:textId="77777777" w:rsidR="00B27755" w:rsidRPr="00B90136" w:rsidRDefault="00B27755" w:rsidP="00B90136">
      <w:pPr>
        <w:widowControl w:val="0"/>
        <w:autoSpaceDE w:val="0"/>
        <w:autoSpaceDN w:val="0"/>
        <w:adjustRightInd w:val="0"/>
        <w:spacing w:line="276" w:lineRule="auto"/>
        <w:ind w:firstLine="284"/>
        <w:rPr>
          <w:rFonts w:eastAsia="Calibri"/>
          <w:bCs/>
          <w:szCs w:val="24"/>
          <w:lang w:val="es-CO" w:eastAsia="es-CO"/>
        </w:rPr>
      </w:pPr>
    </w:p>
    <w:p w14:paraId="6F84F7F8" w14:textId="77777777"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bCs/>
          <w:szCs w:val="24"/>
          <w:lang w:val="es-CO" w:eastAsia="es-CO"/>
        </w:rPr>
        <w:t xml:space="preserve">Igual cosa se ha predicado de las </w:t>
      </w:r>
      <w:proofErr w:type="spellStart"/>
      <w:r w:rsidRPr="00B90136">
        <w:rPr>
          <w:rFonts w:eastAsia="Calibri"/>
          <w:bCs/>
          <w:szCs w:val="24"/>
          <w:lang w:val="es-CO" w:eastAsia="es-CO"/>
        </w:rPr>
        <w:t>reasesorías</w:t>
      </w:r>
      <w:proofErr w:type="spellEnd"/>
      <w:r w:rsidRPr="00B90136">
        <w:rPr>
          <w:rFonts w:eastAsia="Calibri"/>
          <w:bCs/>
          <w:szCs w:val="24"/>
          <w:lang w:val="es-CO" w:eastAsia="es-CO"/>
        </w:rPr>
        <w:t xml:space="preserve"> posteriores dadas al interior de las AFP</w:t>
      </w:r>
      <w:r w:rsidRPr="00B90136">
        <w:rPr>
          <w:rFonts w:eastAsia="Calibri"/>
          <w:szCs w:val="24"/>
          <w:lang w:val="es-CO" w:eastAsia="es-CO"/>
        </w:rPr>
        <w:t xml:space="preserve">, las cuales tampoco convalidan el traslado, como quedó dicho en la citada sentencia del 8 de mayo de 2019 SL 1688-2019, así: </w:t>
      </w:r>
    </w:p>
    <w:p w14:paraId="5B29C766" w14:textId="77777777" w:rsidR="00B27755" w:rsidRPr="00B90136" w:rsidRDefault="00B27755" w:rsidP="00B90136">
      <w:pPr>
        <w:widowControl w:val="0"/>
        <w:autoSpaceDE w:val="0"/>
        <w:autoSpaceDN w:val="0"/>
        <w:adjustRightInd w:val="0"/>
        <w:spacing w:line="276" w:lineRule="auto"/>
        <w:ind w:firstLine="284"/>
        <w:rPr>
          <w:rFonts w:eastAsia="Calibri"/>
          <w:i/>
          <w:iCs/>
          <w:szCs w:val="24"/>
          <w:lang w:val="es-CO" w:eastAsia="es-CO"/>
        </w:rPr>
      </w:pPr>
      <w:r w:rsidRPr="00B90136">
        <w:rPr>
          <w:rFonts w:eastAsia="Calibri"/>
          <w:szCs w:val="24"/>
          <w:lang w:val="es-CO" w:eastAsia="es-CO"/>
        </w:rPr>
        <w:t xml:space="preserve">  </w:t>
      </w:r>
    </w:p>
    <w:p w14:paraId="6CD379E1"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 xml:space="preserve">“Ahora, si bien la AFP brindó a la actora una </w:t>
      </w:r>
      <w:proofErr w:type="spellStart"/>
      <w:r w:rsidRPr="00AC6113">
        <w:rPr>
          <w:rFonts w:eastAsia="Calibri"/>
          <w:i/>
          <w:sz w:val="22"/>
          <w:szCs w:val="24"/>
          <w:lang w:val="es-CO" w:eastAsia="es-CO"/>
        </w:rPr>
        <w:t>reasesoría</w:t>
      </w:r>
      <w:proofErr w:type="spellEnd"/>
      <w:r w:rsidRPr="00AC6113">
        <w:rPr>
          <w:rFonts w:eastAsia="Calibri"/>
          <w:i/>
          <w:sz w:val="22"/>
          <w:szCs w:val="24"/>
          <w:lang w:val="es-CO"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7F7A72D"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 xml:space="preserve"> </w:t>
      </w:r>
    </w:p>
    <w:p w14:paraId="42D51555"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AC6113">
        <w:rPr>
          <w:rFonts w:eastAsia="Calibri"/>
          <w:i/>
          <w:sz w:val="22"/>
          <w:szCs w:val="24"/>
          <w:lang w:val="es-CO" w:eastAsia="es-CO"/>
        </w:rPr>
        <w:t>reasesoría</w:t>
      </w:r>
      <w:proofErr w:type="spellEnd"/>
      <w:r w:rsidRPr="00AC6113">
        <w:rPr>
          <w:rFonts w:eastAsia="Calibri"/>
          <w:i/>
          <w:sz w:val="22"/>
          <w:szCs w:val="24"/>
          <w:lang w:val="es-CO" w:eastAsia="es-CO"/>
        </w:rPr>
        <w:t>, de todas formas, ya había perdido la transición.</w:t>
      </w:r>
    </w:p>
    <w:p w14:paraId="03A02943"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 xml:space="preserve"> </w:t>
      </w:r>
    </w:p>
    <w:p w14:paraId="325B987A"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EF54F71"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 xml:space="preserve"> </w:t>
      </w:r>
    </w:p>
    <w:p w14:paraId="23F59B10" w14:textId="77777777" w:rsidR="00B27755" w:rsidRPr="00AC6113" w:rsidRDefault="00B27755" w:rsidP="00AC6113">
      <w:pPr>
        <w:widowControl w:val="0"/>
        <w:autoSpaceDE w:val="0"/>
        <w:autoSpaceDN w:val="0"/>
        <w:adjustRightInd w:val="0"/>
        <w:spacing w:line="240" w:lineRule="auto"/>
        <w:ind w:left="426" w:right="420"/>
        <w:rPr>
          <w:rFonts w:eastAsia="Calibri"/>
          <w:i/>
          <w:sz w:val="22"/>
          <w:szCs w:val="24"/>
          <w:lang w:val="es-CO" w:eastAsia="es-CO"/>
        </w:rPr>
      </w:pPr>
      <w:r w:rsidRPr="00AC6113">
        <w:rPr>
          <w:rFonts w:eastAsia="Calibri"/>
          <w:i/>
          <w:sz w:val="22"/>
          <w:szCs w:val="24"/>
          <w:lang w:val="es-CO" w:eastAsia="es-CO"/>
        </w:rPr>
        <w:t xml:space="preserve">Por otro lado, no es de recibo el planteo de Protección S.A., cuando sostiene que una vez realizó la </w:t>
      </w:r>
      <w:proofErr w:type="spellStart"/>
      <w:r w:rsidRPr="00AC6113">
        <w:rPr>
          <w:rFonts w:eastAsia="Calibri"/>
          <w:i/>
          <w:sz w:val="22"/>
          <w:szCs w:val="24"/>
          <w:lang w:val="es-CO" w:eastAsia="es-CO"/>
        </w:rPr>
        <w:t>reasesoría</w:t>
      </w:r>
      <w:proofErr w:type="spellEnd"/>
      <w:r w:rsidRPr="00AC6113">
        <w:rPr>
          <w:rFonts w:eastAsia="Calibri"/>
          <w:i/>
          <w:sz w:val="22"/>
          <w:szCs w:val="24"/>
          <w:lang w:val="es-CO" w:eastAsia="es-CO"/>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w:t>
      </w:r>
      <w:r w:rsidRPr="00AC6113">
        <w:rPr>
          <w:rFonts w:eastAsia="Calibri"/>
          <w:i/>
          <w:sz w:val="22"/>
          <w:szCs w:val="24"/>
          <w:lang w:val="es-CO" w:eastAsia="es-CO"/>
        </w:rPr>
        <w:lastRenderedPageBreak/>
        <w:t>tiempo de reflexión, buscara información y consejo profesional para, finalmente, adoptar su elección”.</w:t>
      </w:r>
    </w:p>
    <w:p w14:paraId="204A75C7"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63951946" w14:textId="77777777" w:rsidR="00B27755" w:rsidRPr="00A56394" w:rsidRDefault="00B27755" w:rsidP="00A56394">
      <w:pPr>
        <w:widowControl w:val="0"/>
        <w:numPr>
          <w:ilvl w:val="1"/>
          <w:numId w:val="5"/>
        </w:numPr>
        <w:autoSpaceDE w:val="0"/>
        <w:autoSpaceDN w:val="0"/>
        <w:adjustRightInd w:val="0"/>
        <w:spacing w:before="100" w:beforeAutospacing="1" w:after="100" w:afterAutospacing="1" w:line="276" w:lineRule="auto"/>
        <w:contextualSpacing/>
        <w:rPr>
          <w:rFonts w:eastAsia="Calibri"/>
          <w:b/>
          <w:bCs/>
          <w:szCs w:val="24"/>
          <w:lang w:val="es-CO" w:eastAsia="es-CO"/>
        </w:rPr>
      </w:pPr>
      <w:r w:rsidRPr="00A56394">
        <w:rPr>
          <w:rFonts w:eastAsia="Calibri"/>
          <w:b/>
          <w:bCs/>
          <w:szCs w:val="24"/>
          <w:lang w:val="es-CO" w:eastAsia="es-CO"/>
        </w:rPr>
        <w:t xml:space="preserve">“De la carga de la prueba – Inversión a favor del afiliado” </w:t>
      </w:r>
      <w:r w:rsidRPr="00A56394">
        <w:rPr>
          <w:rFonts w:eastAsia="Calibri"/>
          <w:b/>
          <w:bCs/>
          <w:szCs w:val="24"/>
          <w:vertAlign w:val="superscript"/>
          <w:lang w:val="es-CO" w:eastAsia="es-CO"/>
        </w:rPr>
        <w:footnoteReference w:id="5"/>
      </w:r>
    </w:p>
    <w:p w14:paraId="69F7854B" w14:textId="77777777" w:rsidR="00B27755" w:rsidRPr="00B90136" w:rsidRDefault="00B27755" w:rsidP="00B90136">
      <w:pPr>
        <w:widowControl w:val="0"/>
        <w:autoSpaceDE w:val="0"/>
        <w:autoSpaceDN w:val="0"/>
        <w:adjustRightInd w:val="0"/>
        <w:spacing w:line="276" w:lineRule="auto"/>
        <w:ind w:firstLine="284"/>
        <w:rPr>
          <w:rFonts w:eastAsia="Calibri"/>
          <w:b/>
          <w:szCs w:val="24"/>
          <w:lang w:val="es-CO" w:eastAsia="es-CO"/>
        </w:rPr>
      </w:pPr>
    </w:p>
    <w:p w14:paraId="57C1798B" w14:textId="77777777"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B90136">
        <w:rPr>
          <w:rFonts w:eastAsia="Calibri"/>
          <w:i/>
          <w:szCs w:val="24"/>
          <w:lang w:val="es-CO" w:eastAsia="es-CO"/>
        </w:rPr>
        <w:t>la prueba de la diligencia o cuidado incumbe al que ha debido emplearlo”</w:t>
      </w:r>
      <w:r w:rsidRPr="00B90136">
        <w:rPr>
          <w:rFonts w:eastAsia="Calibri"/>
          <w:szCs w:val="24"/>
          <w:lang w:val="es-CO" w:eastAsia="es-CO"/>
        </w:rPr>
        <w:t xml:space="preserve"> lo que quiere decir que la carga de la prueba recae en el fondo de pensiones. Dicha postura se ha mantenido invariable, y se reiteró de manera más contundente en la citada sentencia, así: </w:t>
      </w:r>
    </w:p>
    <w:p w14:paraId="3460A788"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7B07E4AB"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8DC7345"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3C3F27B6"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DE33E84"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71E24024"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FC39E64"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5EA018CD"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3EE44C56"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57514D3E"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50D20BB"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43ADA4A3"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w:t>
      </w:r>
      <w:r w:rsidRPr="00946B0C">
        <w:rPr>
          <w:rFonts w:eastAsia="Calibri"/>
          <w:i/>
          <w:sz w:val="22"/>
          <w:szCs w:val="24"/>
          <w:lang w:val="es-CO" w:eastAsia="es-CO"/>
        </w:rPr>
        <w:lastRenderedPageBreak/>
        <w:t xml:space="preserve">administrativas y judiciales su pleno cumplimiento. </w:t>
      </w:r>
    </w:p>
    <w:p w14:paraId="7791E0F8"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32708F8B"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233F8E4E"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584312C3" w14:textId="77777777" w:rsidR="00B27755" w:rsidRPr="00A56394" w:rsidRDefault="00B27755" w:rsidP="00A56394">
      <w:pPr>
        <w:widowControl w:val="0"/>
        <w:numPr>
          <w:ilvl w:val="1"/>
          <w:numId w:val="5"/>
        </w:numPr>
        <w:autoSpaceDE w:val="0"/>
        <w:autoSpaceDN w:val="0"/>
        <w:adjustRightInd w:val="0"/>
        <w:spacing w:before="100" w:beforeAutospacing="1" w:after="100" w:afterAutospacing="1" w:line="276" w:lineRule="auto"/>
        <w:contextualSpacing/>
        <w:rPr>
          <w:rFonts w:eastAsia="Calibri"/>
          <w:b/>
          <w:bCs/>
          <w:szCs w:val="24"/>
          <w:lang w:val="es-CO" w:eastAsia="es-CO"/>
        </w:rPr>
      </w:pPr>
      <w:r w:rsidRPr="00A56394">
        <w:rPr>
          <w:rFonts w:eastAsia="Calibri"/>
          <w:b/>
          <w:bCs/>
          <w:szCs w:val="24"/>
          <w:lang w:val="es-CO" w:eastAsia="es-CO"/>
        </w:rPr>
        <w:t>Consecuencias de la declaratoria de ineficacia del traslado: Devolución de las cuotas de administración y de otros valores debidamente indexados</w:t>
      </w:r>
    </w:p>
    <w:p w14:paraId="2033A72C"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78A0FEC6" w14:textId="77777777"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35AF02F"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62BD1776"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B39E249"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46AACAE2"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Sobre las consecuencias de la nulidad del traslado entre regímenes esta Sala en sentencia SL, del 8 de sep. 2008, rad. 31989, reiterada en varias oportunidades, adoctrinó:</w:t>
      </w:r>
    </w:p>
    <w:p w14:paraId="21361B11"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33B92249"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w:t>
      </w:r>
    </w:p>
    <w:p w14:paraId="60650C74"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1F9BB85A"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3FC11FD"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p>
    <w:p w14:paraId="684AE0B6"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B9BA31A"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3CCCCF06"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r w:rsidRPr="00B90136">
        <w:rPr>
          <w:rFonts w:eastAsia="Calibri"/>
          <w:szCs w:val="24"/>
          <w:lang w:val="es-CO"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82EE3F6"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59EC127B" w14:textId="77777777" w:rsidR="00B27755" w:rsidRPr="00946B0C" w:rsidRDefault="00B27755" w:rsidP="00946B0C">
      <w:pPr>
        <w:widowControl w:val="0"/>
        <w:autoSpaceDE w:val="0"/>
        <w:autoSpaceDN w:val="0"/>
        <w:adjustRightInd w:val="0"/>
        <w:spacing w:line="240" w:lineRule="auto"/>
        <w:ind w:left="426" w:right="420"/>
        <w:rPr>
          <w:rFonts w:eastAsia="Calibri"/>
          <w:i/>
          <w:sz w:val="22"/>
          <w:szCs w:val="24"/>
          <w:lang w:val="es-CO" w:eastAsia="es-CO"/>
        </w:rPr>
      </w:pPr>
      <w:r w:rsidRPr="00946B0C">
        <w:rPr>
          <w:rFonts w:eastAsia="Calibri"/>
          <w:i/>
          <w:sz w:val="22"/>
          <w:szCs w:val="24"/>
          <w:lang w:val="es-CO"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w:t>
      </w:r>
      <w:r w:rsidRPr="00946B0C">
        <w:rPr>
          <w:rFonts w:eastAsia="Calibri"/>
          <w:i/>
          <w:sz w:val="22"/>
          <w:szCs w:val="24"/>
          <w:lang w:val="es-CO" w:eastAsia="es-CO"/>
        </w:rPr>
        <w:lastRenderedPageBreak/>
        <w:t xml:space="preserve">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508DE8C7"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6F27E9F0" w14:textId="77777777"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9469F9C"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55661496"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r w:rsidRPr="00B90136">
        <w:rPr>
          <w:rFonts w:eastAsia="Calibri"/>
          <w:szCs w:val="24"/>
          <w:lang w:val="es-CO" w:eastAsia="es-CO"/>
        </w:rPr>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32F3BCBC" w14:textId="77777777" w:rsidR="00922D62" w:rsidRPr="00B90136" w:rsidRDefault="00922D62" w:rsidP="00B90136">
      <w:pPr>
        <w:widowControl w:val="0"/>
        <w:autoSpaceDE w:val="0"/>
        <w:autoSpaceDN w:val="0"/>
        <w:adjustRightInd w:val="0"/>
        <w:spacing w:line="276" w:lineRule="auto"/>
        <w:ind w:firstLine="284"/>
        <w:rPr>
          <w:rFonts w:eastAsia="Calibri"/>
          <w:b/>
          <w:szCs w:val="24"/>
          <w:lang w:val="es-CO" w:eastAsia="es-CO"/>
        </w:rPr>
      </w:pPr>
    </w:p>
    <w:p w14:paraId="0F86B60F" w14:textId="77777777" w:rsidR="00B27755" w:rsidRPr="00A56394" w:rsidRDefault="00B27755" w:rsidP="00A56394">
      <w:pPr>
        <w:widowControl w:val="0"/>
        <w:numPr>
          <w:ilvl w:val="1"/>
          <w:numId w:val="5"/>
        </w:numPr>
        <w:autoSpaceDE w:val="0"/>
        <w:autoSpaceDN w:val="0"/>
        <w:adjustRightInd w:val="0"/>
        <w:spacing w:before="100" w:beforeAutospacing="1" w:after="100" w:afterAutospacing="1" w:line="276" w:lineRule="auto"/>
        <w:contextualSpacing/>
        <w:rPr>
          <w:rFonts w:eastAsia="Calibri"/>
          <w:b/>
          <w:bCs/>
          <w:szCs w:val="24"/>
          <w:lang w:val="es-CO" w:eastAsia="es-CO"/>
        </w:rPr>
      </w:pPr>
      <w:r w:rsidRPr="00A56394">
        <w:rPr>
          <w:rFonts w:eastAsia="Calibri"/>
          <w:b/>
          <w:bCs/>
          <w:szCs w:val="24"/>
          <w:lang w:val="es-CO" w:eastAsia="es-CO"/>
        </w:rPr>
        <w:t>Caso concreto</w:t>
      </w:r>
    </w:p>
    <w:p w14:paraId="3E03059C"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14FB194D" w14:textId="77777777"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00065A78"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0EC9699D" w14:textId="77777777"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FE57278"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00654334" w14:textId="77777777" w:rsidR="00B27755" w:rsidRPr="00B90136" w:rsidRDefault="00B27755" w:rsidP="00B90136">
      <w:pPr>
        <w:widowControl w:val="0"/>
        <w:autoSpaceDE w:val="0"/>
        <w:autoSpaceDN w:val="0"/>
        <w:adjustRightInd w:val="0"/>
        <w:spacing w:line="276" w:lineRule="auto"/>
        <w:ind w:firstLine="708"/>
        <w:rPr>
          <w:rFonts w:eastAsia="Calibri"/>
          <w:b/>
          <w:szCs w:val="24"/>
          <w:lang w:val="es-CO" w:eastAsia="es-CO"/>
        </w:rPr>
      </w:pPr>
      <w:r w:rsidRPr="00B90136">
        <w:rPr>
          <w:rFonts w:eastAsia="Calibri"/>
          <w:szCs w:val="24"/>
          <w:lang w:val="es-CO"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B90136">
        <w:rPr>
          <w:rFonts w:eastAsia="Calibri"/>
          <w:b/>
          <w:szCs w:val="24"/>
          <w:lang w:val="es-CO" w:eastAsia="es-CO"/>
        </w:rPr>
        <w:t>, acreditar haber transmitido a la parte actora la información concreta y cierta, acerca de la implicación del traslado de régimen pensional.</w:t>
      </w:r>
    </w:p>
    <w:p w14:paraId="47CFC87B" w14:textId="77777777" w:rsidR="00B27755" w:rsidRPr="00B90136" w:rsidRDefault="00B27755" w:rsidP="00B90136">
      <w:pPr>
        <w:widowControl w:val="0"/>
        <w:autoSpaceDE w:val="0"/>
        <w:autoSpaceDN w:val="0"/>
        <w:adjustRightInd w:val="0"/>
        <w:spacing w:line="276" w:lineRule="auto"/>
        <w:ind w:firstLine="284"/>
        <w:rPr>
          <w:rFonts w:eastAsia="Calibri"/>
          <w:b/>
          <w:szCs w:val="24"/>
          <w:lang w:val="es-CO" w:eastAsia="es-CO"/>
        </w:rPr>
      </w:pPr>
    </w:p>
    <w:p w14:paraId="094ADF12" w14:textId="0A8B153B"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 xml:space="preserve">En realidad, mínimo la AFP tendría que haber dado la siguiente información: </w:t>
      </w:r>
      <w:r w:rsidRPr="00B90136">
        <w:rPr>
          <w:rFonts w:eastAsia="Calibri"/>
          <w:i/>
          <w:szCs w:val="24"/>
          <w:lang w:val="es-CO" w:eastAsia="es-CO"/>
        </w:rPr>
        <w:t xml:space="preserve">i) </w:t>
      </w:r>
      <w:r w:rsidRPr="00B90136">
        <w:rPr>
          <w:rFonts w:eastAsia="Calibri"/>
          <w:szCs w:val="24"/>
          <w:lang w:val="es-CO" w:eastAsia="es-CO"/>
        </w:rPr>
        <w:t xml:space="preserve">Que, dependiendo del capital, puede pensionarse anticipadamente, esto es, antes de la edad mínima para la pensión de vejez. </w:t>
      </w:r>
      <w:r w:rsidRPr="00B90136">
        <w:rPr>
          <w:rFonts w:eastAsia="Calibri"/>
          <w:i/>
          <w:szCs w:val="24"/>
          <w:lang w:val="es-CO" w:eastAsia="es-CO"/>
        </w:rPr>
        <w:t xml:space="preserve">ii) </w:t>
      </w:r>
      <w:r w:rsidRPr="00B90136">
        <w:rPr>
          <w:rFonts w:eastAsia="Calibri"/>
          <w:szCs w:val="24"/>
          <w:lang w:val="es-CO" w:eastAsia="es-CO"/>
        </w:rPr>
        <w:t xml:space="preserve">La posibilidad para sus herederos de hacerse a la devolución de saldos, en caso de que no existieran beneficiaros para la pensión de sobrevivientes. </w:t>
      </w:r>
      <w:r w:rsidRPr="00B90136">
        <w:rPr>
          <w:rFonts w:eastAsia="Calibri"/>
          <w:i/>
          <w:szCs w:val="24"/>
          <w:lang w:val="es-CO" w:eastAsia="es-CO"/>
        </w:rPr>
        <w:t xml:space="preserve">iii) </w:t>
      </w:r>
      <w:r w:rsidRPr="00B90136">
        <w:rPr>
          <w:rFonts w:eastAsia="Calibri"/>
          <w:szCs w:val="24"/>
          <w:lang w:val="es-CO" w:eastAsia="es-CO"/>
        </w:rPr>
        <w:t xml:space="preserve">La devolución total del saldo en caso de no alcanzar a </w:t>
      </w:r>
      <w:r w:rsidRPr="00B90136">
        <w:rPr>
          <w:rFonts w:eastAsia="Calibri"/>
          <w:szCs w:val="24"/>
          <w:lang w:val="es-CO" w:eastAsia="es-CO"/>
        </w:rPr>
        <w:lastRenderedPageBreak/>
        <w:t xml:space="preserve">reunir el total de los requisitos legales para optar al beneficio pensional. </w:t>
      </w:r>
      <w:r w:rsidRPr="00B90136">
        <w:rPr>
          <w:rFonts w:eastAsia="Calibri"/>
          <w:i/>
          <w:szCs w:val="24"/>
          <w:lang w:val="es-CO" w:eastAsia="es-CO"/>
        </w:rPr>
        <w:t xml:space="preserve">iv) </w:t>
      </w:r>
      <w:r w:rsidRPr="00B90136">
        <w:rPr>
          <w:rFonts w:eastAsia="Calibri"/>
          <w:szCs w:val="24"/>
          <w:lang w:val="es-CO" w:eastAsia="es-CO"/>
        </w:rPr>
        <w:t xml:space="preserve">Tener la posibilidad de la pensión de vejez habiendo cotizado el mínimo de semanas requeridas a pesar de no reunir el capital suficiente para el financiamiento de la prestación económica. </w:t>
      </w:r>
      <w:r w:rsidRPr="00B90136">
        <w:rPr>
          <w:rFonts w:eastAsia="Calibri"/>
          <w:i/>
          <w:szCs w:val="24"/>
          <w:lang w:val="es-CO" w:eastAsia="es-CO"/>
        </w:rPr>
        <w:t xml:space="preserve">v) </w:t>
      </w:r>
      <w:r w:rsidRPr="00B90136">
        <w:rPr>
          <w:rFonts w:eastAsia="Calibri"/>
          <w:szCs w:val="24"/>
          <w:lang w:val="es-CO" w:eastAsia="es-CO"/>
        </w:rPr>
        <w:t xml:space="preserve">La posibilidad de que el reconocimiento de la pensión de vejez, una vez reunido los requisitos, se haga pronto. </w:t>
      </w:r>
      <w:r w:rsidRPr="00B90136">
        <w:rPr>
          <w:rFonts w:eastAsia="Calibri"/>
          <w:i/>
          <w:szCs w:val="24"/>
          <w:lang w:val="es-CO" w:eastAsia="es-CO"/>
        </w:rPr>
        <w:t xml:space="preserve">vi) </w:t>
      </w:r>
      <w:r w:rsidRPr="00B90136">
        <w:rPr>
          <w:rFonts w:eastAsia="Calibri"/>
          <w:szCs w:val="24"/>
          <w:lang w:val="es-CO" w:eastAsia="es-CO"/>
        </w:rPr>
        <w:t xml:space="preserve">La posibilidad de que sus aportes se conviertan en patrimonio </w:t>
      </w:r>
      <w:proofErr w:type="spellStart"/>
      <w:r w:rsidRPr="00B90136">
        <w:rPr>
          <w:rFonts w:eastAsia="Calibri"/>
          <w:szCs w:val="24"/>
          <w:lang w:val="es-CO" w:eastAsia="es-CO"/>
        </w:rPr>
        <w:t>sucesoral</w:t>
      </w:r>
      <w:proofErr w:type="spellEnd"/>
      <w:r w:rsidRPr="00B90136">
        <w:rPr>
          <w:rFonts w:eastAsia="Calibri"/>
          <w:szCs w:val="24"/>
          <w:lang w:val="es-CO" w:eastAsia="es-CO"/>
        </w:rPr>
        <w:t xml:space="preserve"> en un caso dado. </w:t>
      </w:r>
      <w:r w:rsidRPr="00B90136">
        <w:rPr>
          <w:rFonts w:eastAsia="Calibri"/>
          <w:i/>
          <w:szCs w:val="24"/>
          <w:lang w:val="es-CO" w:eastAsia="es-CO"/>
        </w:rPr>
        <w:t xml:space="preserve">vii) </w:t>
      </w:r>
      <w:r w:rsidRPr="00B90136">
        <w:rPr>
          <w:rFonts w:eastAsia="Calibri"/>
          <w:szCs w:val="24"/>
          <w:lang w:val="es-CO" w:eastAsia="es-CO"/>
        </w:rPr>
        <w:t xml:space="preserve">El hecho de que el afiliado es el único titular de la cuenta de ahorro individual en contraste con el fondo público cuyos ahorros hacen parte de un fondo común. </w:t>
      </w:r>
      <w:proofErr w:type="spellStart"/>
      <w:r w:rsidRPr="00B90136">
        <w:rPr>
          <w:rFonts w:eastAsia="Calibri"/>
          <w:i/>
          <w:szCs w:val="24"/>
          <w:lang w:val="es-CO" w:eastAsia="es-CO"/>
        </w:rPr>
        <w:t>viii</w:t>
      </w:r>
      <w:proofErr w:type="spellEnd"/>
      <w:r w:rsidRPr="00B90136">
        <w:rPr>
          <w:rFonts w:eastAsia="Calibri"/>
          <w:i/>
          <w:szCs w:val="24"/>
          <w:lang w:val="es-CO" w:eastAsia="es-CO"/>
        </w:rPr>
        <w:t xml:space="preserve">) </w:t>
      </w:r>
      <w:r w:rsidRPr="00B90136">
        <w:rPr>
          <w:rFonts w:eastAsia="Calibri"/>
          <w:szCs w:val="24"/>
          <w:lang w:val="es-CO" w:eastAsia="es-CO"/>
        </w:rPr>
        <w:t xml:space="preserve">Los rendimientos financieros que le generen sus aportes abonados sobre el saldo de su cuenta de ahorro individual; y, </w:t>
      </w:r>
      <w:proofErr w:type="spellStart"/>
      <w:r w:rsidRPr="00B90136">
        <w:rPr>
          <w:rFonts w:eastAsia="Calibri"/>
          <w:i/>
          <w:szCs w:val="24"/>
          <w:lang w:val="es-CO" w:eastAsia="es-CO"/>
        </w:rPr>
        <w:t>ix</w:t>
      </w:r>
      <w:proofErr w:type="spellEnd"/>
      <w:r w:rsidRPr="00B90136">
        <w:rPr>
          <w:rFonts w:eastAsia="Calibri"/>
          <w:i/>
          <w:szCs w:val="24"/>
          <w:lang w:val="es-CO" w:eastAsia="es-CO"/>
        </w:rPr>
        <w:t xml:space="preserve">) </w:t>
      </w:r>
      <w:r w:rsidRPr="00B90136">
        <w:rPr>
          <w:rFonts w:eastAsia="Calibri"/>
          <w:szCs w:val="24"/>
          <w:lang w:val="es-CO"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B90136">
        <w:rPr>
          <w:rFonts w:eastAsia="Calibri"/>
          <w:szCs w:val="24"/>
          <w:lang w:val="es-CO" w:eastAsia="es-CO"/>
        </w:rPr>
        <w:t>sucesoral</w:t>
      </w:r>
      <w:proofErr w:type="spellEnd"/>
      <w:r w:rsidRPr="00B90136">
        <w:rPr>
          <w:rFonts w:eastAsia="Calibri"/>
          <w:szCs w:val="24"/>
          <w:lang w:val="es-CO" w:eastAsia="es-CO"/>
        </w:rPr>
        <w:t xml:space="preserve">, pero le garantiza una pensión de por vida. La modalidad de </w:t>
      </w:r>
      <w:r w:rsidRPr="00B90136">
        <w:rPr>
          <w:rFonts w:eastAsia="Calibri"/>
          <w:i/>
          <w:szCs w:val="24"/>
          <w:lang w:val="es-CO" w:eastAsia="es-CO"/>
        </w:rPr>
        <w:t>retiro programado</w:t>
      </w:r>
      <w:r w:rsidRPr="00B90136">
        <w:rPr>
          <w:rFonts w:eastAsia="Calibri"/>
          <w:szCs w:val="24"/>
          <w:lang w:val="es-CO"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4BA30DC" w14:textId="77777777" w:rsidR="000E01C1" w:rsidRPr="00B90136" w:rsidRDefault="000E01C1" w:rsidP="00B90136">
      <w:pPr>
        <w:widowControl w:val="0"/>
        <w:autoSpaceDE w:val="0"/>
        <w:autoSpaceDN w:val="0"/>
        <w:adjustRightInd w:val="0"/>
        <w:spacing w:line="276" w:lineRule="auto"/>
        <w:ind w:firstLine="708"/>
        <w:rPr>
          <w:rFonts w:eastAsia="Calibri"/>
          <w:szCs w:val="24"/>
          <w:lang w:val="es-CO" w:eastAsia="es-CO"/>
        </w:rPr>
      </w:pPr>
    </w:p>
    <w:p w14:paraId="185C62E0" w14:textId="4ACE3AA8" w:rsidR="00B27755" w:rsidRPr="00B90136" w:rsidRDefault="007365F4"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Protección</w:t>
      </w:r>
      <w:r w:rsidR="000E01C1" w:rsidRPr="00B90136">
        <w:rPr>
          <w:rFonts w:eastAsia="Calibri"/>
          <w:szCs w:val="24"/>
          <w:lang w:val="es-CO" w:eastAsia="es-CO"/>
        </w:rPr>
        <w:t xml:space="preserve"> </w:t>
      </w:r>
      <w:r w:rsidR="00B27755" w:rsidRPr="00B90136">
        <w:rPr>
          <w:rFonts w:eastAsia="Calibri"/>
          <w:szCs w:val="24"/>
          <w:lang w:val="es-CO" w:eastAsia="es-CO"/>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B49DABB" w14:textId="77777777" w:rsidR="00B27755" w:rsidRPr="00B90136" w:rsidRDefault="00B27755" w:rsidP="00B90136">
      <w:pPr>
        <w:widowControl w:val="0"/>
        <w:autoSpaceDE w:val="0"/>
        <w:autoSpaceDN w:val="0"/>
        <w:adjustRightInd w:val="0"/>
        <w:spacing w:line="276" w:lineRule="auto"/>
        <w:ind w:firstLine="284"/>
        <w:rPr>
          <w:rFonts w:eastAsia="Calibri"/>
          <w:szCs w:val="24"/>
          <w:lang w:val="es-CO" w:eastAsia="es-CO"/>
        </w:rPr>
      </w:pPr>
    </w:p>
    <w:p w14:paraId="4B5909FB" w14:textId="4B9C4972"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Con todo hay que indicar que como prueba del cumplimiento del deber de información y buen consejo, la AFP demandada llamó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w:t>
      </w:r>
      <w:r w:rsidR="00922D62" w:rsidRPr="00B90136">
        <w:rPr>
          <w:rFonts w:eastAsia="Calibri"/>
          <w:szCs w:val="24"/>
          <w:lang w:val="es-CO" w:eastAsia="es-CO"/>
        </w:rPr>
        <w:t xml:space="preserve"> </w:t>
      </w:r>
      <w:r w:rsidRPr="00B90136">
        <w:rPr>
          <w:rFonts w:eastAsia="Calibri"/>
          <w:szCs w:val="24"/>
          <w:lang w:val="es-CO" w:eastAsia="es-CO"/>
        </w:rPr>
        <w:t>todo, no se le puso de presente que perdería los beneficios transicionales al cambiar de régimen.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31E0B80D" w14:textId="77777777" w:rsidR="00B27755" w:rsidRPr="00B90136" w:rsidRDefault="00B27755" w:rsidP="00B90136">
      <w:pPr>
        <w:widowControl w:val="0"/>
        <w:autoSpaceDE w:val="0"/>
        <w:autoSpaceDN w:val="0"/>
        <w:adjustRightInd w:val="0"/>
        <w:spacing w:line="276" w:lineRule="auto"/>
        <w:ind w:firstLine="284"/>
        <w:rPr>
          <w:rFonts w:eastAsia="Calibri"/>
          <w:szCs w:val="24"/>
          <w:highlight w:val="yellow"/>
          <w:lang w:val="es-CO" w:eastAsia="es-CO"/>
        </w:rPr>
      </w:pPr>
    </w:p>
    <w:p w14:paraId="1501AAB5" w14:textId="39413735"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 xml:space="preserve">En cuanto a las condenas impartidas a cargo de </w:t>
      </w:r>
      <w:r w:rsidR="007365F4" w:rsidRPr="00B90136">
        <w:rPr>
          <w:rFonts w:eastAsia="Calibri"/>
          <w:szCs w:val="24"/>
          <w:lang w:val="es-CO" w:eastAsia="es-CO"/>
        </w:rPr>
        <w:t>Protección</w:t>
      </w:r>
      <w:r w:rsidR="007759F5" w:rsidRPr="00B90136">
        <w:rPr>
          <w:rFonts w:eastAsia="Calibri"/>
          <w:szCs w:val="24"/>
          <w:lang w:val="es-CO" w:eastAsia="es-CO"/>
        </w:rPr>
        <w:t xml:space="preserve"> </w:t>
      </w:r>
      <w:r w:rsidRPr="00B90136">
        <w:rPr>
          <w:rFonts w:eastAsia="Calibri"/>
          <w:szCs w:val="24"/>
          <w:lang w:val="es-CO" w:eastAsia="es-CO"/>
        </w:rPr>
        <w:t xml:space="preserve">S.A., se dirá que de conformidad con las sentencias SL1421 de 2019 y SL 2611 de 2020, M.P. Gerardo Botero Zuluaga, previamente citadas, es su deber trasladar a Colpensiones los gastos de administración, debidamente indexados, cancelados por la parte actora en razón a </w:t>
      </w:r>
      <w:r w:rsidRPr="00B90136">
        <w:rPr>
          <w:rFonts w:eastAsia="Calibri"/>
          <w:szCs w:val="24"/>
          <w:lang w:val="es-CO" w:eastAsia="es-CO"/>
        </w:rPr>
        <w:lastRenderedPageBreak/>
        <w:t>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BFEAF60" w14:textId="77777777" w:rsidR="00B27755" w:rsidRPr="00B90136" w:rsidRDefault="00B27755" w:rsidP="00B90136">
      <w:pPr>
        <w:widowControl w:val="0"/>
        <w:autoSpaceDE w:val="0"/>
        <w:autoSpaceDN w:val="0"/>
        <w:adjustRightInd w:val="0"/>
        <w:spacing w:line="276" w:lineRule="auto"/>
        <w:ind w:firstLine="284"/>
        <w:rPr>
          <w:rFonts w:eastAsia="Calibri"/>
          <w:szCs w:val="24"/>
          <w:highlight w:val="yellow"/>
          <w:lang w:val="es-CO" w:eastAsia="es-CO"/>
        </w:rPr>
      </w:pPr>
    </w:p>
    <w:p w14:paraId="69697476" w14:textId="7BEF3BCC" w:rsidR="00B27755" w:rsidRPr="00B90136" w:rsidRDefault="00B27755" w:rsidP="00B90136">
      <w:pPr>
        <w:spacing w:line="276" w:lineRule="auto"/>
        <w:ind w:firstLine="644"/>
        <w:rPr>
          <w:rFonts w:eastAsia="Times New Roman"/>
          <w:szCs w:val="24"/>
          <w:lang w:eastAsia="es-ES"/>
        </w:rPr>
      </w:pPr>
      <w:r w:rsidRPr="00B90136">
        <w:rPr>
          <w:rFonts w:eastAsia="Times New Roman"/>
          <w:szCs w:val="24"/>
          <w:lang w:eastAsia="es-ES"/>
        </w:rPr>
        <w:t xml:space="preserve">En </w:t>
      </w:r>
      <w:r w:rsidR="007759F5" w:rsidRPr="00B90136">
        <w:rPr>
          <w:rFonts w:eastAsia="Times New Roman"/>
          <w:szCs w:val="24"/>
          <w:lang w:eastAsia="es-ES"/>
        </w:rPr>
        <w:t xml:space="preserve">este punto es oportuno recordar </w:t>
      </w:r>
      <w:r w:rsidRPr="00B90136">
        <w:rPr>
          <w:rFonts w:eastAsia="Times New Roman"/>
          <w:szCs w:val="24"/>
          <w:lang w:eastAsia="es-ES"/>
        </w:rPr>
        <w:t>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3900B7">
        <w:rPr>
          <w:rFonts w:eastAsia="Times New Roman"/>
          <w:sz w:val="22"/>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B90136">
        <w:rPr>
          <w:rFonts w:eastAsia="Times New Roman"/>
          <w:szCs w:val="24"/>
          <w:lang w:eastAsia="es-ES"/>
        </w:rPr>
        <w:t>” (STL4759-2020).</w:t>
      </w:r>
    </w:p>
    <w:p w14:paraId="23D5EA3C" w14:textId="77777777" w:rsidR="00712CD4" w:rsidRPr="00B90136" w:rsidRDefault="00712CD4" w:rsidP="00B90136">
      <w:pPr>
        <w:spacing w:line="276" w:lineRule="auto"/>
        <w:ind w:firstLine="644"/>
        <w:rPr>
          <w:rFonts w:eastAsia="Times New Roman"/>
          <w:szCs w:val="24"/>
          <w:highlight w:val="yellow"/>
          <w:lang w:eastAsia="es-ES"/>
        </w:rPr>
      </w:pPr>
    </w:p>
    <w:p w14:paraId="2BBC40F0" w14:textId="0CE3E878"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1E5A08C1" w14:textId="77777777" w:rsidR="006736C2" w:rsidRPr="00B90136" w:rsidRDefault="006736C2" w:rsidP="00B90136">
      <w:pPr>
        <w:widowControl w:val="0"/>
        <w:autoSpaceDE w:val="0"/>
        <w:autoSpaceDN w:val="0"/>
        <w:adjustRightInd w:val="0"/>
        <w:spacing w:line="276" w:lineRule="auto"/>
        <w:ind w:firstLine="708"/>
        <w:rPr>
          <w:rFonts w:eastAsia="Calibri"/>
          <w:szCs w:val="24"/>
          <w:lang w:val="es-CO" w:eastAsia="es-CO"/>
        </w:rPr>
      </w:pPr>
    </w:p>
    <w:p w14:paraId="683EED06" w14:textId="15EFBD65" w:rsidR="006736C2" w:rsidRPr="00B90136" w:rsidRDefault="006736C2" w:rsidP="00B90136">
      <w:pPr>
        <w:spacing w:line="276" w:lineRule="auto"/>
        <w:ind w:firstLine="644"/>
        <w:rPr>
          <w:szCs w:val="24"/>
          <w:lang w:val="es"/>
        </w:rPr>
      </w:pPr>
      <w:r w:rsidRPr="00B90136">
        <w:rPr>
          <w:szCs w:val="24"/>
          <w:lang w:val="es"/>
        </w:rPr>
        <w:t>En torno a la manifestación que hace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29418B62" w14:textId="528CF136" w:rsidR="007365F4" w:rsidRPr="00B90136" w:rsidRDefault="007365F4" w:rsidP="00B90136">
      <w:pPr>
        <w:spacing w:line="276" w:lineRule="auto"/>
        <w:ind w:firstLine="644"/>
        <w:rPr>
          <w:szCs w:val="24"/>
          <w:lang w:val="es"/>
        </w:rPr>
      </w:pPr>
    </w:p>
    <w:p w14:paraId="7DB6CDCE" w14:textId="0011F674" w:rsidR="007365F4" w:rsidRPr="00B90136" w:rsidRDefault="007365F4" w:rsidP="00B90136">
      <w:pPr>
        <w:widowControl w:val="0"/>
        <w:autoSpaceDE w:val="0"/>
        <w:autoSpaceDN w:val="0"/>
        <w:adjustRightInd w:val="0"/>
        <w:spacing w:line="276" w:lineRule="auto"/>
        <w:ind w:firstLine="851"/>
        <w:rPr>
          <w:color w:val="000000" w:themeColor="text1"/>
          <w:spacing w:val="-2"/>
          <w:szCs w:val="24"/>
          <w:lang w:eastAsia="es-ES"/>
        </w:rPr>
      </w:pPr>
      <w:r w:rsidRPr="00B90136">
        <w:rPr>
          <w:color w:val="000000" w:themeColor="text1"/>
          <w:spacing w:val="-2"/>
          <w:szCs w:val="24"/>
          <w:lang w:eastAsia="es-ES"/>
        </w:rPr>
        <w:t>En este punto, conviene recordar que, la Sala de Casación Labora de la Corte Suprema de Justicia</w:t>
      </w:r>
      <w:r w:rsidRPr="00B90136">
        <w:rPr>
          <w:rStyle w:val="Refdenotaalpie"/>
          <w:color w:val="000000" w:themeColor="text1"/>
          <w:spacing w:val="-2"/>
          <w:szCs w:val="24"/>
          <w:lang w:eastAsia="es-ES"/>
        </w:rPr>
        <w:footnoteReference w:id="6"/>
      </w:r>
      <w:r w:rsidRPr="00B90136">
        <w:rPr>
          <w:color w:val="000000" w:themeColor="text1"/>
          <w:spacing w:val="-2"/>
          <w:szCs w:val="24"/>
          <w:lang w:eastAsia="es-ES"/>
        </w:rPr>
        <w:t xml:space="preserve"> manifestó que los actos u omisiones posteriores del afiliado,  como el de no retornar al régimen de prima media con prestación definida en la oportunidad legal prevista para ello o trasladarse entre fondos privados, no convalidan el </w:t>
      </w:r>
      <w:r w:rsidRPr="00B90136">
        <w:rPr>
          <w:color w:val="000000" w:themeColor="text1"/>
          <w:spacing w:val="-2"/>
          <w:szCs w:val="24"/>
          <w:lang w:eastAsia="es-ES"/>
        </w:rPr>
        <w:lastRenderedPageBreak/>
        <w:t>incumplimiento del deber de información de la AFP, tales actuaciones  del afiliado se dan de manera posterior, de modo que, dejan intactos los hechos u omisiones que anteceden a la declaratoria de ineficacia.</w:t>
      </w:r>
    </w:p>
    <w:p w14:paraId="040E90D1" w14:textId="77777777" w:rsidR="007365F4" w:rsidRPr="00B90136" w:rsidRDefault="007365F4" w:rsidP="00B90136">
      <w:pPr>
        <w:spacing w:line="276" w:lineRule="auto"/>
        <w:ind w:firstLine="644"/>
        <w:rPr>
          <w:szCs w:val="24"/>
        </w:rPr>
      </w:pPr>
    </w:p>
    <w:p w14:paraId="44D19E20" w14:textId="77777777" w:rsidR="007365F4" w:rsidRPr="00B90136" w:rsidRDefault="007365F4" w:rsidP="00B90136">
      <w:pPr>
        <w:widowControl w:val="0"/>
        <w:autoSpaceDE w:val="0"/>
        <w:autoSpaceDN w:val="0"/>
        <w:adjustRightInd w:val="0"/>
        <w:spacing w:line="276" w:lineRule="auto"/>
        <w:ind w:firstLine="708"/>
        <w:rPr>
          <w:rFonts w:eastAsia="Calibri"/>
          <w:color w:val="000000" w:themeColor="text1"/>
          <w:szCs w:val="24"/>
        </w:rPr>
      </w:pPr>
      <w:r w:rsidRPr="00B90136">
        <w:rPr>
          <w:rFonts w:eastAsia="Calibri"/>
          <w:szCs w:val="24"/>
        </w:rPr>
        <w:t>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w:t>
      </w:r>
      <w:r w:rsidRPr="00B90136">
        <w:rPr>
          <w:rFonts w:eastAsia="Calibri"/>
          <w:i/>
          <w:iCs/>
          <w:szCs w:val="24"/>
        </w:rPr>
        <w:t>-</w:t>
      </w:r>
      <w:r w:rsidRPr="00B90136">
        <w:rPr>
          <w:rFonts w:eastAsia="Calibri"/>
          <w:szCs w:val="24"/>
        </w:rPr>
        <w:t xml:space="preserve">, proceda con la anulación del mismo mediante trámite </w:t>
      </w:r>
      <w:r w:rsidRPr="00B90136">
        <w:rPr>
          <w:rFonts w:eastAsia="Calibri"/>
          <w:color w:val="000000" w:themeColor="text1"/>
          <w:szCs w:val="24"/>
        </w:rPr>
        <w:t>interno, aplicando lo previsto en el artículo 57 del Decreto 1748 de 1995, modificado por el artículo 17 del Decreto 3798 de 2003 hoy recopilado en el Decreto 833 de 2016.</w:t>
      </w:r>
    </w:p>
    <w:p w14:paraId="7FB6E4B5" w14:textId="77777777" w:rsidR="00B27755" w:rsidRPr="00B90136" w:rsidRDefault="00B27755" w:rsidP="00B90136">
      <w:pPr>
        <w:widowControl w:val="0"/>
        <w:autoSpaceDE w:val="0"/>
        <w:autoSpaceDN w:val="0"/>
        <w:adjustRightInd w:val="0"/>
        <w:spacing w:line="276" w:lineRule="auto"/>
        <w:rPr>
          <w:rFonts w:eastAsia="Calibri"/>
          <w:szCs w:val="24"/>
          <w:lang w:val="es-CO" w:eastAsia="es-CO"/>
        </w:rPr>
      </w:pPr>
    </w:p>
    <w:p w14:paraId="2670E499" w14:textId="7DE37B23" w:rsidR="00B27755" w:rsidRPr="00B90136" w:rsidRDefault="00B27755" w:rsidP="00B90136">
      <w:pPr>
        <w:widowControl w:val="0"/>
        <w:autoSpaceDE w:val="0"/>
        <w:autoSpaceDN w:val="0"/>
        <w:adjustRightInd w:val="0"/>
        <w:spacing w:line="276" w:lineRule="auto"/>
        <w:ind w:firstLine="708"/>
        <w:rPr>
          <w:rFonts w:eastAsia="Calibri"/>
          <w:szCs w:val="24"/>
          <w:lang w:val="es-CO" w:eastAsia="es-CO"/>
        </w:rPr>
      </w:pPr>
      <w:r w:rsidRPr="00B90136">
        <w:rPr>
          <w:rFonts w:eastAsia="Calibri"/>
          <w:szCs w:val="24"/>
          <w:lang w:val="es-CO" w:eastAsia="es-CO"/>
        </w:rPr>
        <w:t xml:space="preserve">En esta instancia de conformidad a lo consagrado en el artículo 365 del CGP, se condenará en costas procesales a </w:t>
      </w:r>
      <w:r w:rsidR="007365F4" w:rsidRPr="00B90136">
        <w:rPr>
          <w:rFonts w:eastAsia="Calibri"/>
          <w:szCs w:val="24"/>
          <w:lang w:val="es-CO" w:eastAsia="es-CO"/>
        </w:rPr>
        <w:t>Protección</w:t>
      </w:r>
      <w:r w:rsidR="0045200B" w:rsidRPr="00B90136">
        <w:rPr>
          <w:rFonts w:eastAsia="Calibri"/>
          <w:szCs w:val="24"/>
          <w:lang w:val="es-CO" w:eastAsia="es-CO"/>
        </w:rPr>
        <w:t xml:space="preserve"> </w:t>
      </w:r>
      <w:r w:rsidRPr="00B90136">
        <w:rPr>
          <w:rFonts w:eastAsia="Calibri"/>
          <w:szCs w:val="24"/>
          <w:lang w:val="es-CO" w:eastAsia="es-CO"/>
        </w:rPr>
        <w:t xml:space="preserve">S.A y Colpensiones a favor de la parte actora, las cuales se liquidarán por la secretaría del juzgado de origen. </w:t>
      </w:r>
    </w:p>
    <w:p w14:paraId="1C59019A" w14:textId="77777777" w:rsidR="00B27755" w:rsidRPr="00B90136" w:rsidRDefault="00B27755" w:rsidP="00B90136">
      <w:pPr>
        <w:spacing w:line="276" w:lineRule="auto"/>
        <w:ind w:firstLine="284"/>
        <w:rPr>
          <w:szCs w:val="24"/>
          <w:lang w:val="es-CO" w:eastAsia="es-CO"/>
        </w:rPr>
      </w:pPr>
    </w:p>
    <w:p w14:paraId="1D9F367B" w14:textId="77777777" w:rsidR="00B27755" w:rsidRPr="00B90136" w:rsidRDefault="00B27755" w:rsidP="00B90136">
      <w:pPr>
        <w:spacing w:line="276" w:lineRule="auto"/>
        <w:ind w:firstLine="708"/>
        <w:rPr>
          <w:szCs w:val="24"/>
          <w:lang w:val="es-CO" w:eastAsia="es-CO"/>
        </w:rPr>
      </w:pPr>
      <w:r w:rsidRPr="00B90136">
        <w:rPr>
          <w:szCs w:val="24"/>
          <w:lang w:val="es-CO" w:eastAsia="es-CO"/>
        </w:rPr>
        <w:t xml:space="preserve">En mérito de lo expuesto, el </w:t>
      </w:r>
      <w:r w:rsidRPr="00B90136">
        <w:rPr>
          <w:b/>
          <w:bCs/>
          <w:szCs w:val="24"/>
          <w:lang w:val="es-CO" w:eastAsia="es-CO"/>
        </w:rPr>
        <w:t>Tribunal Superior del Distrito Judicial de Pereira - Risaralda, Sala Primera de Decisión Laboral,</w:t>
      </w:r>
      <w:r w:rsidRPr="00B90136">
        <w:rPr>
          <w:szCs w:val="24"/>
          <w:lang w:val="es-CO" w:eastAsia="es-CO"/>
        </w:rPr>
        <w:t xml:space="preserve"> administrando justicia en nombre de la República y por autoridad de la ley,</w:t>
      </w:r>
    </w:p>
    <w:p w14:paraId="7FF9D5BC" w14:textId="77777777" w:rsidR="00B27755" w:rsidRPr="00B90136" w:rsidRDefault="00B27755" w:rsidP="00B90136">
      <w:pPr>
        <w:spacing w:line="276" w:lineRule="auto"/>
        <w:ind w:firstLine="644"/>
        <w:rPr>
          <w:szCs w:val="24"/>
          <w:lang w:val="es-CO" w:eastAsia="es-CO"/>
        </w:rPr>
      </w:pPr>
      <w:r w:rsidRPr="00B90136">
        <w:rPr>
          <w:szCs w:val="24"/>
          <w:lang w:val="es-CO" w:eastAsia="es-CO"/>
        </w:rPr>
        <w:t xml:space="preserve"> </w:t>
      </w:r>
    </w:p>
    <w:p w14:paraId="2E899152" w14:textId="77777777" w:rsidR="00B27755" w:rsidRPr="00B90136" w:rsidRDefault="00B27755" w:rsidP="00B90136">
      <w:pPr>
        <w:spacing w:line="276" w:lineRule="auto"/>
        <w:ind w:firstLine="284"/>
        <w:jc w:val="center"/>
        <w:rPr>
          <w:szCs w:val="24"/>
          <w:lang w:val="es-CO" w:eastAsia="es-CO"/>
        </w:rPr>
      </w:pPr>
      <w:r w:rsidRPr="00B90136">
        <w:rPr>
          <w:b/>
          <w:bCs/>
          <w:szCs w:val="24"/>
          <w:lang w:val="es-CO" w:eastAsia="es-CO"/>
        </w:rPr>
        <w:t>RESUELVE</w:t>
      </w:r>
    </w:p>
    <w:p w14:paraId="6E98D2B9" w14:textId="77777777" w:rsidR="00B27755" w:rsidRPr="00B90136" w:rsidRDefault="00B27755" w:rsidP="00B90136">
      <w:pPr>
        <w:spacing w:line="276" w:lineRule="auto"/>
        <w:jc w:val="center"/>
        <w:rPr>
          <w:szCs w:val="24"/>
          <w:lang w:val="es-CO" w:eastAsia="es-CO"/>
        </w:rPr>
      </w:pPr>
      <w:r w:rsidRPr="00B90136">
        <w:rPr>
          <w:b/>
          <w:bCs/>
          <w:szCs w:val="24"/>
          <w:lang w:val="es-CO" w:eastAsia="es-CO"/>
        </w:rPr>
        <w:t xml:space="preserve"> </w:t>
      </w:r>
    </w:p>
    <w:p w14:paraId="15656523" w14:textId="68ECB616" w:rsidR="0045200B" w:rsidRPr="00B90136" w:rsidRDefault="00B27755" w:rsidP="00B90136">
      <w:pPr>
        <w:spacing w:line="276" w:lineRule="auto"/>
        <w:ind w:firstLine="708"/>
        <w:rPr>
          <w:szCs w:val="24"/>
        </w:rPr>
      </w:pPr>
      <w:r w:rsidRPr="00B90136">
        <w:rPr>
          <w:rFonts w:eastAsia="Times New Roman"/>
          <w:b/>
          <w:bCs/>
          <w:iCs/>
          <w:szCs w:val="24"/>
          <w:lang w:val="es-CO" w:eastAsia="es-CO"/>
        </w:rPr>
        <w:t xml:space="preserve">  PRIMERO: </w:t>
      </w:r>
      <w:r w:rsidRPr="00B90136">
        <w:rPr>
          <w:rFonts w:eastAsia="Times New Roman"/>
          <w:szCs w:val="24"/>
          <w:lang w:val="es-CO" w:eastAsia="es-CO"/>
        </w:rPr>
        <w:t> </w:t>
      </w:r>
      <w:r w:rsidRPr="00B90136">
        <w:rPr>
          <w:rFonts w:eastAsia="Times New Roman"/>
          <w:b/>
          <w:bCs/>
          <w:iCs/>
          <w:szCs w:val="24"/>
          <w:lang w:eastAsia="es-CO"/>
        </w:rPr>
        <w:t> </w:t>
      </w:r>
      <w:r w:rsidR="0045200B" w:rsidRPr="00B90136">
        <w:rPr>
          <w:b/>
          <w:szCs w:val="24"/>
          <w:lang w:val="es-CO" w:eastAsia="es-ES"/>
        </w:rPr>
        <w:t xml:space="preserve">CONFIRMAR </w:t>
      </w:r>
      <w:r w:rsidRPr="00B90136">
        <w:rPr>
          <w:szCs w:val="24"/>
          <w:lang w:val="es-CO" w:eastAsia="es-CO"/>
        </w:rPr>
        <w:t xml:space="preserve">la sentencia </w:t>
      </w:r>
      <w:r w:rsidR="0045200B" w:rsidRPr="00B90136">
        <w:rPr>
          <w:szCs w:val="24"/>
          <w:lang w:val="es-CO" w:eastAsia="es-CO"/>
        </w:rPr>
        <w:t>proferida por el Juzgado</w:t>
      </w:r>
      <w:r w:rsidR="00630AFC" w:rsidRPr="00B90136">
        <w:rPr>
          <w:szCs w:val="24"/>
          <w:lang w:val="es-CO" w:eastAsia="es-CO"/>
        </w:rPr>
        <w:t xml:space="preserve"> Segundo</w:t>
      </w:r>
      <w:r w:rsidR="0045200B" w:rsidRPr="00B90136">
        <w:rPr>
          <w:szCs w:val="24"/>
          <w:lang w:val="es-CO" w:eastAsia="es-CO"/>
        </w:rPr>
        <w:t xml:space="preserve"> Laboral del Circuito de Pereira el </w:t>
      </w:r>
      <w:r w:rsidR="00F514D3" w:rsidRPr="00B90136">
        <w:rPr>
          <w:szCs w:val="24"/>
          <w:lang w:val="es-CO" w:eastAsia="es-CO"/>
        </w:rPr>
        <w:t>7 de junio</w:t>
      </w:r>
      <w:r w:rsidR="005F18F0" w:rsidRPr="00B90136">
        <w:rPr>
          <w:szCs w:val="24"/>
          <w:lang w:val="es-CO" w:eastAsia="es-CO"/>
        </w:rPr>
        <w:t xml:space="preserve"> </w:t>
      </w:r>
      <w:r w:rsidR="0045200B" w:rsidRPr="00B90136">
        <w:rPr>
          <w:szCs w:val="24"/>
          <w:lang w:val="es-CO" w:eastAsia="es-CO"/>
        </w:rPr>
        <w:t>de 202</w:t>
      </w:r>
      <w:r w:rsidR="005F18F0" w:rsidRPr="00B90136">
        <w:rPr>
          <w:szCs w:val="24"/>
          <w:lang w:val="es-CO" w:eastAsia="es-CO"/>
        </w:rPr>
        <w:t>2</w:t>
      </w:r>
      <w:r w:rsidR="0045200B" w:rsidRPr="00B90136">
        <w:rPr>
          <w:szCs w:val="24"/>
          <w:lang w:val="es-CO" w:eastAsia="es-CO"/>
        </w:rPr>
        <w:t xml:space="preserve">, dentro del proceso ordinario laboral promovido por </w:t>
      </w:r>
      <w:r w:rsidR="00F514D3" w:rsidRPr="00B90136">
        <w:rPr>
          <w:b/>
          <w:szCs w:val="24"/>
        </w:rPr>
        <w:t>Fernando Londoño Ramírez</w:t>
      </w:r>
      <w:r w:rsidR="00630AFC" w:rsidRPr="00B90136">
        <w:rPr>
          <w:b/>
          <w:szCs w:val="24"/>
        </w:rPr>
        <w:t xml:space="preserve"> </w:t>
      </w:r>
      <w:r w:rsidR="0045200B" w:rsidRPr="00B90136">
        <w:rPr>
          <w:szCs w:val="24"/>
        </w:rPr>
        <w:t xml:space="preserve">en contra de </w:t>
      </w:r>
      <w:r w:rsidR="0045200B" w:rsidRPr="00B90136">
        <w:rPr>
          <w:b/>
          <w:szCs w:val="24"/>
        </w:rPr>
        <w:t>Colpensiones</w:t>
      </w:r>
      <w:r w:rsidR="0045200B" w:rsidRPr="00B90136">
        <w:rPr>
          <w:szCs w:val="24"/>
        </w:rPr>
        <w:t xml:space="preserve"> y </w:t>
      </w:r>
      <w:r w:rsidR="0045200B" w:rsidRPr="00B90136">
        <w:rPr>
          <w:b/>
          <w:szCs w:val="24"/>
        </w:rPr>
        <w:t>P</w:t>
      </w:r>
      <w:r w:rsidR="00F514D3" w:rsidRPr="00B90136">
        <w:rPr>
          <w:b/>
          <w:szCs w:val="24"/>
        </w:rPr>
        <w:t>rotección</w:t>
      </w:r>
      <w:r w:rsidR="0045200B" w:rsidRPr="00B90136">
        <w:rPr>
          <w:b/>
          <w:szCs w:val="24"/>
        </w:rPr>
        <w:t xml:space="preserve"> S.A.</w:t>
      </w:r>
    </w:p>
    <w:p w14:paraId="05F6F295" w14:textId="5FBF26F9" w:rsidR="0045200B" w:rsidRPr="00B90136" w:rsidRDefault="0045200B" w:rsidP="00B90136">
      <w:pPr>
        <w:spacing w:line="276" w:lineRule="auto"/>
        <w:textAlignment w:val="baseline"/>
        <w:rPr>
          <w:szCs w:val="24"/>
          <w:lang w:val="es-CO" w:eastAsia="es-CO"/>
        </w:rPr>
      </w:pPr>
    </w:p>
    <w:p w14:paraId="7B822082" w14:textId="47168051" w:rsidR="00B27755" w:rsidRPr="00B90136" w:rsidRDefault="0045200B" w:rsidP="00B90136">
      <w:pPr>
        <w:spacing w:line="276" w:lineRule="auto"/>
        <w:ind w:firstLine="708"/>
        <w:rPr>
          <w:szCs w:val="24"/>
          <w:lang w:val="es-CO" w:eastAsia="es-CO"/>
        </w:rPr>
      </w:pPr>
      <w:r w:rsidRPr="00B90136">
        <w:rPr>
          <w:b/>
          <w:bCs/>
          <w:szCs w:val="24"/>
          <w:lang w:val="es-CO" w:eastAsia="es-CO"/>
        </w:rPr>
        <w:t>SEGUNDO</w:t>
      </w:r>
      <w:r w:rsidR="00B27755" w:rsidRPr="00B90136">
        <w:rPr>
          <w:b/>
          <w:bCs/>
          <w:szCs w:val="24"/>
          <w:lang w:val="es-CO" w:eastAsia="es-CO"/>
        </w:rPr>
        <w:t>: CONDENAR</w:t>
      </w:r>
      <w:r w:rsidR="00B27755" w:rsidRPr="00B90136">
        <w:rPr>
          <w:szCs w:val="24"/>
          <w:lang w:val="es-CO" w:eastAsia="es-CO"/>
        </w:rPr>
        <w:t xml:space="preserve"> en costas de segunda instancia a </w:t>
      </w:r>
      <w:r w:rsidR="007365F4" w:rsidRPr="00B90136">
        <w:rPr>
          <w:b/>
          <w:bCs/>
          <w:szCs w:val="24"/>
          <w:lang w:val="es-CO" w:eastAsia="es-CO"/>
        </w:rPr>
        <w:t>Protección</w:t>
      </w:r>
      <w:r w:rsidR="00B27755" w:rsidRPr="00B90136">
        <w:rPr>
          <w:b/>
          <w:bCs/>
          <w:szCs w:val="24"/>
          <w:lang w:val="es-CO" w:eastAsia="es-CO"/>
        </w:rPr>
        <w:t xml:space="preserve"> S.A., y Colpensiones</w:t>
      </w:r>
      <w:r w:rsidR="00B27755" w:rsidRPr="00B90136">
        <w:rPr>
          <w:szCs w:val="24"/>
          <w:lang w:val="es-CO" w:eastAsia="es-CO"/>
        </w:rPr>
        <w:t xml:space="preserve"> a favor de la parte demandante. Liquídense por la secretaría del juzgado de origen.</w:t>
      </w:r>
    </w:p>
    <w:p w14:paraId="5D1BF8BC" w14:textId="77777777" w:rsidR="00B90136" w:rsidRPr="00B90136" w:rsidRDefault="00B90136" w:rsidP="00B90136">
      <w:pPr>
        <w:spacing w:line="276" w:lineRule="auto"/>
        <w:jc w:val="left"/>
        <w:rPr>
          <w:szCs w:val="24"/>
          <w:lang w:eastAsia="es-CO"/>
        </w:rPr>
      </w:pPr>
      <w:bookmarkStart w:id="10" w:name="_GoBack"/>
      <w:bookmarkEnd w:id="10"/>
    </w:p>
    <w:p w14:paraId="15222927" w14:textId="77777777" w:rsidR="00B90136" w:rsidRPr="00B90136" w:rsidRDefault="00B90136" w:rsidP="00B90136">
      <w:pPr>
        <w:spacing w:line="276" w:lineRule="auto"/>
        <w:ind w:firstLine="709"/>
        <w:rPr>
          <w:szCs w:val="24"/>
          <w:lang w:eastAsia="es-CO"/>
        </w:rPr>
      </w:pPr>
      <w:r w:rsidRPr="00B90136">
        <w:rPr>
          <w:b/>
          <w:szCs w:val="24"/>
          <w:lang w:eastAsia="es-CO"/>
        </w:rPr>
        <w:t>Notifíquese y cúmplase.</w:t>
      </w:r>
    </w:p>
    <w:p w14:paraId="5A918360" w14:textId="77777777" w:rsidR="00B90136" w:rsidRPr="00B90136" w:rsidRDefault="00B90136" w:rsidP="00B90136">
      <w:pPr>
        <w:spacing w:line="276" w:lineRule="auto"/>
        <w:rPr>
          <w:rFonts w:eastAsia="Segoe UI"/>
          <w:szCs w:val="24"/>
          <w:lang w:val="es-CO" w:eastAsia="es-CO"/>
        </w:rPr>
      </w:pPr>
    </w:p>
    <w:p w14:paraId="1B69DB49" w14:textId="77777777" w:rsidR="00B90136" w:rsidRPr="00B90136" w:rsidRDefault="00B90136" w:rsidP="00B90136">
      <w:pPr>
        <w:widowControl w:val="0"/>
        <w:autoSpaceDE w:val="0"/>
        <w:autoSpaceDN w:val="0"/>
        <w:adjustRightInd w:val="0"/>
        <w:spacing w:line="276" w:lineRule="auto"/>
        <w:rPr>
          <w:rFonts w:eastAsia="Times New Roman"/>
          <w:szCs w:val="24"/>
          <w:lang w:eastAsia="es-ES"/>
        </w:rPr>
      </w:pPr>
      <w:r w:rsidRPr="00B90136">
        <w:rPr>
          <w:rFonts w:eastAsia="Times New Roman"/>
          <w:szCs w:val="24"/>
          <w:lang w:eastAsia="es-ES"/>
        </w:rPr>
        <w:tab/>
        <w:t>La Magistrada ponente,</w:t>
      </w:r>
    </w:p>
    <w:p w14:paraId="470E3817" w14:textId="77777777" w:rsidR="00B90136" w:rsidRPr="00B90136" w:rsidRDefault="00B90136" w:rsidP="00B90136">
      <w:pPr>
        <w:spacing w:line="276" w:lineRule="auto"/>
        <w:jc w:val="left"/>
        <w:rPr>
          <w:rFonts w:eastAsia="Times New Roman"/>
          <w:szCs w:val="24"/>
          <w:lang w:eastAsia="es-ES"/>
        </w:rPr>
      </w:pPr>
    </w:p>
    <w:p w14:paraId="078AA985" w14:textId="77777777" w:rsidR="00B90136" w:rsidRPr="00B90136" w:rsidRDefault="00B90136" w:rsidP="00B90136">
      <w:pPr>
        <w:spacing w:line="276" w:lineRule="auto"/>
        <w:jc w:val="left"/>
        <w:rPr>
          <w:rFonts w:eastAsia="Times New Roman"/>
          <w:szCs w:val="24"/>
          <w:lang w:eastAsia="es-ES"/>
        </w:rPr>
      </w:pPr>
    </w:p>
    <w:p w14:paraId="6D95FAA7" w14:textId="77777777" w:rsidR="00B90136" w:rsidRPr="00B90136" w:rsidRDefault="00B90136" w:rsidP="00B90136">
      <w:pPr>
        <w:spacing w:line="276" w:lineRule="auto"/>
        <w:jc w:val="left"/>
        <w:rPr>
          <w:rFonts w:eastAsia="Times New Roman"/>
          <w:szCs w:val="24"/>
          <w:lang w:eastAsia="es-ES"/>
        </w:rPr>
      </w:pPr>
    </w:p>
    <w:p w14:paraId="2DBDC05F" w14:textId="77777777" w:rsidR="00B90136" w:rsidRPr="00B90136" w:rsidRDefault="00B90136" w:rsidP="00B90136">
      <w:pPr>
        <w:keepNext/>
        <w:spacing w:line="276" w:lineRule="auto"/>
        <w:jc w:val="center"/>
        <w:outlineLvl w:val="2"/>
        <w:rPr>
          <w:rFonts w:eastAsia="Times New Roman"/>
          <w:b/>
          <w:bCs/>
          <w:szCs w:val="24"/>
          <w:lang w:eastAsia="es-ES"/>
        </w:rPr>
      </w:pPr>
      <w:r w:rsidRPr="00B90136">
        <w:rPr>
          <w:rFonts w:eastAsia="Times New Roman"/>
          <w:b/>
          <w:bCs/>
          <w:szCs w:val="24"/>
          <w:lang w:eastAsia="es-ES"/>
        </w:rPr>
        <w:t>ANA LUCÍA CAICEDO CALDERÓN</w:t>
      </w:r>
    </w:p>
    <w:p w14:paraId="6389BEF9" w14:textId="77777777" w:rsidR="00B90136" w:rsidRPr="00B90136" w:rsidRDefault="00B90136" w:rsidP="00B90136">
      <w:pPr>
        <w:spacing w:line="276" w:lineRule="auto"/>
        <w:jc w:val="left"/>
        <w:rPr>
          <w:rFonts w:eastAsia="Times New Roman"/>
          <w:szCs w:val="24"/>
          <w:lang w:eastAsia="es-ES"/>
        </w:rPr>
      </w:pPr>
    </w:p>
    <w:p w14:paraId="367034B8" w14:textId="77777777" w:rsidR="00B90136" w:rsidRPr="00B90136" w:rsidRDefault="00B90136" w:rsidP="00B90136">
      <w:pPr>
        <w:spacing w:line="276" w:lineRule="auto"/>
        <w:ind w:firstLine="708"/>
        <w:jc w:val="left"/>
        <w:rPr>
          <w:rFonts w:eastAsia="Times New Roman"/>
          <w:szCs w:val="24"/>
          <w:lang w:eastAsia="es-ES"/>
        </w:rPr>
      </w:pPr>
      <w:bookmarkStart w:id="11" w:name="_Hlk62478330"/>
      <w:r w:rsidRPr="00B90136">
        <w:rPr>
          <w:rFonts w:eastAsia="Times New Roman"/>
          <w:szCs w:val="24"/>
          <w:lang w:eastAsia="es-ES"/>
        </w:rPr>
        <w:t>La Magistrada y el Magistrado,</w:t>
      </w:r>
    </w:p>
    <w:p w14:paraId="09A33DA8" w14:textId="77777777" w:rsidR="00B90136" w:rsidRPr="00B90136" w:rsidRDefault="00B90136" w:rsidP="00B90136">
      <w:pPr>
        <w:spacing w:line="276" w:lineRule="auto"/>
        <w:jc w:val="left"/>
        <w:rPr>
          <w:rFonts w:eastAsia="Times New Roman"/>
          <w:szCs w:val="24"/>
          <w:lang w:eastAsia="es-ES"/>
        </w:rPr>
      </w:pPr>
    </w:p>
    <w:p w14:paraId="5680FC18" w14:textId="77777777" w:rsidR="00B90136" w:rsidRPr="00B90136" w:rsidRDefault="00B90136" w:rsidP="00B90136">
      <w:pPr>
        <w:spacing w:line="276" w:lineRule="auto"/>
        <w:jc w:val="left"/>
        <w:rPr>
          <w:rFonts w:eastAsia="Times New Roman"/>
          <w:szCs w:val="24"/>
          <w:lang w:eastAsia="es-ES"/>
        </w:rPr>
      </w:pPr>
    </w:p>
    <w:p w14:paraId="2D54090D" w14:textId="77777777" w:rsidR="00B90136" w:rsidRPr="00B90136" w:rsidRDefault="00B90136" w:rsidP="00B90136">
      <w:pPr>
        <w:spacing w:line="276" w:lineRule="auto"/>
        <w:jc w:val="left"/>
        <w:rPr>
          <w:rFonts w:eastAsia="Times New Roman"/>
          <w:szCs w:val="24"/>
          <w:lang w:eastAsia="es-ES"/>
        </w:rPr>
      </w:pPr>
    </w:p>
    <w:p w14:paraId="53C877E5" w14:textId="75E9E6D7" w:rsidR="00B27755" w:rsidRDefault="00B90136" w:rsidP="00B90136">
      <w:pPr>
        <w:spacing w:line="276" w:lineRule="auto"/>
        <w:rPr>
          <w:rFonts w:eastAsia="Times New Roman"/>
          <w:bCs/>
          <w:szCs w:val="24"/>
          <w:lang w:eastAsia="es-ES"/>
        </w:rPr>
      </w:pPr>
      <w:r w:rsidRPr="00B90136">
        <w:rPr>
          <w:rFonts w:eastAsia="Times New Roman"/>
          <w:b/>
          <w:bCs/>
          <w:szCs w:val="24"/>
          <w:lang w:eastAsia="es-ES"/>
        </w:rPr>
        <w:t>OLGA LUCÍA HOYOS SEPÚLVEDA</w:t>
      </w:r>
      <w:r w:rsidRPr="00B90136">
        <w:rPr>
          <w:rFonts w:eastAsia="Times New Roman"/>
          <w:b/>
          <w:bCs/>
          <w:szCs w:val="24"/>
          <w:lang w:eastAsia="es-ES"/>
        </w:rPr>
        <w:tab/>
      </w:r>
      <w:r w:rsidRPr="00B90136">
        <w:rPr>
          <w:rFonts w:eastAsia="Times New Roman"/>
          <w:b/>
          <w:bCs/>
          <w:szCs w:val="24"/>
          <w:lang w:eastAsia="es-ES"/>
        </w:rPr>
        <w:tab/>
        <w:t>GERMÁN DARÍO GÓEZ VINASCO</w:t>
      </w:r>
      <w:bookmarkEnd w:id="11"/>
    </w:p>
    <w:p w14:paraId="2949C8C8" w14:textId="0110369C" w:rsidR="00B90136" w:rsidRPr="00B90136" w:rsidRDefault="009E522E" w:rsidP="00B90136">
      <w:pPr>
        <w:spacing w:line="276" w:lineRule="auto"/>
        <w:rPr>
          <w:szCs w:val="24"/>
          <w:lang w:val="es-CO" w:eastAsia="es-CO"/>
        </w:rPr>
      </w:pPr>
      <w:r>
        <w:rPr>
          <w:szCs w:val="24"/>
          <w:lang w:val="es-CO" w:eastAsia="es-CO"/>
        </w:rPr>
        <w:t>Con aclaración de voto</w:t>
      </w:r>
    </w:p>
    <w:sectPr w:rsidR="00B90136" w:rsidRPr="00B90136" w:rsidSect="00B90136">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27E8" w14:textId="77777777" w:rsidR="00C354EB" w:rsidRDefault="00C354EB">
      <w:pPr>
        <w:spacing w:line="240" w:lineRule="auto"/>
      </w:pPr>
      <w:r>
        <w:separator/>
      </w:r>
    </w:p>
  </w:endnote>
  <w:endnote w:type="continuationSeparator" w:id="0">
    <w:p w14:paraId="3DBC04BA" w14:textId="77777777" w:rsidR="00C354EB" w:rsidRDefault="00C35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E50F" w14:textId="77777777" w:rsidR="00E262FF" w:rsidRDefault="00E262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0596" w14:textId="77777777" w:rsidR="00E262FF" w:rsidRDefault="00E262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04AC" w14:textId="77777777" w:rsidR="00E262FF" w:rsidRDefault="00E26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279A" w14:textId="77777777" w:rsidR="00C354EB" w:rsidRDefault="00C354EB">
      <w:pPr>
        <w:spacing w:line="240" w:lineRule="auto"/>
      </w:pPr>
      <w:r>
        <w:separator/>
      </w:r>
    </w:p>
  </w:footnote>
  <w:footnote w:type="continuationSeparator" w:id="0">
    <w:p w14:paraId="7E4D2C7F" w14:textId="77777777" w:rsidR="00C354EB" w:rsidRDefault="00C354EB">
      <w:pPr>
        <w:spacing w:line="240" w:lineRule="auto"/>
      </w:pPr>
      <w:r>
        <w:continuationSeparator/>
      </w:r>
    </w:p>
  </w:footnote>
  <w:footnote w:id="1">
    <w:p w14:paraId="4BBFFEA0" w14:textId="77777777" w:rsidR="00CB1A26" w:rsidRPr="006432FB" w:rsidRDefault="00CB1A26" w:rsidP="006432FB">
      <w:pPr>
        <w:pStyle w:val="Textonotapie"/>
        <w:rPr>
          <w:rFonts w:ascii="Arial" w:hAnsi="Arial" w:cs="Arial"/>
          <w:sz w:val="18"/>
          <w:szCs w:val="18"/>
        </w:rPr>
      </w:pPr>
      <w:r w:rsidRPr="006432FB">
        <w:rPr>
          <w:rStyle w:val="Refdenotaalpie"/>
          <w:rFonts w:ascii="Arial" w:hAnsi="Arial" w:cs="Arial"/>
          <w:sz w:val="18"/>
          <w:szCs w:val="18"/>
        </w:rPr>
        <w:footnoteRef/>
      </w:r>
      <w:r w:rsidRPr="006432FB">
        <w:rPr>
          <w:rFonts w:ascii="Arial" w:hAnsi="Arial" w:cs="Arial"/>
          <w:sz w:val="18"/>
          <w:szCs w:val="18"/>
        </w:rPr>
        <w:t xml:space="preserve"> Título tomado de la sentencia del 8 de mayo de 2019SL 1688-2019, Radicado 68838, con Ponencia de la Dra. Clara Cecilia Dueñas Quevedo</w:t>
      </w:r>
    </w:p>
  </w:footnote>
  <w:footnote w:id="2">
    <w:p w14:paraId="1F983025" w14:textId="77777777" w:rsidR="00CB1A26" w:rsidRPr="006432FB" w:rsidRDefault="00CB1A26" w:rsidP="006432FB">
      <w:pPr>
        <w:pStyle w:val="Textonotapie"/>
        <w:rPr>
          <w:rFonts w:ascii="Arial" w:hAnsi="Arial" w:cs="Arial"/>
          <w:sz w:val="18"/>
          <w:szCs w:val="18"/>
        </w:rPr>
      </w:pPr>
      <w:r w:rsidRPr="006432FB">
        <w:rPr>
          <w:rStyle w:val="Refdenotaalpie"/>
          <w:rFonts w:ascii="Arial" w:hAnsi="Arial" w:cs="Arial"/>
          <w:sz w:val="18"/>
          <w:szCs w:val="18"/>
        </w:rPr>
        <w:footnoteRef/>
      </w:r>
      <w:r w:rsidRPr="006432FB">
        <w:rPr>
          <w:rFonts w:ascii="Arial" w:hAnsi="Arial" w:cs="Arial"/>
          <w:sz w:val="18"/>
          <w:szCs w:val="18"/>
        </w:rPr>
        <w:t xml:space="preserve"> Estatuto Orgánico del Sistema Financiero</w:t>
      </w:r>
    </w:p>
  </w:footnote>
  <w:footnote w:id="3">
    <w:p w14:paraId="390696E6" w14:textId="71AA02CF" w:rsidR="00B27755" w:rsidRPr="006432FB" w:rsidRDefault="00B27755" w:rsidP="006432FB">
      <w:pPr>
        <w:pStyle w:val="Textonotapie"/>
        <w:rPr>
          <w:rFonts w:ascii="Arial" w:hAnsi="Arial" w:cs="Arial"/>
          <w:sz w:val="18"/>
          <w:szCs w:val="18"/>
        </w:rPr>
      </w:pPr>
      <w:r w:rsidRPr="006432FB">
        <w:rPr>
          <w:rStyle w:val="Refdenotaalpie"/>
          <w:rFonts w:ascii="Arial" w:hAnsi="Arial" w:cs="Arial"/>
          <w:sz w:val="18"/>
          <w:szCs w:val="18"/>
        </w:rPr>
        <w:footnoteRef/>
      </w:r>
      <w:r w:rsidRPr="006432FB">
        <w:rPr>
          <w:rFonts w:ascii="Arial" w:hAnsi="Arial" w:cs="Arial"/>
          <w:sz w:val="18"/>
          <w:szCs w:val="18"/>
        </w:rPr>
        <w:t xml:space="preserve"> Título tomado de la sentencia del 8 de mayo de 2019SL 1688-2019, Radicado 68838, con Ponencia de la Dra. Clara Cecilia Dueñas Quevedo</w:t>
      </w:r>
    </w:p>
  </w:footnote>
  <w:footnote w:id="4">
    <w:p w14:paraId="4CD7D889" w14:textId="77777777" w:rsidR="00B27755" w:rsidRPr="006432FB" w:rsidRDefault="00B27755" w:rsidP="006432FB">
      <w:pPr>
        <w:pStyle w:val="Textonotapie"/>
        <w:rPr>
          <w:rFonts w:ascii="Arial" w:hAnsi="Arial" w:cs="Arial"/>
          <w:sz w:val="18"/>
          <w:szCs w:val="18"/>
        </w:rPr>
      </w:pPr>
      <w:r w:rsidRPr="006432FB">
        <w:rPr>
          <w:rStyle w:val="Refdenotaalpie"/>
          <w:rFonts w:ascii="Arial" w:hAnsi="Arial" w:cs="Arial"/>
          <w:sz w:val="18"/>
          <w:szCs w:val="18"/>
        </w:rPr>
        <w:footnoteRef/>
      </w:r>
      <w:r w:rsidRPr="006432FB">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0F9AD797" w14:textId="77777777" w:rsidR="00B27755" w:rsidRPr="006432FB" w:rsidRDefault="00B27755" w:rsidP="006432FB">
      <w:pPr>
        <w:pStyle w:val="Textonotapie"/>
        <w:rPr>
          <w:rFonts w:ascii="Arial" w:hAnsi="Arial" w:cs="Arial"/>
          <w:sz w:val="18"/>
          <w:szCs w:val="18"/>
        </w:rPr>
      </w:pPr>
      <w:r w:rsidRPr="006432FB">
        <w:rPr>
          <w:rStyle w:val="Refdenotaalpie"/>
          <w:rFonts w:ascii="Arial" w:hAnsi="Arial" w:cs="Arial"/>
          <w:sz w:val="18"/>
          <w:szCs w:val="18"/>
        </w:rPr>
        <w:footnoteRef/>
      </w:r>
      <w:r w:rsidRPr="006432FB">
        <w:rPr>
          <w:rFonts w:ascii="Arial" w:hAnsi="Arial" w:cs="Arial"/>
          <w:sz w:val="18"/>
          <w:szCs w:val="18"/>
        </w:rPr>
        <w:t xml:space="preserve"> Ibídem</w:t>
      </w:r>
    </w:p>
  </w:footnote>
  <w:footnote w:id="6">
    <w:p w14:paraId="690245E7" w14:textId="77777777" w:rsidR="007365F4" w:rsidRPr="008B4883" w:rsidRDefault="007365F4" w:rsidP="006432FB">
      <w:pPr>
        <w:pStyle w:val="Textonotapie"/>
        <w:rPr>
          <w:rFonts w:ascii="Times New Roman" w:hAnsi="Times New Roman" w:cs="Times New Roman"/>
          <w:sz w:val="18"/>
          <w:szCs w:val="18"/>
        </w:rPr>
      </w:pPr>
      <w:r w:rsidRPr="006432FB">
        <w:rPr>
          <w:rStyle w:val="Refdenotaalpie"/>
          <w:rFonts w:ascii="Arial" w:hAnsi="Arial" w:cs="Arial"/>
          <w:sz w:val="18"/>
          <w:szCs w:val="18"/>
        </w:rPr>
        <w:footnoteRef/>
      </w:r>
      <w:r w:rsidRPr="006432FB">
        <w:rPr>
          <w:rFonts w:ascii="Arial" w:hAnsi="Arial" w:cs="Arial"/>
          <w:sz w:val="18"/>
          <w:szCs w:val="18"/>
        </w:rPr>
        <w:t xml:space="preserve"> Corte Suprema de Justicia- Sala de Casación Laboral. SL 1055, rad 87911 del 3 de marzo de 2022. MP. Iván Mauricio Lenis Gómez.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1ADB" w14:textId="77777777" w:rsidR="00E47F7B" w:rsidRDefault="00E47F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413D" w14:textId="77777777" w:rsidR="00F45CC1" w:rsidRPr="00DC42A3" w:rsidRDefault="00F45CC1" w:rsidP="00F45CC1">
    <w:pPr>
      <w:pBdr>
        <w:top w:val="nil"/>
        <w:left w:val="nil"/>
        <w:bottom w:val="nil"/>
        <w:right w:val="nil"/>
        <w:between w:val="nil"/>
      </w:pBdr>
      <w:spacing w:line="240" w:lineRule="auto"/>
      <w:jc w:val="left"/>
      <w:rPr>
        <w:sz w:val="18"/>
        <w:szCs w:val="18"/>
      </w:rPr>
    </w:pPr>
    <w:r w:rsidRPr="00DC42A3">
      <w:rPr>
        <w:sz w:val="18"/>
        <w:szCs w:val="18"/>
      </w:rPr>
      <w:t xml:space="preserve">Radicación No.: </w:t>
    </w:r>
    <w:r w:rsidRPr="00DC42A3">
      <w:rPr>
        <w:sz w:val="18"/>
        <w:szCs w:val="18"/>
      </w:rPr>
      <w:tab/>
      <w:t>66001-31-05-002-20</w:t>
    </w:r>
    <w:r>
      <w:rPr>
        <w:sz w:val="18"/>
        <w:szCs w:val="18"/>
      </w:rPr>
      <w:t>21-00057-01</w:t>
    </w:r>
  </w:p>
  <w:p w14:paraId="216D60E0" w14:textId="77777777" w:rsidR="00F45CC1" w:rsidRPr="00DC42A3" w:rsidRDefault="00F45CC1" w:rsidP="00F45CC1">
    <w:pPr>
      <w:pBdr>
        <w:top w:val="nil"/>
        <w:left w:val="nil"/>
        <w:bottom w:val="nil"/>
        <w:right w:val="nil"/>
        <w:between w:val="nil"/>
      </w:pBdr>
      <w:spacing w:line="240" w:lineRule="auto"/>
      <w:jc w:val="left"/>
      <w:rPr>
        <w:sz w:val="18"/>
        <w:szCs w:val="18"/>
      </w:rPr>
    </w:pPr>
    <w:r w:rsidRPr="00DC42A3">
      <w:rPr>
        <w:sz w:val="18"/>
        <w:szCs w:val="18"/>
      </w:rPr>
      <w:t xml:space="preserve">Demandante: </w:t>
    </w:r>
    <w:r w:rsidRPr="00DC42A3">
      <w:rPr>
        <w:sz w:val="18"/>
        <w:szCs w:val="18"/>
      </w:rPr>
      <w:tab/>
    </w:r>
    <w:r>
      <w:rPr>
        <w:sz w:val="18"/>
        <w:szCs w:val="18"/>
      </w:rPr>
      <w:t xml:space="preserve">Fernando Londoño Ramírez </w:t>
    </w:r>
  </w:p>
  <w:p w14:paraId="7C2A412C" w14:textId="77777777" w:rsidR="00F45CC1" w:rsidRPr="00DC42A3" w:rsidRDefault="00F45CC1" w:rsidP="00F45CC1">
    <w:pPr>
      <w:pBdr>
        <w:top w:val="nil"/>
        <w:left w:val="nil"/>
        <w:bottom w:val="nil"/>
        <w:right w:val="nil"/>
        <w:between w:val="nil"/>
      </w:pBdr>
      <w:spacing w:line="240" w:lineRule="auto"/>
      <w:jc w:val="left"/>
      <w:rPr>
        <w:sz w:val="18"/>
        <w:szCs w:val="18"/>
      </w:rPr>
    </w:pPr>
    <w:r w:rsidRPr="00DC42A3">
      <w:rPr>
        <w:sz w:val="18"/>
        <w:szCs w:val="18"/>
      </w:rPr>
      <w:t xml:space="preserve">Demandados: </w:t>
    </w:r>
    <w:r w:rsidRPr="00DC42A3">
      <w:rPr>
        <w:sz w:val="18"/>
        <w:szCs w:val="18"/>
      </w:rPr>
      <w:tab/>
      <w:t>Colpensiones y P</w:t>
    </w:r>
    <w:r>
      <w:rPr>
        <w:sz w:val="18"/>
        <w:szCs w:val="18"/>
      </w:rPr>
      <w:t>rotección</w:t>
    </w:r>
    <w:r w:rsidRPr="00DC42A3">
      <w:rPr>
        <w:sz w:val="18"/>
        <w:szCs w:val="18"/>
      </w:rPr>
      <w:t xml:space="preserve">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0858" w14:textId="77777777" w:rsidR="00E47F7B" w:rsidRDefault="00E47F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2EBB0983"/>
    <w:multiLevelType w:val="multilevel"/>
    <w:tmpl w:val="2C16A044"/>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DF"/>
    <w:rsid w:val="000337A2"/>
    <w:rsid w:val="00066383"/>
    <w:rsid w:val="000B10BD"/>
    <w:rsid w:val="000C5461"/>
    <w:rsid w:val="000D6AA9"/>
    <w:rsid w:val="000E01C1"/>
    <w:rsid w:val="00113C8D"/>
    <w:rsid w:val="0012312B"/>
    <w:rsid w:val="00155B82"/>
    <w:rsid w:val="001738DF"/>
    <w:rsid w:val="00191774"/>
    <w:rsid w:val="001A5939"/>
    <w:rsid w:val="001B65F5"/>
    <w:rsid w:val="001C6983"/>
    <w:rsid w:val="00202027"/>
    <w:rsid w:val="00226ED4"/>
    <w:rsid w:val="002318CE"/>
    <w:rsid w:val="0024131B"/>
    <w:rsid w:val="00251F08"/>
    <w:rsid w:val="00270B41"/>
    <w:rsid w:val="00272E9E"/>
    <w:rsid w:val="002C3B00"/>
    <w:rsid w:val="002C6D78"/>
    <w:rsid w:val="002E1F18"/>
    <w:rsid w:val="0032516A"/>
    <w:rsid w:val="00347C22"/>
    <w:rsid w:val="00360F0E"/>
    <w:rsid w:val="003900B7"/>
    <w:rsid w:val="003C3AC8"/>
    <w:rsid w:val="003D0740"/>
    <w:rsid w:val="00440F48"/>
    <w:rsid w:val="0045200B"/>
    <w:rsid w:val="00455A35"/>
    <w:rsid w:val="00474E56"/>
    <w:rsid w:val="0047520A"/>
    <w:rsid w:val="004A0476"/>
    <w:rsid w:val="004C45D7"/>
    <w:rsid w:val="00504C21"/>
    <w:rsid w:val="005059BF"/>
    <w:rsid w:val="00521969"/>
    <w:rsid w:val="005365E2"/>
    <w:rsid w:val="00537FD5"/>
    <w:rsid w:val="00552B8F"/>
    <w:rsid w:val="005C1AA3"/>
    <w:rsid w:val="005D5AE3"/>
    <w:rsid w:val="005F18F0"/>
    <w:rsid w:val="00607A27"/>
    <w:rsid w:val="00613F06"/>
    <w:rsid w:val="00630AFC"/>
    <w:rsid w:val="00634DCC"/>
    <w:rsid w:val="00635926"/>
    <w:rsid w:val="006432FB"/>
    <w:rsid w:val="00651DAF"/>
    <w:rsid w:val="00653A83"/>
    <w:rsid w:val="006736C2"/>
    <w:rsid w:val="006B4A25"/>
    <w:rsid w:val="00712CD4"/>
    <w:rsid w:val="007228DA"/>
    <w:rsid w:val="00723EB6"/>
    <w:rsid w:val="007365F4"/>
    <w:rsid w:val="00750C48"/>
    <w:rsid w:val="00757B05"/>
    <w:rsid w:val="007759F5"/>
    <w:rsid w:val="007C54DD"/>
    <w:rsid w:val="007C7A36"/>
    <w:rsid w:val="007D133F"/>
    <w:rsid w:val="007E3322"/>
    <w:rsid w:val="0081770B"/>
    <w:rsid w:val="00822E35"/>
    <w:rsid w:val="00855003"/>
    <w:rsid w:val="0089037F"/>
    <w:rsid w:val="00895462"/>
    <w:rsid w:val="008B4125"/>
    <w:rsid w:val="008C3FF6"/>
    <w:rsid w:val="008E1EC4"/>
    <w:rsid w:val="008E76F4"/>
    <w:rsid w:val="00922B8E"/>
    <w:rsid w:val="00922D62"/>
    <w:rsid w:val="00933218"/>
    <w:rsid w:val="00937981"/>
    <w:rsid w:val="00946B0C"/>
    <w:rsid w:val="0095164C"/>
    <w:rsid w:val="00951DF9"/>
    <w:rsid w:val="00980410"/>
    <w:rsid w:val="0098187E"/>
    <w:rsid w:val="009A5AA3"/>
    <w:rsid w:val="009A76B8"/>
    <w:rsid w:val="009E4ACA"/>
    <w:rsid w:val="009E522E"/>
    <w:rsid w:val="009E79BF"/>
    <w:rsid w:val="00A56394"/>
    <w:rsid w:val="00A85884"/>
    <w:rsid w:val="00AA715B"/>
    <w:rsid w:val="00AB1D3B"/>
    <w:rsid w:val="00AB4AB0"/>
    <w:rsid w:val="00AB7B63"/>
    <w:rsid w:val="00AC6113"/>
    <w:rsid w:val="00AD4D9C"/>
    <w:rsid w:val="00AD6EF4"/>
    <w:rsid w:val="00AF154E"/>
    <w:rsid w:val="00B27755"/>
    <w:rsid w:val="00B36894"/>
    <w:rsid w:val="00B85832"/>
    <w:rsid w:val="00B90136"/>
    <w:rsid w:val="00BC4973"/>
    <w:rsid w:val="00C20905"/>
    <w:rsid w:val="00C33BD5"/>
    <w:rsid w:val="00C351FF"/>
    <w:rsid w:val="00C354EB"/>
    <w:rsid w:val="00C4045A"/>
    <w:rsid w:val="00C51F62"/>
    <w:rsid w:val="00C54494"/>
    <w:rsid w:val="00C636D6"/>
    <w:rsid w:val="00C771D4"/>
    <w:rsid w:val="00C93222"/>
    <w:rsid w:val="00CB1A26"/>
    <w:rsid w:val="00CD078F"/>
    <w:rsid w:val="00D22EC0"/>
    <w:rsid w:val="00D275E8"/>
    <w:rsid w:val="00D4303A"/>
    <w:rsid w:val="00D60704"/>
    <w:rsid w:val="00D708B9"/>
    <w:rsid w:val="00D76401"/>
    <w:rsid w:val="00D87AA9"/>
    <w:rsid w:val="00DC42A3"/>
    <w:rsid w:val="00DC530F"/>
    <w:rsid w:val="00DE7C8D"/>
    <w:rsid w:val="00E1512B"/>
    <w:rsid w:val="00E262FF"/>
    <w:rsid w:val="00E4412A"/>
    <w:rsid w:val="00E46F0F"/>
    <w:rsid w:val="00E47F7B"/>
    <w:rsid w:val="00E52B25"/>
    <w:rsid w:val="00E57DA9"/>
    <w:rsid w:val="00E770CE"/>
    <w:rsid w:val="00EA2A3C"/>
    <w:rsid w:val="00EA3F2E"/>
    <w:rsid w:val="00EC5C24"/>
    <w:rsid w:val="00ED15E3"/>
    <w:rsid w:val="00EF174E"/>
    <w:rsid w:val="00F040F7"/>
    <w:rsid w:val="00F348F0"/>
    <w:rsid w:val="00F41A27"/>
    <w:rsid w:val="00F45CC1"/>
    <w:rsid w:val="00F505DE"/>
    <w:rsid w:val="00F514D3"/>
    <w:rsid w:val="00F7512D"/>
    <w:rsid w:val="00F83B52"/>
    <w:rsid w:val="00F9797C"/>
    <w:rsid w:val="00FC1240"/>
    <w:rsid w:val="00FD44AD"/>
    <w:rsid w:val="30E36B9C"/>
    <w:rsid w:val="426319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BBD1"/>
  <w15:docId w15:val="{A33AD320-910A-2D4C-AB04-37984087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MX"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007"/>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3C2007"/>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3C2007"/>
    <w:rPr>
      <w:rFonts w:ascii="Times New Roman" w:eastAsia="Times New Roman" w:hAnsi="Times New Roman" w:cs="Times New Roman"/>
      <w:b/>
      <w:szCs w:val="20"/>
      <w:lang w:val="es-ES" w:eastAsia="es-ES"/>
    </w:rPr>
  </w:style>
  <w:style w:type="character" w:customStyle="1" w:styleId="fontstyle01">
    <w:name w:val="fontstyle01"/>
    <w:basedOn w:val="Fuentedeprrafopredeter"/>
    <w:rsid w:val="003C2007"/>
    <w:rPr>
      <w:rFonts w:ascii="Tahoma-Bold" w:hAnsi="Tahoma-Bold" w:hint="default"/>
      <w:b/>
      <w:bCs/>
      <w:i w:val="0"/>
      <w:iCs w:val="0"/>
      <w:color w:val="000000"/>
      <w:sz w:val="24"/>
      <w:szCs w:val="24"/>
    </w:rPr>
  </w:style>
  <w:style w:type="character" w:customStyle="1" w:styleId="fontstyle21">
    <w:name w:val="fontstyle21"/>
    <w:basedOn w:val="Fuentedeprrafopredeter"/>
    <w:rsid w:val="003C2007"/>
    <w:rPr>
      <w:rFonts w:ascii="Tahoma" w:hAnsi="Tahoma" w:cs="Tahoma" w:hint="default"/>
      <w:b w:val="0"/>
      <w:bCs w:val="0"/>
      <w:i w:val="0"/>
      <w:iCs w:val="0"/>
      <w:color w:val="000000"/>
      <w:sz w:val="24"/>
      <w:szCs w:val="24"/>
    </w:rPr>
  </w:style>
  <w:style w:type="paragraph" w:customStyle="1" w:styleId="paragraph">
    <w:name w:val="paragraph"/>
    <w:basedOn w:val="Normal"/>
    <w:rsid w:val="003C2007"/>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3C2007"/>
  </w:style>
  <w:style w:type="paragraph" w:styleId="Prrafodelista">
    <w:name w:val="List Paragraph"/>
    <w:basedOn w:val="Normal"/>
    <w:uiPriority w:val="34"/>
    <w:qFormat/>
    <w:rsid w:val="003C2007"/>
    <w:pPr>
      <w:ind w:left="720"/>
      <w:contextualSpacing/>
    </w:pPr>
  </w:style>
  <w:style w:type="paragraph" w:styleId="NormalWeb">
    <w:name w:val="Normal (Web)"/>
    <w:basedOn w:val="Normal"/>
    <w:uiPriority w:val="99"/>
    <w:unhideWhenUsed/>
    <w:rsid w:val="003C2007"/>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Encabezado">
    <w:name w:val="header"/>
    <w:basedOn w:val="Normal"/>
    <w:link w:val="EncabezadoCar"/>
    <w:uiPriority w:val="99"/>
    <w:unhideWhenUsed/>
    <w:rsid w:val="008F10D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F10D9"/>
    <w:rPr>
      <w:rFonts w:ascii="Tahoma" w:hAnsi="Tahoma"/>
      <w:szCs w:val="22"/>
      <w:lang w:val="es-ES"/>
    </w:rPr>
  </w:style>
  <w:style w:type="paragraph" w:styleId="Piedepgina">
    <w:name w:val="footer"/>
    <w:basedOn w:val="Normal"/>
    <w:link w:val="PiedepginaCar"/>
    <w:uiPriority w:val="99"/>
    <w:unhideWhenUsed/>
    <w:rsid w:val="008F10D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F10D9"/>
    <w:rPr>
      <w:rFonts w:ascii="Tahoma" w:hAnsi="Tahoma"/>
      <w:szCs w:val="22"/>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B277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27755"/>
    <w:rPr>
      <w:sz w:val="20"/>
      <w:szCs w:val="20"/>
    </w:rPr>
  </w:style>
  <w:style w:type="paragraph" w:styleId="Textocomentario">
    <w:name w:val="annotation text"/>
    <w:basedOn w:val="Normal"/>
    <w:link w:val="TextocomentarioCar"/>
    <w:uiPriority w:val="99"/>
    <w:semiHidden/>
    <w:unhideWhenUsed/>
    <w:rsid w:val="00B277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755"/>
    <w:rPr>
      <w:sz w:val="20"/>
      <w:szCs w:val="20"/>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B27755"/>
    <w:rPr>
      <w:vertAlign w:val="superscript"/>
    </w:rPr>
  </w:style>
  <w:style w:type="character" w:styleId="Refdecomentario">
    <w:name w:val="annotation reference"/>
    <w:basedOn w:val="Fuentedeprrafopredeter"/>
    <w:uiPriority w:val="99"/>
    <w:semiHidden/>
    <w:unhideWhenUsed/>
    <w:rsid w:val="00B27755"/>
    <w:rPr>
      <w:sz w:val="16"/>
      <w:szCs w:val="16"/>
    </w:rPr>
  </w:style>
  <w:style w:type="table" w:customStyle="1" w:styleId="Tablaconcuadrcula1">
    <w:name w:val="Tabla con cuadrícula1"/>
    <w:basedOn w:val="Tablanormal"/>
    <w:next w:val="Tablaconcuadrcula"/>
    <w:rsid w:val="00B27755"/>
    <w:pPr>
      <w:spacing w:line="240" w:lineRule="auto"/>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277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775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75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4045A"/>
    <w:rPr>
      <w:b/>
      <w:bCs/>
    </w:rPr>
  </w:style>
  <w:style w:type="character" w:customStyle="1" w:styleId="AsuntodelcomentarioCar">
    <w:name w:val="Asunto del comentario Car"/>
    <w:basedOn w:val="TextocomentarioCar"/>
    <w:link w:val="Asuntodelcomentario"/>
    <w:uiPriority w:val="99"/>
    <w:semiHidden/>
    <w:rsid w:val="00C40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0465">
      <w:bodyDiv w:val="1"/>
      <w:marLeft w:val="0"/>
      <w:marRight w:val="0"/>
      <w:marTop w:val="0"/>
      <w:marBottom w:val="0"/>
      <w:divBdr>
        <w:top w:val="none" w:sz="0" w:space="0" w:color="auto"/>
        <w:left w:val="none" w:sz="0" w:space="0" w:color="auto"/>
        <w:bottom w:val="none" w:sz="0" w:space="0" w:color="auto"/>
        <w:right w:val="none" w:sz="0" w:space="0" w:color="auto"/>
      </w:divBdr>
    </w:div>
    <w:div w:id="1522472774">
      <w:bodyDiv w:val="1"/>
      <w:marLeft w:val="0"/>
      <w:marRight w:val="0"/>
      <w:marTop w:val="0"/>
      <w:marBottom w:val="0"/>
      <w:divBdr>
        <w:top w:val="none" w:sz="0" w:space="0" w:color="auto"/>
        <w:left w:val="none" w:sz="0" w:space="0" w:color="auto"/>
        <w:bottom w:val="none" w:sz="0" w:space="0" w:color="auto"/>
        <w:right w:val="none" w:sz="0" w:space="0" w:color="auto"/>
      </w:divBdr>
    </w:div>
    <w:div w:id="173153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kP+fS2fsPFi2pfLwfGRPkcafg==">AMUW2mX1rPF/RVyP2Nuyi2TQXm4KtNJwoQoFC+NU8NEmNv4ABrx81UCdb/Q1ZzXCKXQYyWu00m8nYHrT3d4dcrUF/Rvkvl7bV5P05H9b4GdgBzJk8pHe1ct5DmiQ+YkaH+jsJj+eAKRAsL8IK0x+XPdRNLbuHgUkOw==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7C375B-61BF-429F-9023-DDE7D96E0CB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CCAA33DD-F5E0-4966-80CE-34B85C9344EB}">
  <ds:schemaRefs>
    <ds:schemaRef ds:uri="http://schemas.microsoft.com/sharepoint/v3/contenttype/forms"/>
  </ds:schemaRefs>
</ds:datastoreItem>
</file>

<file path=customXml/itemProps4.xml><?xml version="1.0" encoding="utf-8"?>
<ds:datastoreItem xmlns:ds="http://schemas.openxmlformats.org/officeDocument/2006/customXml" ds:itemID="{1C8FF52F-D486-46FC-A212-523302B6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980AA8-7652-4949-9A4F-459A116D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7914</Words>
  <Characters>43531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3</cp:revision>
  <dcterms:created xsi:type="dcterms:W3CDTF">2022-11-16T16:21:00Z</dcterms:created>
  <dcterms:modified xsi:type="dcterms:W3CDTF">2022-11-16T17:12:00Z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