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34B1C39" w14:textId="77777777" w:rsidR="0051498C" w:rsidRPr="0051498C" w:rsidRDefault="0051498C" w:rsidP="0051498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eading=h.gjdgxs" w:colFirst="0" w:colLast="0"/>
      <w:bookmarkStart w:id="2" w:name="_Hlk93052694"/>
      <w:bookmarkStart w:id="3" w:name="_Hlk97791231"/>
      <w:bookmarkStart w:id="4" w:name="_GoBack"/>
      <w:bookmarkEnd w:id="0"/>
      <w:bookmarkEnd w:id="1"/>
      <w:bookmarkEnd w:id="4"/>
      <w:r w:rsidRPr="0051498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3868468" w14:textId="77777777" w:rsidR="0051498C" w:rsidRPr="0051498C" w:rsidRDefault="0051498C" w:rsidP="0051498C">
      <w:pPr>
        <w:jc w:val="both"/>
        <w:rPr>
          <w:rFonts w:ascii="Arial" w:hAnsi="Arial" w:cs="Arial"/>
          <w:sz w:val="20"/>
          <w:szCs w:val="20"/>
          <w:lang w:val="es-419"/>
        </w:rPr>
      </w:pPr>
    </w:p>
    <w:p w14:paraId="23544166" w14:textId="5C070A82" w:rsidR="0051498C" w:rsidRPr="0051498C" w:rsidRDefault="0051498C" w:rsidP="0051498C">
      <w:pPr>
        <w:jc w:val="both"/>
        <w:rPr>
          <w:rFonts w:ascii="Arial" w:eastAsia="Tahoma" w:hAnsi="Arial" w:cs="Arial"/>
          <w:sz w:val="20"/>
          <w:szCs w:val="20"/>
          <w:lang w:val="es-419" w:eastAsia="es-CO"/>
        </w:rPr>
      </w:pPr>
      <w:r w:rsidRPr="0051498C">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51498C">
        <w:rPr>
          <w:rFonts w:ascii="Arial" w:eastAsia="Tahoma" w:hAnsi="Arial" w:cs="Arial"/>
          <w:sz w:val="20"/>
          <w:szCs w:val="20"/>
          <w:lang w:val="es-419" w:eastAsia="es-CO"/>
        </w:rPr>
        <w:t>: 66001-31-05-004-2020-00214-02</w:t>
      </w:r>
    </w:p>
    <w:p w14:paraId="725DA332" w14:textId="5EE682A6" w:rsidR="0051498C" w:rsidRPr="0051498C" w:rsidRDefault="0051498C" w:rsidP="0051498C">
      <w:pPr>
        <w:jc w:val="both"/>
        <w:rPr>
          <w:rFonts w:ascii="Arial" w:eastAsia="Tahoma" w:hAnsi="Arial" w:cs="Arial"/>
          <w:sz w:val="20"/>
          <w:szCs w:val="20"/>
          <w:lang w:val="es-419" w:eastAsia="es-CO"/>
        </w:rPr>
      </w:pPr>
      <w:r w:rsidRPr="0051498C">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51498C">
        <w:rPr>
          <w:rFonts w:ascii="Arial" w:eastAsia="Tahoma" w:hAnsi="Arial" w:cs="Arial"/>
          <w:sz w:val="20"/>
          <w:szCs w:val="20"/>
          <w:lang w:val="es-419" w:eastAsia="es-CO"/>
        </w:rPr>
        <w:t>:</w:t>
      </w:r>
      <w:r>
        <w:rPr>
          <w:rFonts w:ascii="Arial" w:eastAsia="Tahoma" w:hAnsi="Arial" w:cs="Arial"/>
          <w:sz w:val="20"/>
          <w:szCs w:val="20"/>
          <w:lang w:val="es-419" w:eastAsia="es-CO"/>
        </w:rPr>
        <w:t xml:space="preserve"> </w:t>
      </w:r>
      <w:r w:rsidRPr="0051498C">
        <w:rPr>
          <w:rFonts w:ascii="Arial" w:eastAsia="Tahoma" w:hAnsi="Arial" w:cs="Arial"/>
          <w:sz w:val="20"/>
          <w:szCs w:val="20"/>
          <w:lang w:val="es-419" w:eastAsia="es-CO"/>
        </w:rPr>
        <w:t>Ordinario Laboral</w:t>
      </w:r>
    </w:p>
    <w:p w14:paraId="0D4A9766" w14:textId="4421C745" w:rsidR="0051498C" w:rsidRPr="0051498C" w:rsidRDefault="0051498C" w:rsidP="0051498C">
      <w:pPr>
        <w:jc w:val="both"/>
        <w:rPr>
          <w:rFonts w:ascii="Arial" w:eastAsia="Tahoma" w:hAnsi="Arial" w:cs="Arial"/>
          <w:sz w:val="20"/>
          <w:szCs w:val="20"/>
          <w:lang w:val="es-419" w:eastAsia="es-CO"/>
        </w:rPr>
      </w:pPr>
      <w:r w:rsidRPr="0051498C">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51498C">
        <w:rPr>
          <w:rFonts w:ascii="Arial" w:eastAsia="Tahoma" w:hAnsi="Arial" w:cs="Arial"/>
          <w:sz w:val="20"/>
          <w:szCs w:val="20"/>
          <w:lang w:val="es-419" w:eastAsia="es-CO"/>
        </w:rPr>
        <w:t xml:space="preserve">: Ricaurte Guzmán Quiñonez </w:t>
      </w:r>
    </w:p>
    <w:p w14:paraId="019EDCA1" w14:textId="5BE58650" w:rsidR="0051498C" w:rsidRPr="0051498C" w:rsidRDefault="0051498C" w:rsidP="0051498C">
      <w:pPr>
        <w:jc w:val="both"/>
        <w:rPr>
          <w:rFonts w:ascii="Arial" w:eastAsia="Tahoma" w:hAnsi="Arial" w:cs="Arial"/>
          <w:sz w:val="20"/>
          <w:szCs w:val="20"/>
          <w:lang w:val="es-419" w:eastAsia="es-CO"/>
        </w:rPr>
      </w:pPr>
      <w:r w:rsidRPr="0051498C">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51498C">
        <w:rPr>
          <w:rFonts w:ascii="Arial" w:eastAsia="Tahoma" w:hAnsi="Arial" w:cs="Arial"/>
          <w:sz w:val="20"/>
          <w:szCs w:val="20"/>
          <w:lang w:val="es-419" w:eastAsia="es-CO"/>
        </w:rPr>
        <w:t>:</w:t>
      </w:r>
      <w:r>
        <w:rPr>
          <w:rFonts w:ascii="Arial" w:eastAsia="Tahoma" w:hAnsi="Arial" w:cs="Arial"/>
          <w:sz w:val="20"/>
          <w:szCs w:val="20"/>
          <w:lang w:val="es-419" w:eastAsia="es-CO"/>
        </w:rPr>
        <w:t xml:space="preserve"> </w:t>
      </w:r>
      <w:r w:rsidRPr="0051498C">
        <w:rPr>
          <w:rFonts w:ascii="Arial" w:eastAsia="Tahoma" w:hAnsi="Arial" w:cs="Arial"/>
          <w:sz w:val="20"/>
          <w:szCs w:val="20"/>
          <w:lang w:val="es-419" w:eastAsia="es-CO"/>
        </w:rPr>
        <w:t xml:space="preserve">Porvenir S.A. y Colpensiones </w:t>
      </w:r>
    </w:p>
    <w:p w14:paraId="4D883FC5" w14:textId="4297BA84" w:rsidR="0051498C" w:rsidRPr="0051498C" w:rsidRDefault="0051498C" w:rsidP="0051498C">
      <w:pPr>
        <w:jc w:val="both"/>
        <w:rPr>
          <w:rFonts w:ascii="Arial" w:eastAsia="Tahoma" w:hAnsi="Arial" w:cs="Arial"/>
          <w:sz w:val="20"/>
          <w:szCs w:val="20"/>
          <w:lang w:val="es-419" w:eastAsia="es-CO"/>
        </w:rPr>
      </w:pPr>
      <w:r w:rsidRPr="0051498C">
        <w:rPr>
          <w:rFonts w:ascii="Arial" w:eastAsia="Tahoma" w:hAnsi="Arial" w:cs="Arial"/>
          <w:sz w:val="20"/>
          <w:szCs w:val="20"/>
          <w:lang w:val="es-419" w:eastAsia="es-CO"/>
        </w:rPr>
        <w:t>Juzgado de origen</w:t>
      </w:r>
      <w:r>
        <w:rPr>
          <w:rFonts w:ascii="Arial" w:eastAsia="Tahoma" w:hAnsi="Arial" w:cs="Arial"/>
          <w:sz w:val="20"/>
          <w:szCs w:val="20"/>
          <w:lang w:val="es-419" w:eastAsia="es-CO"/>
        </w:rPr>
        <w:tab/>
      </w:r>
      <w:r w:rsidRPr="0051498C">
        <w:rPr>
          <w:rFonts w:ascii="Arial" w:eastAsia="Tahoma" w:hAnsi="Arial" w:cs="Arial"/>
          <w:sz w:val="20"/>
          <w:szCs w:val="20"/>
          <w:lang w:val="es-419" w:eastAsia="es-CO"/>
        </w:rPr>
        <w:t>: Cuarto Laboral del Circuito de Pereira</w:t>
      </w:r>
    </w:p>
    <w:p w14:paraId="7F034CE4" w14:textId="77777777" w:rsidR="0051498C" w:rsidRPr="0051498C" w:rsidRDefault="0051498C" w:rsidP="0051498C">
      <w:pPr>
        <w:jc w:val="both"/>
        <w:rPr>
          <w:rFonts w:ascii="Arial" w:eastAsia="Tahoma" w:hAnsi="Arial" w:cs="Arial"/>
          <w:sz w:val="20"/>
          <w:szCs w:val="20"/>
          <w:lang w:val="es-419" w:eastAsia="es-CO"/>
        </w:rPr>
      </w:pPr>
      <w:r w:rsidRPr="0051498C">
        <w:rPr>
          <w:rFonts w:ascii="Arial" w:eastAsia="Tahoma" w:hAnsi="Arial" w:cs="Arial"/>
          <w:sz w:val="20"/>
          <w:szCs w:val="20"/>
          <w:lang w:val="es-419" w:eastAsia="es-CO"/>
        </w:rPr>
        <w:t>Magistrada Ponente</w:t>
      </w:r>
      <w:r w:rsidRPr="0051498C">
        <w:rPr>
          <w:rFonts w:ascii="Arial" w:eastAsia="Tahoma" w:hAnsi="Arial" w:cs="Arial"/>
          <w:sz w:val="20"/>
          <w:szCs w:val="20"/>
          <w:lang w:val="es-419" w:eastAsia="es-CO"/>
        </w:rPr>
        <w:tab/>
        <w:t>: Ana Lucía Caicedo Calderón</w:t>
      </w:r>
    </w:p>
    <w:p w14:paraId="3CA9CF59" w14:textId="77777777" w:rsidR="0051498C" w:rsidRPr="0051498C" w:rsidRDefault="0051498C" w:rsidP="0051498C">
      <w:pPr>
        <w:jc w:val="both"/>
        <w:rPr>
          <w:rFonts w:ascii="Arial" w:eastAsia="Tahoma" w:hAnsi="Arial" w:cs="Arial"/>
          <w:color w:val="000000"/>
          <w:sz w:val="20"/>
          <w:szCs w:val="20"/>
          <w:lang w:eastAsia="es-CO"/>
        </w:rPr>
      </w:pPr>
    </w:p>
    <w:bookmarkEnd w:id="2"/>
    <w:bookmarkEnd w:id="3"/>
    <w:p w14:paraId="6138065B" w14:textId="3E6EDEF1" w:rsidR="00F42382" w:rsidRPr="000279DC" w:rsidRDefault="00FF384B" w:rsidP="00F42382">
      <w:pPr>
        <w:jc w:val="both"/>
        <w:rPr>
          <w:rFonts w:ascii="Arial" w:hAnsi="Arial" w:cs="Arial"/>
          <w:b/>
          <w:bCs/>
          <w:iCs/>
          <w:sz w:val="20"/>
          <w:szCs w:val="20"/>
          <w:lang w:val="es-419" w:eastAsia="fr-FR"/>
        </w:rPr>
      </w:pPr>
      <w:r w:rsidRPr="000279DC">
        <w:rPr>
          <w:rFonts w:ascii="Arial" w:hAnsi="Arial" w:cs="Arial"/>
          <w:b/>
          <w:bCs/>
          <w:iCs/>
          <w:sz w:val="20"/>
          <w:szCs w:val="20"/>
          <w:u w:val="single"/>
          <w:lang w:val="es-419" w:eastAsia="fr-FR"/>
        </w:rPr>
        <w:t>TEMAS:</w:t>
      </w:r>
      <w:r w:rsidRPr="000279DC">
        <w:rPr>
          <w:rFonts w:ascii="Arial" w:hAnsi="Arial" w:cs="Arial"/>
          <w:b/>
          <w:bCs/>
          <w:iCs/>
          <w:sz w:val="20"/>
          <w:szCs w:val="20"/>
          <w:lang w:val="es-419" w:eastAsia="fr-FR"/>
        </w:rPr>
        <w:tab/>
        <w:t xml:space="preserve">AGENCIAS EN DERECHO / INTEGRAN EL CONCEPTO DE COSTAS / CRITERIOS PARA FIJARLAS / TARIFAS DEL CONSEJO SUPERIOR DE LA JUDICATURA / PROCESOS </w:t>
      </w:r>
      <w:r>
        <w:rPr>
          <w:rFonts w:ascii="Arial" w:hAnsi="Arial" w:cs="Arial"/>
          <w:b/>
          <w:bCs/>
          <w:iCs/>
          <w:sz w:val="20"/>
          <w:szCs w:val="20"/>
          <w:lang w:val="es-419" w:eastAsia="fr-FR"/>
        </w:rPr>
        <w:t xml:space="preserve">CON PRETENSIONES PECUNIARIAS </w:t>
      </w:r>
      <w:r w:rsidRPr="000279DC">
        <w:rPr>
          <w:rFonts w:ascii="Arial" w:hAnsi="Arial" w:cs="Arial"/>
          <w:b/>
          <w:bCs/>
          <w:iCs/>
          <w:sz w:val="20"/>
          <w:szCs w:val="20"/>
          <w:lang w:val="es-419" w:eastAsia="fr-FR"/>
        </w:rPr>
        <w:t xml:space="preserve">/ </w:t>
      </w:r>
      <w:r>
        <w:rPr>
          <w:rFonts w:ascii="Arial" w:hAnsi="Arial" w:cs="Arial"/>
          <w:b/>
          <w:bCs/>
          <w:iCs/>
          <w:sz w:val="20"/>
          <w:szCs w:val="20"/>
          <w:lang w:val="es-419" w:eastAsia="fr-FR"/>
        </w:rPr>
        <w:t>ANÁLISIS DEL CASO CONCRETO.</w:t>
      </w:r>
    </w:p>
    <w:p w14:paraId="3D58C366" w14:textId="77777777" w:rsidR="00F42382" w:rsidRPr="000279DC" w:rsidRDefault="00F42382" w:rsidP="00F42382">
      <w:pPr>
        <w:jc w:val="both"/>
        <w:rPr>
          <w:rFonts w:ascii="Arial" w:hAnsi="Arial" w:cs="Arial"/>
          <w:sz w:val="20"/>
          <w:szCs w:val="20"/>
          <w:lang w:val="es-419"/>
        </w:rPr>
      </w:pPr>
    </w:p>
    <w:p w14:paraId="114D00F1" w14:textId="77777777" w:rsidR="00F42382" w:rsidRPr="000279DC" w:rsidRDefault="00F42382" w:rsidP="00F42382">
      <w:pPr>
        <w:jc w:val="both"/>
        <w:rPr>
          <w:rFonts w:ascii="Arial" w:hAnsi="Arial" w:cs="Arial"/>
          <w:sz w:val="20"/>
          <w:szCs w:val="20"/>
          <w:lang w:val="es-419"/>
        </w:rPr>
      </w:pPr>
      <w:r w:rsidRPr="00810D55">
        <w:rPr>
          <w:rFonts w:ascii="Arial" w:hAnsi="Arial" w:cs="Arial"/>
          <w:sz w:val="20"/>
          <w:szCs w:val="20"/>
          <w:lang w:val="es-419"/>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w:t>
      </w:r>
      <w:r w:rsidRPr="000279DC">
        <w:rPr>
          <w:rFonts w:ascii="Arial" w:hAnsi="Arial" w:cs="Arial"/>
          <w:sz w:val="20"/>
          <w:szCs w:val="20"/>
          <w:lang w:val="es-419"/>
        </w:rPr>
        <w:t>…</w:t>
      </w:r>
    </w:p>
    <w:p w14:paraId="5229CBB5" w14:textId="77777777" w:rsidR="00F42382" w:rsidRPr="000279DC" w:rsidRDefault="00F42382" w:rsidP="00F42382">
      <w:pPr>
        <w:jc w:val="both"/>
        <w:rPr>
          <w:rFonts w:ascii="Arial" w:hAnsi="Arial" w:cs="Arial"/>
          <w:sz w:val="20"/>
          <w:szCs w:val="20"/>
          <w:lang w:val="es-419"/>
        </w:rPr>
      </w:pPr>
    </w:p>
    <w:p w14:paraId="2878B466" w14:textId="77777777" w:rsidR="00F42382" w:rsidRPr="000279DC" w:rsidRDefault="00F42382" w:rsidP="00F42382">
      <w:pPr>
        <w:jc w:val="both"/>
        <w:rPr>
          <w:rFonts w:ascii="Arial" w:hAnsi="Arial" w:cs="Arial"/>
          <w:sz w:val="20"/>
          <w:szCs w:val="20"/>
          <w:lang w:val="es-419"/>
        </w:rPr>
      </w:pPr>
      <w:r w:rsidRPr="000279DC">
        <w:rPr>
          <w:rFonts w:ascii="Arial" w:hAnsi="Arial" w:cs="Arial"/>
          <w:sz w:val="20"/>
          <w:szCs w:val="20"/>
          <w:lang w:val="es-419"/>
        </w:rPr>
        <w:t>… en su tratado de derecho procesal, el profesor Hernán Fabio López Blanco frente a las agencias en derecho ha preceptuado:</w:t>
      </w:r>
    </w:p>
    <w:p w14:paraId="39AD7822" w14:textId="77777777" w:rsidR="00F42382" w:rsidRPr="000279DC" w:rsidRDefault="00F42382" w:rsidP="00F42382">
      <w:pPr>
        <w:jc w:val="both"/>
        <w:rPr>
          <w:rFonts w:ascii="Arial" w:hAnsi="Arial" w:cs="Arial"/>
          <w:sz w:val="20"/>
          <w:szCs w:val="20"/>
          <w:lang w:val="es-419"/>
        </w:rPr>
      </w:pPr>
    </w:p>
    <w:p w14:paraId="4EE68A57" w14:textId="77777777" w:rsidR="00F42382" w:rsidRPr="000279DC" w:rsidRDefault="00F42382" w:rsidP="00F42382">
      <w:pPr>
        <w:jc w:val="both"/>
        <w:rPr>
          <w:rFonts w:ascii="Arial" w:hAnsi="Arial" w:cs="Arial"/>
          <w:sz w:val="20"/>
          <w:szCs w:val="20"/>
          <w:lang w:val="es-419"/>
        </w:rPr>
      </w:pPr>
      <w:r w:rsidRPr="000279DC">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 (…)</w:t>
      </w:r>
    </w:p>
    <w:p w14:paraId="7D560B36" w14:textId="77777777" w:rsidR="00F42382" w:rsidRPr="000279DC" w:rsidRDefault="00F42382" w:rsidP="00F42382">
      <w:pPr>
        <w:jc w:val="both"/>
        <w:rPr>
          <w:rFonts w:ascii="Arial" w:hAnsi="Arial" w:cs="Arial"/>
          <w:sz w:val="20"/>
          <w:szCs w:val="20"/>
          <w:lang w:val="es-419"/>
        </w:rPr>
      </w:pPr>
    </w:p>
    <w:p w14:paraId="68F90E20" w14:textId="77777777" w:rsidR="00F42382" w:rsidRPr="000279DC" w:rsidRDefault="00F42382" w:rsidP="00F42382">
      <w:pPr>
        <w:jc w:val="both"/>
        <w:rPr>
          <w:rFonts w:ascii="Arial" w:hAnsi="Arial" w:cs="Arial"/>
          <w:sz w:val="20"/>
          <w:szCs w:val="20"/>
          <w:lang w:val="es-419"/>
        </w:rPr>
      </w:pPr>
      <w:r w:rsidRPr="000279DC">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 (…)</w:t>
      </w:r>
    </w:p>
    <w:p w14:paraId="359FD70A" w14:textId="77777777" w:rsidR="00F42382" w:rsidRPr="000279DC" w:rsidRDefault="00F42382" w:rsidP="00F42382">
      <w:pPr>
        <w:jc w:val="both"/>
        <w:rPr>
          <w:rFonts w:ascii="Arial" w:hAnsi="Arial" w:cs="Arial"/>
          <w:sz w:val="20"/>
          <w:szCs w:val="20"/>
          <w:lang w:val="es-419"/>
        </w:rPr>
      </w:pPr>
    </w:p>
    <w:p w14:paraId="5009664F" w14:textId="0EFE5FDC" w:rsidR="00F42382" w:rsidRPr="000279DC" w:rsidRDefault="007F511B" w:rsidP="00F42382">
      <w:pPr>
        <w:jc w:val="both"/>
        <w:rPr>
          <w:rFonts w:ascii="Arial" w:hAnsi="Arial" w:cs="Arial"/>
          <w:sz w:val="20"/>
          <w:szCs w:val="20"/>
        </w:rPr>
      </w:pPr>
      <w:r w:rsidRPr="007F511B">
        <w:rPr>
          <w:rFonts w:ascii="Arial" w:hAnsi="Arial" w:cs="Arial"/>
          <w:sz w:val="20"/>
          <w:szCs w:val="20"/>
        </w:rPr>
        <w:t>En sub lite, las pretensiones del promotor de la litis fueron denegadas en primera instancia mediante fallo que fuera confirmado por esta Colegiatura en sede de apelaciones, por lo que, según la normativa transcrita, las agencias debían cuantificarse entre un 4% y un 10% de dichos pedidos</w:t>
      </w:r>
      <w:r>
        <w:rPr>
          <w:rFonts w:ascii="Arial" w:hAnsi="Arial" w:cs="Arial"/>
          <w:sz w:val="20"/>
          <w:szCs w:val="20"/>
        </w:rPr>
        <w:t>…</w:t>
      </w:r>
    </w:p>
    <w:p w14:paraId="13A6D013" w14:textId="77777777" w:rsidR="00F42382" w:rsidRPr="000279DC" w:rsidRDefault="00F42382" w:rsidP="00F42382">
      <w:pPr>
        <w:jc w:val="both"/>
        <w:rPr>
          <w:rFonts w:ascii="Arial" w:hAnsi="Arial" w:cs="Arial"/>
          <w:sz w:val="20"/>
          <w:szCs w:val="20"/>
        </w:rPr>
      </w:pPr>
    </w:p>
    <w:p w14:paraId="6A2B1E6C" w14:textId="493419A6" w:rsidR="006C56B1" w:rsidRPr="006C56B1" w:rsidRDefault="006C56B1" w:rsidP="006C56B1">
      <w:pPr>
        <w:jc w:val="both"/>
        <w:rPr>
          <w:rFonts w:ascii="Arial" w:hAnsi="Arial" w:cs="Arial"/>
          <w:sz w:val="20"/>
          <w:szCs w:val="20"/>
        </w:rPr>
      </w:pPr>
      <w:r w:rsidRPr="006C56B1">
        <w:rPr>
          <w:rFonts w:ascii="Arial" w:hAnsi="Arial" w:cs="Arial"/>
          <w:sz w:val="20"/>
          <w:szCs w:val="20"/>
        </w:rPr>
        <w:t>En el caso concreto la pretensión perseguida era de carácter pecuniario, su duración</w:t>
      </w:r>
      <w:r>
        <w:rPr>
          <w:rFonts w:ascii="Arial" w:hAnsi="Arial" w:cs="Arial"/>
          <w:sz w:val="20"/>
          <w:szCs w:val="20"/>
        </w:rPr>
        <w:t>…</w:t>
      </w:r>
      <w:r w:rsidRPr="006C56B1">
        <w:rPr>
          <w:rFonts w:ascii="Arial" w:hAnsi="Arial" w:cs="Arial"/>
          <w:sz w:val="20"/>
          <w:szCs w:val="20"/>
        </w:rPr>
        <w:t xml:space="preserve"> no se superaron en ambas instancias los dos años.</w:t>
      </w:r>
    </w:p>
    <w:p w14:paraId="133B099A" w14:textId="77777777" w:rsidR="006C56B1" w:rsidRPr="006C56B1" w:rsidRDefault="006C56B1" w:rsidP="006C56B1">
      <w:pPr>
        <w:jc w:val="both"/>
        <w:rPr>
          <w:rFonts w:ascii="Arial" w:hAnsi="Arial" w:cs="Arial"/>
          <w:sz w:val="20"/>
          <w:szCs w:val="20"/>
        </w:rPr>
      </w:pPr>
    </w:p>
    <w:p w14:paraId="0189278C" w14:textId="1992CEE2" w:rsidR="00F42382" w:rsidRDefault="006C56B1" w:rsidP="006C56B1">
      <w:pPr>
        <w:jc w:val="both"/>
        <w:rPr>
          <w:rFonts w:ascii="Arial" w:hAnsi="Arial" w:cs="Arial"/>
          <w:sz w:val="20"/>
          <w:szCs w:val="20"/>
        </w:rPr>
      </w:pPr>
      <w:r w:rsidRPr="006C56B1">
        <w:rPr>
          <w:rFonts w:ascii="Arial" w:hAnsi="Arial" w:cs="Arial"/>
          <w:sz w:val="20"/>
          <w:szCs w:val="20"/>
        </w:rPr>
        <w:t>En el expediente digital se advierte que la profesional que representa los intereses de la pasiva, a pesar de que atendió oportunamente los llamados del juzgado de origen, no desplegó una carga probatoria distinta a la de allegar la documental que le incumbía por estar en su haber</w:t>
      </w:r>
      <w:r>
        <w:rPr>
          <w:rFonts w:ascii="Arial" w:hAnsi="Arial" w:cs="Arial"/>
          <w:sz w:val="20"/>
          <w:szCs w:val="20"/>
        </w:rPr>
        <w:t>…</w:t>
      </w:r>
    </w:p>
    <w:p w14:paraId="7BB7F83D" w14:textId="5BBB3BC3" w:rsidR="006C56B1" w:rsidRDefault="006C56B1" w:rsidP="00F42382">
      <w:pPr>
        <w:jc w:val="both"/>
        <w:rPr>
          <w:rFonts w:ascii="Arial" w:hAnsi="Arial" w:cs="Arial"/>
          <w:sz w:val="20"/>
          <w:szCs w:val="20"/>
        </w:rPr>
      </w:pPr>
    </w:p>
    <w:p w14:paraId="38F08E91" w14:textId="77777777" w:rsidR="006C56B1" w:rsidRPr="000279DC" w:rsidRDefault="006C56B1" w:rsidP="00F42382">
      <w:pPr>
        <w:jc w:val="both"/>
        <w:rPr>
          <w:rFonts w:ascii="Arial" w:hAnsi="Arial" w:cs="Arial"/>
          <w:sz w:val="20"/>
          <w:szCs w:val="20"/>
        </w:rPr>
      </w:pPr>
    </w:p>
    <w:p w14:paraId="05BED3A5" w14:textId="77777777" w:rsidR="00F42382" w:rsidRPr="000279DC" w:rsidRDefault="00F42382" w:rsidP="00F42382">
      <w:pPr>
        <w:jc w:val="both"/>
        <w:rPr>
          <w:rFonts w:ascii="Arial" w:hAnsi="Arial" w:cs="Arial"/>
          <w:sz w:val="20"/>
          <w:szCs w:val="20"/>
        </w:rPr>
      </w:pPr>
    </w:p>
    <w:p w14:paraId="1A9051FC" w14:textId="77777777" w:rsidR="001F16F2" w:rsidRPr="002A7192" w:rsidRDefault="001F16F2" w:rsidP="002A7192">
      <w:pPr>
        <w:spacing w:line="276" w:lineRule="auto"/>
        <w:jc w:val="center"/>
        <w:rPr>
          <w:rFonts w:ascii="Tahoma" w:hAnsi="Tahoma" w:cs="Tahoma"/>
          <w:b/>
          <w:iCs/>
          <w:spacing w:val="2"/>
          <w:lang w:val="es-CO"/>
        </w:rPr>
      </w:pPr>
      <w:r w:rsidRPr="002A7192">
        <w:rPr>
          <w:rFonts w:ascii="Tahoma" w:hAnsi="Tahoma" w:cs="Tahoma"/>
          <w:b/>
          <w:bCs/>
          <w:iCs/>
          <w:spacing w:val="2"/>
          <w:lang w:val="es-CO"/>
        </w:rPr>
        <w:t>TRIBUNAL SUPERIOR DEL DISTRITO JUDICIAL DE PEREIRA</w:t>
      </w:r>
    </w:p>
    <w:p w14:paraId="2DA5DFAE" w14:textId="77777777" w:rsidR="001F16F2" w:rsidRPr="002A7192" w:rsidRDefault="001F16F2" w:rsidP="002A7192">
      <w:pPr>
        <w:spacing w:line="276" w:lineRule="auto"/>
        <w:jc w:val="center"/>
        <w:rPr>
          <w:rFonts w:ascii="Tahoma" w:hAnsi="Tahoma" w:cs="Tahoma"/>
          <w:b/>
          <w:iCs/>
          <w:spacing w:val="2"/>
          <w:lang w:val="es-CO"/>
        </w:rPr>
      </w:pPr>
      <w:r w:rsidRPr="002A7192">
        <w:rPr>
          <w:rFonts w:ascii="Tahoma" w:hAnsi="Tahoma" w:cs="Tahoma"/>
          <w:b/>
          <w:bCs/>
          <w:iCs/>
          <w:spacing w:val="2"/>
          <w:lang w:val="es-CO"/>
        </w:rPr>
        <w:t>SALA PRIMERA DE DECISION LABORAL</w:t>
      </w:r>
    </w:p>
    <w:p w14:paraId="4F82D35A" w14:textId="77777777" w:rsidR="001F16F2" w:rsidRPr="002A7192" w:rsidRDefault="001F16F2" w:rsidP="002A7192">
      <w:pPr>
        <w:spacing w:line="276" w:lineRule="auto"/>
        <w:jc w:val="center"/>
        <w:rPr>
          <w:rFonts w:ascii="Tahoma" w:hAnsi="Tahoma" w:cs="Tahoma"/>
          <w:bCs/>
          <w:spacing w:val="2"/>
          <w:lang w:val="es-CO"/>
        </w:rPr>
      </w:pPr>
    </w:p>
    <w:p w14:paraId="68F305ED" w14:textId="77777777" w:rsidR="001F16F2" w:rsidRPr="002A7192" w:rsidRDefault="001F16F2" w:rsidP="002A7192">
      <w:pPr>
        <w:spacing w:line="276" w:lineRule="auto"/>
        <w:jc w:val="center"/>
        <w:rPr>
          <w:rFonts w:ascii="Tahoma" w:hAnsi="Tahoma" w:cs="Tahoma"/>
          <w:spacing w:val="2"/>
          <w:lang w:val="es-CO"/>
        </w:rPr>
      </w:pPr>
      <w:r w:rsidRPr="002A7192">
        <w:rPr>
          <w:rFonts w:ascii="Tahoma" w:hAnsi="Tahoma" w:cs="Tahoma"/>
          <w:spacing w:val="2"/>
          <w:lang w:val="es-CO"/>
        </w:rPr>
        <w:t>Magistrada Ponente: </w:t>
      </w:r>
      <w:r w:rsidRPr="002A7192">
        <w:rPr>
          <w:rFonts w:ascii="Tahoma" w:hAnsi="Tahoma" w:cs="Tahoma"/>
          <w:b/>
          <w:bCs/>
          <w:spacing w:val="2"/>
          <w:lang w:val="es-CO"/>
        </w:rPr>
        <w:t>Ana Lucía Caicedo Calderón</w:t>
      </w:r>
    </w:p>
    <w:p w14:paraId="4E3733F5" w14:textId="77777777" w:rsidR="001F16F2" w:rsidRPr="002A7192" w:rsidRDefault="001F16F2" w:rsidP="002A7192">
      <w:pPr>
        <w:spacing w:line="276" w:lineRule="auto"/>
        <w:jc w:val="center"/>
        <w:rPr>
          <w:rFonts w:ascii="Tahoma" w:hAnsi="Tahoma" w:cs="Tahoma"/>
          <w:spacing w:val="2"/>
          <w:lang w:val="es-CO"/>
        </w:rPr>
      </w:pPr>
    </w:p>
    <w:p w14:paraId="31F27987" w14:textId="3EA05DC8" w:rsidR="00482696" w:rsidRPr="002A7192" w:rsidRDefault="00482696" w:rsidP="002A7192">
      <w:pPr>
        <w:pStyle w:val="paragraph"/>
        <w:spacing w:before="0" w:beforeAutospacing="0" w:after="0" w:afterAutospacing="0" w:line="276" w:lineRule="auto"/>
        <w:jc w:val="center"/>
        <w:textAlignment w:val="baseline"/>
        <w:rPr>
          <w:rFonts w:ascii="Tahoma" w:hAnsi="Tahoma" w:cs="Tahoma"/>
        </w:rPr>
      </w:pPr>
      <w:r w:rsidRPr="002A7192">
        <w:rPr>
          <w:rStyle w:val="normaltextrun"/>
          <w:rFonts w:ascii="Tahoma" w:hAnsi="Tahoma" w:cs="Tahoma"/>
        </w:rPr>
        <w:t>Pereira, Risaralda, </w:t>
      </w:r>
      <w:r w:rsidR="001A52D9" w:rsidRPr="002A7192">
        <w:rPr>
          <w:rStyle w:val="normaltextrun"/>
          <w:rFonts w:ascii="Tahoma" w:hAnsi="Tahoma" w:cs="Tahoma"/>
        </w:rPr>
        <w:t>veintiocho</w:t>
      </w:r>
      <w:r w:rsidRPr="002A7192">
        <w:rPr>
          <w:rStyle w:val="normaltextrun"/>
          <w:rFonts w:ascii="Tahoma" w:hAnsi="Tahoma" w:cs="Tahoma"/>
        </w:rPr>
        <w:t xml:space="preserve"> (</w:t>
      </w:r>
      <w:r w:rsidR="001A52D9" w:rsidRPr="002A7192">
        <w:rPr>
          <w:rStyle w:val="normaltextrun"/>
          <w:rFonts w:ascii="Tahoma" w:hAnsi="Tahoma" w:cs="Tahoma"/>
        </w:rPr>
        <w:t>28</w:t>
      </w:r>
      <w:r w:rsidRPr="002A7192">
        <w:rPr>
          <w:rStyle w:val="normaltextrun"/>
          <w:rFonts w:ascii="Tahoma" w:hAnsi="Tahoma" w:cs="Tahoma"/>
        </w:rPr>
        <w:t xml:space="preserve">) de </w:t>
      </w:r>
      <w:r w:rsidR="001A52D9" w:rsidRPr="002A7192">
        <w:rPr>
          <w:rStyle w:val="normaltextrun"/>
          <w:rFonts w:ascii="Tahoma" w:hAnsi="Tahoma" w:cs="Tahoma"/>
        </w:rPr>
        <w:t xml:space="preserve">noviembre de </w:t>
      </w:r>
      <w:r w:rsidRPr="002A7192">
        <w:rPr>
          <w:rStyle w:val="normaltextrun"/>
          <w:rFonts w:ascii="Tahoma" w:hAnsi="Tahoma" w:cs="Tahoma"/>
        </w:rPr>
        <w:t>dos mil veintidós (2022)  </w:t>
      </w:r>
      <w:r w:rsidRPr="002A7192">
        <w:rPr>
          <w:rStyle w:val="eop"/>
          <w:rFonts w:ascii="Tahoma" w:hAnsi="Tahoma" w:cs="Tahoma"/>
        </w:rPr>
        <w:t> </w:t>
      </w:r>
    </w:p>
    <w:p w14:paraId="3E2CFA99" w14:textId="41C63260" w:rsidR="00482696" w:rsidRPr="002A7192" w:rsidRDefault="00482696" w:rsidP="002A7192">
      <w:pPr>
        <w:spacing w:line="276" w:lineRule="auto"/>
        <w:jc w:val="center"/>
        <w:rPr>
          <w:rFonts w:ascii="Tahoma" w:hAnsi="Tahoma" w:cs="Tahoma"/>
          <w:spacing w:val="2"/>
        </w:rPr>
      </w:pPr>
      <w:r w:rsidRPr="002A7192">
        <w:rPr>
          <w:rStyle w:val="normaltextrun"/>
          <w:rFonts w:ascii="Tahoma" w:hAnsi="Tahoma" w:cs="Tahoma"/>
        </w:rPr>
        <w:t xml:space="preserve"> Acta No. </w:t>
      </w:r>
      <w:r w:rsidR="00A8055D" w:rsidRPr="002A7192">
        <w:rPr>
          <w:rStyle w:val="normaltextrun"/>
          <w:rFonts w:ascii="Tahoma" w:hAnsi="Tahoma" w:cs="Tahoma"/>
        </w:rPr>
        <w:t>196</w:t>
      </w:r>
      <w:r w:rsidRPr="002A7192">
        <w:rPr>
          <w:rStyle w:val="normaltextrun"/>
          <w:rFonts w:ascii="Tahoma" w:hAnsi="Tahoma" w:cs="Tahoma"/>
        </w:rPr>
        <w:t xml:space="preserve"> del </w:t>
      </w:r>
      <w:r w:rsidR="001A52D9" w:rsidRPr="002A7192">
        <w:rPr>
          <w:rStyle w:val="normaltextrun"/>
          <w:rFonts w:ascii="Tahoma" w:hAnsi="Tahoma" w:cs="Tahoma"/>
        </w:rPr>
        <w:t>24</w:t>
      </w:r>
      <w:r w:rsidRPr="002A7192">
        <w:rPr>
          <w:rStyle w:val="normaltextrun"/>
          <w:rFonts w:ascii="Tahoma" w:hAnsi="Tahoma" w:cs="Tahoma"/>
        </w:rPr>
        <w:t xml:space="preserve"> de </w:t>
      </w:r>
      <w:r w:rsidR="001A52D9" w:rsidRPr="002A7192">
        <w:rPr>
          <w:rStyle w:val="normaltextrun"/>
          <w:rFonts w:ascii="Tahoma" w:hAnsi="Tahoma" w:cs="Tahoma"/>
        </w:rPr>
        <w:t>noviembre</w:t>
      </w:r>
      <w:r w:rsidRPr="002A7192">
        <w:rPr>
          <w:rStyle w:val="normaltextrun"/>
          <w:rFonts w:ascii="Tahoma" w:hAnsi="Tahoma" w:cs="Tahoma"/>
        </w:rPr>
        <w:t xml:space="preserve"> de 2022</w:t>
      </w:r>
    </w:p>
    <w:p w14:paraId="415C8E5C" w14:textId="77777777" w:rsidR="00C43F4A" w:rsidRPr="002A7192" w:rsidRDefault="00C43F4A" w:rsidP="002A7192">
      <w:pPr>
        <w:spacing w:line="276" w:lineRule="auto"/>
        <w:jc w:val="both"/>
        <w:rPr>
          <w:rFonts w:ascii="Tahoma" w:hAnsi="Tahoma" w:cs="Tahoma"/>
          <w:spacing w:val="2"/>
        </w:rPr>
      </w:pPr>
    </w:p>
    <w:p w14:paraId="7EA20BBE" w14:textId="77777777" w:rsidR="00323254" w:rsidRPr="002A7192" w:rsidRDefault="00323254" w:rsidP="002A7192">
      <w:pPr>
        <w:spacing w:line="276" w:lineRule="auto"/>
        <w:ind w:firstLine="708"/>
        <w:jc w:val="both"/>
        <w:rPr>
          <w:rFonts w:ascii="Tahoma" w:eastAsiaTheme="minorHAnsi" w:hAnsi="Tahoma" w:cs="Tahoma"/>
          <w:lang w:val="es-ES_tradnl" w:eastAsia="en-US"/>
        </w:rPr>
      </w:pPr>
    </w:p>
    <w:p w14:paraId="16CE2BED" w14:textId="0D0851C3" w:rsidR="00C43F4A" w:rsidRPr="00FF384B" w:rsidRDefault="111E3E0C" w:rsidP="002A7192">
      <w:pPr>
        <w:spacing w:line="276" w:lineRule="auto"/>
        <w:ind w:firstLine="708"/>
        <w:jc w:val="both"/>
        <w:rPr>
          <w:rFonts w:ascii="Tahoma" w:eastAsiaTheme="minorEastAsia" w:hAnsi="Tahoma" w:cs="Tahoma"/>
          <w:b/>
          <w:bCs/>
          <w:spacing w:val="-4"/>
          <w:lang w:eastAsia="en-US"/>
        </w:rPr>
      </w:pPr>
      <w:r w:rsidRPr="00FF384B">
        <w:rPr>
          <w:rFonts w:ascii="Tahoma" w:eastAsia="Tahoma" w:hAnsi="Tahoma" w:cs="Tahoma"/>
          <w:color w:val="000000" w:themeColor="text1"/>
          <w:spacing w:val="-4"/>
        </w:rPr>
        <w:t xml:space="preserve">Teniendo en cuenta que el artículo 15 del Decreto No. 806 del 4 de junio de 2020, expedido por el Ministerio de Justicia y del Derecho, adoptado como legislación permanente por medio de la Ley 2213 del 13 de junio de 2022, estableció que en la especialidad laboral se proferirán por escrito las providencias de segunda instancia en las </w:t>
      </w:r>
      <w:r w:rsidRPr="00FF384B">
        <w:rPr>
          <w:rFonts w:ascii="Tahoma" w:eastAsia="Tahoma" w:hAnsi="Tahoma" w:cs="Tahoma"/>
          <w:color w:val="000000" w:themeColor="text1"/>
          <w:spacing w:val="-4"/>
        </w:rPr>
        <w:lastRenderedPageBreak/>
        <w:t xml:space="preserve">que se surta el grado jurisdiccional de consulta o se resuelva el recurso de apelación de autos o sentencias, </w:t>
      </w:r>
      <w:r w:rsidRPr="00FF384B">
        <w:rPr>
          <w:rFonts w:ascii="Tahoma" w:eastAsia="Tahoma" w:hAnsi="Tahoma" w:cs="Tahoma"/>
          <w:color w:val="000000" w:themeColor="text1"/>
          <w:spacing w:val="-4"/>
          <w:lang w:val="es"/>
        </w:rPr>
        <w:t xml:space="preserve">la Sala </w:t>
      </w:r>
      <w:r w:rsidR="0056786F" w:rsidRPr="00FF384B">
        <w:rPr>
          <w:rFonts w:ascii="Tahoma" w:eastAsia="Tahoma" w:hAnsi="Tahoma" w:cs="Tahoma"/>
          <w:color w:val="000000" w:themeColor="text1"/>
          <w:spacing w:val="-4"/>
          <w:lang w:val="es"/>
        </w:rPr>
        <w:t xml:space="preserve">Primera </w:t>
      </w:r>
      <w:r w:rsidRPr="00FF384B">
        <w:rPr>
          <w:rFonts w:ascii="Tahoma" w:eastAsia="Tahoma" w:hAnsi="Tahoma" w:cs="Tahoma"/>
          <w:color w:val="000000" w:themeColor="text1"/>
          <w:spacing w:val="-4"/>
          <w:lang w:val="es"/>
        </w:rPr>
        <w:t>de Decisión Laboral del Tribunal Superior de Pereira, integrada por las Magistradas ANA LUCÍA CAICEDO CALDERÓN como Ponente, OLGA LUCÍA HOYOS SEPÚLVEDA y el Magistrado GERMÁN DARÍO GOEZ VINASCO,</w:t>
      </w:r>
      <w:r w:rsidR="1936E1C7" w:rsidRPr="00FF384B">
        <w:rPr>
          <w:rFonts w:ascii="Tahoma" w:eastAsia="Tahoma" w:hAnsi="Tahoma" w:cs="Tahoma"/>
          <w:color w:val="000000" w:themeColor="text1"/>
          <w:spacing w:val="-4"/>
        </w:rPr>
        <w:t xml:space="preserve"> procede a proferir el siguiente auto escrito dentro del proceso </w:t>
      </w:r>
      <w:r w:rsidR="1936E1C7" w:rsidRPr="00FF384B">
        <w:rPr>
          <w:rFonts w:ascii="Tahoma" w:eastAsia="Tahoma" w:hAnsi="Tahoma" w:cs="Tahoma"/>
          <w:b/>
          <w:color w:val="000000" w:themeColor="text1"/>
          <w:spacing w:val="-4"/>
        </w:rPr>
        <w:t>ordinario laboral</w:t>
      </w:r>
      <w:r w:rsidR="1936E1C7" w:rsidRPr="00FF384B">
        <w:rPr>
          <w:rFonts w:ascii="Tahoma" w:eastAsia="Tahoma" w:hAnsi="Tahoma" w:cs="Tahoma"/>
          <w:color w:val="000000" w:themeColor="text1"/>
          <w:spacing w:val="-4"/>
        </w:rPr>
        <w:t xml:space="preserve"> instaurado por</w:t>
      </w:r>
      <w:r w:rsidR="00C43F4A" w:rsidRPr="00FF384B">
        <w:rPr>
          <w:rFonts w:ascii="Tahoma" w:eastAsiaTheme="minorEastAsia" w:hAnsi="Tahoma" w:cs="Tahoma"/>
          <w:spacing w:val="-4"/>
          <w:lang w:eastAsia="en-US"/>
        </w:rPr>
        <w:t xml:space="preserve"> </w:t>
      </w:r>
      <w:r w:rsidR="001A52D9" w:rsidRPr="00FF384B">
        <w:rPr>
          <w:rFonts w:ascii="Tahoma" w:eastAsiaTheme="minorEastAsia" w:hAnsi="Tahoma" w:cs="Tahoma"/>
          <w:b/>
          <w:bCs/>
          <w:spacing w:val="-4"/>
          <w:lang w:val="es-419" w:eastAsia="en-US"/>
        </w:rPr>
        <w:t xml:space="preserve">Ricaurte Guzmán Quiñonez </w:t>
      </w:r>
      <w:r w:rsidR="00C43F4A" w:rsidRPr="00FF384B">
        <w:rPr>
          <w:rFonts w:ascii="Tahoma" w:eastAsiaTheme="minorEastAsia" w:hAnsi="Tahoma" w:cs="Tahoma"/>
          <w:spacing w:val="-4"/>
          <w:lang w:eastAsia="en-US"/>
        </w:rPr>
        <w:t xml:space="preserve">en contra de </w:t>
      </w:r>
      <w:r w:rsidR="0064697B" w:rsidRPr="00FF384B">
        <w:rPr>
          <w:rFonts w:ascii="Tahoma" w:eastAsiaTheme="minorEastAsia" w:hAnsi="Tahoma" w:cs="Tahoma"/>
          <w:b/>
          <w:bCs/>
          <w:spacing w:val="-4"/>
          <w:lang w:eastAsia="en-US"/>
        </w:rPr>
        <w:t>P</w:t>
      </w:r>
      <w:r w:rsidR="001A52D9" w:rsidRPr="00FF384B">
        <w:rPr>
          <w:rFonts w:ascii="Tahoma" w:eastAsiaTheme="minorEastAsia" w:hAnsi="Tahoma" w:cs="Tahoma"/>
          <w:b/>
          <w:bCs/>
          <w:spacing w:val="-4"/>
          <w:lang w:eastAsia="en-US"/>
        </w:rPr>
        <w:t xml:space="preserve">orvenir </w:t>
      </w:r>
      <w:r w:rsidR="0064697B" w:rsidRPr="00FF384B">
        <w:rPr>
          <w:rFonts w:ascii="Tahoma" w:eastAsiaTheme="minorEastAsia" w:hAnsi="Tahoma" w:cs="Tahoma"/>
          <w:b/>
          <w:bCs/>
          <w:spacing w:val="-4"/>
          <w:lang w:eastAsia="en-US"/>
        </w:rPr>
        <w:t>S.A. y Colpensiones</w:t>
      </w:r>
      <w:r w:rsidR="00C43F4A" w:rsidRPr="00FF384B">
        <w:rPr>
          <w:rFonts w:ascii="Tahoma" w:eastAsiaTheme="minorEastAsia" w:hAnsi="Tahoma" w:cs="Tahoma"/>
          <w:b/>
          <w:bCs/>
          <w:spacing w:val="-4"/>
          <w:lang w:eastAsia="en-US"/>
        </w:rPr>
        <w:t>.</w:t>
      </w:r>
    </w:p>
    <w:p w14:paraId="63A74FB6" w14:textId="77777777" w:rsidR="00323254" w:rsidRPr="00FF384B" w:rsidRDefault="00323254" w:rsidP="002A7192">
      <w:pPr>
        <w:spacing w:line="276" w:lineRule="auto"/>
        <w:jc w:val="both"/>
        <w:rPr>
          <w:rFonts w:ascii="Tahoma" w:eastAsiaTheme="minorHAnsi" w:hAnsi="Tahoma" w:cs="Tahoma"/>
          <w:b/>
          <w:bCs/>
          <w:spacing w:val="-4"/>
          <w:lang w:val="es-ES_tradnl" w:eastAsia="en-US"/>
        </w:rPr>
      </w:pPr>
    </w:p>
    <w:p w14:paraId="7E77E807" w14:textId="77777777" w:rsidR="00C43F4A" w:rsidRPr="00FF384B" w:rsidRDefault="00C43F4A" w:rsidP="002A7192">
      <w:pPr>
        <w:spacing w:line="276" w:lineRule="auto"/>
        <w:jc w:val="center"/>
        <w:rPr>
          <w:rFonts w:ascii="Tahoma" w:eastAsiaTheme="minorHAnsi" w:hAnsi="Tahoma" w:cs="Tahoma"/>
          <w:b/>
          <w:bCs/>
          <w:spacing w:val="-4"/>
          <w:lang w:val="es-CO" w:eastAsia="en-US"/>
        </w:rPr>
      </w:pPr>
      <w:r w:rsidRPr="00FF384B">
        <w:rPr>
          <w:rFonts w:ascii="Tahoma" w:eastAsiaTheme="minorHAnsi" w:hAnsi="Tahoma" w:cs="Tahoma"/>
          <w:b/>
          <w:bCs/>
          <w:spacing w:val="-4"/>
          <w:lang w:val="es-CO" w:eastAsia="en-US"/>
        </w:rPr>
        <w:t>PUNTO A TRATAR</w:t>
      </w:r>
    </w:p>
    <w:p w14:paraId="78EAC090" w14:textId="77777777" w:rsidR="00366A12" w:rsidRPr="00FF384B" w:rsidRDefault="00366A12" w:rsidP="002A7192">
      <w:pPr>
        <w:spacing w:line="276" w:lineRule="auto"/>
        <w:ind w:firstLine="708"/>
        <w:jc w:val="both"/>
        <w:rPr>
          <w:rFonts w:ascii="Tahoma" w:eastAsiaTheme="minorHAnsi" w:hAnsi="Tahoma" w:cs="Tahoma"/>
          <w:spacing w:val="-4"/>
          <w:lang w:val="es-CO" w:eastAsia="en-US"/>
        </w:rPr>
      </w:pPr>
    </w:p>
    <w:p w14:paraId="7019EDE3" w14:textId="3BBB5C4C" w:rsidR="00C43F4A" w:rsidRPr="00FF384B" w:rsidRDefault="00C43F4A" w:rsidP="002A7192">
      <w:pPr>
        <w:spacing w:line="276" w:lineRule="auto"/>
        <w:ind w:firstLine="708"/>
        <w:jc w:val="both"/>
        <w:rPr>
          <w:rFonts w:ascii="Tahoma" w:eastAsiaTheme="minorEastAsia" w:hAnsi="Tahoma" w:cs="Tahoma"/>
          <w:spacing w:val="-4"/>
          <w:lang w:val="es-CO" w:eastAsia="en-US"/>
        </w:rPr>
      </w:pPr>
      <w:r w:rsidRPr="00FF384B">
        <w:rPr>
          <w:rFonts w:ascii="Tahoma" w:eastAsiaTheme="minorEastAsia" w:hAnsi="Tahoma" w:cs="Tahoma"/>
          <w:spacing w:val="-4"/>
          <w:lang w:val="es-CO" w:eastAsia="en-US"/>
        </w:rPr>
        <w:t xml:space="preserve">Por medio de esta providencia </w:t>
      </w:r>
      <w:r w:rsidRPr="00FF384B">
        <w:rPr>
          <w:rFonts w:ascii="Tahoma" w:hAnsi="Tahoma" w:cs="Tahoma"/>
          <w:spacing w:val="-4"/>
        </w:rPr>
        <w:t xml:space="preserve">procede la Sala a resolver el recurso de apelación promovido por </w:t>
      </w:r>
      <w:r w:rsidR="0056786F" w:rsidRPr="00FF384B">
        <w:rPr>
          <w:rFonts w:ascii="Tahoma" w:hAnsi="Tahoma" w:cs="Tahoma"/>
          <w:spacing w:val="-4"/>
        </w:rPr>
        <w:t>e</w:t>
      </w:r>
      <w:r w:rsidR="0064697B" w:rsidRPr="00FF384B">
        <w:rPr>
          <w:rFonts w:ascii="Tahoma" w:hAnsi="Tahoma" w:cs="Tahoma"/>
          <w:spacing w:val="-4"/>
        </w:rPr>
        <w:t>l apoderad</w:t>
      </w:r>
      <w:r w:rsidR="0056786F" w:rsidRPr="00FF384B">
        <w:rPr>
          <w:rFonts w:ascii="Tahoma" w:hAnsi="Tahoma" w:cs="Tahoma"/>
          <w:spacing w:val="-4"/>
        </w:rPr>
        <w:t>o</w:t>
      </w:r>
      <w:r w:rsidR="0064697B" w:rsidRPr="00FF384B">
        <w:rPr>
          <w:rFonts w:ascii="Tahoma" w:hAnsi="Tahoma" w:cs="Tahoma"/>
          <w:spacing w:val="-4"/>
        </w:rPr>
        <w:t xml:space="preserve"> judicial de </w:t>
      </w:r>
      <w:r w:rsidR="0056786F" w:rsidRPr="00FF384B">
        <w:rPr>
          <w:rFonts w:ascii="Tahoma" w:hAnsi="Tahoma" w:cs="Tahoma"/>
          <w:spacing w:val="-4"/>
        </w:rPr>
        <w:t xml:space="preserve">la parte demandante </w:t>
      </w:r>
      <w:r w:rsidRPr="00FF384B">
        <w:rPr>
          <w:rFonts w:ascii="Tahoma" w:hAnsi="Tahoma" w:cs="Tahoma"/>
          <w:spacing w:val="-4"/>
        </w:rPr>
        <w:t xml:space="preserve">en contra del auto del </w:t>
      </w:r>
      <w:r w:rsidR="0056786F" w:rsidRPr="00FF384B">
        <w:rPr>
          <w:rFonts w:ascii="Tahoma" w:hAnsi="Tahoma" w:cs="Tahoma"/>
          <w:spacing w:val="-4"/>
        </w:rPr>
        <w:t>11</w:t>
      </w:r>
      <w:r w:rsidRPr="00FF384B">
        <w:rPr>
          <w:rFonts w:ascii="Tahoma" w:hAnsi="Tahoma" w:cs="Tahoma"/>
          <w:spacing w:val="-4"/>
        </w:rPr>
        <w:t xml:space="preserve"> de </w:t>
      </w:r>
      <w:r w:rsidR="0056786F" w:rsidRPr="00FF384B">
        <w:rPr>
          <w:rFonts w:ascii="Tahoma" w:hAnsi="Tahoma" w:cs="Tahoma"/>
          <w:spacing w:val="-4"/>
        </w:rPr>
        <w:t xml:space="preserve">julio </w:t>
      </w:r>
      <w:r w:rsidR="001E4DD4" w:rsidRPr="00FF384B">
        <w:rPr>
          <w:rFonts w:ascii="Tahoma" w:hAnsi="Tahoma" w:cs="Tahoma"/>
          <w:spacing w:val="-4"/>
        </w:rPr>
        <w:t>de 2022</w:t>
      </w:r>
      <w:r w:rsidRPr="00FF384B">
        <w:rPr>
          <w:rFonts w:ascii="Tahoma" w:hAnsi="Tahoma" w:cs="Tahoma"/>
          <w:spacing w:val="-4"/>
        </w:rPr>
        <w:t>, por medio del cual</w:t>
      </w:r>
      <w:r w:rsidR="00C04826" w:rsidRPr="00FF384B">
        <w:rPr>
          <w:rFonts w:ascii="Tahoma" w:hAnsi="Tahoma" w:cs="Tahoma"/>
          <w:spacing w:val="-4"/>
        </w:rPr>
        <w:t xml:space="preserve"> se a</w:t>
      </w:r>
      <w:r w:rsidR="00C04826" w:rsidRPr="00FF384B">
        <w:rPr>
          <w:rFonts w:ascii="Tahoma" w:eastAsiaTheme="minorEastAsia" w:hAnsi="Tahoma" w:cs="Tahoma"/>
          <w:spacing w:val="-4"/>
          <w:lang w:val="es-CO" w:eastAsia="en-US"/>
        </w:rPr>
        <w:t xml:space="preserve">probó la liquidación de las costas realizada por la secretaría del juzgado </w:t>
      </w:r>
      <w:r w:rsidRPr="00FF384B">
        <w:rPr>
          <w:rFonts w:ascii="Tahoma" w:eastAsiaTheme="minorEastAsia" w:hAnsi="Tahoma" w:cs="Tahoma"/>
          <w:spacing w:val="-4"/>
          <w:lang w:val="es-CO" w:eastAsia="en-US"/>
        </w:rPr>
        <w:t>de conocimiento. Para ello se tiene en cuenta lo siguiente: </w:t>
      </w:r>
    </w:p>
    <w:p w14:paraId="21AE97A0" w14:textId="77777777" w:rsidR="00FD41A6" w:rsidRPr="00FF384B" w:rsidRDefault="00FD41A6" w:rsidP="002A7192">
      <w:pPr>
        <w:spacing w:line="276" w:lineRule="auto"/>
        <w:ind w:firstLine="708"/>
        <w:rPr>
          <w:rFonts w:ascii="Tahoma" w:hAnsi="Tahoma" w:cs="Tahoma"/>
          <w:b/>
          <w:bCs/>
          <w:spacing w:val="-4"/>
        </w:rPr>
      </w:pPr>
    </w:p>
    <w:p w14:paraId="720A10B9" w14:textId="77777777" w:rsidR="0064697B" w:rsidRPr="00FF384B" w:rsidRDefault="0064697B" w:rsidP="002A7192">
      <w:pPr>
        <w:pStyle w:val="Prrafodelista"/>
        <w:numPr>
          <w:ilvl w:val="0"/>
          <w:numId w:val="7"/>
        </w:numPr>
        <w:tabs>
          <w:tab w:val="left" w:pos="284"/>
        </w:tabs>
        <w:spacing w:line="276" w:lineRule="auto"/>
        <w:jc w:val="center"/>
        <w:rPr>
          <w:rFonts w:ascii="Tahoma" w:hAnsi="Tahoma" w:cs="Tahoma"/>
          <w:b/>
          <w:bCs/>
          <w:spacing w:val="-4"/>
        </w:rPr>
      </w:pPr>
      <w:r w:rsidRPr="00FF384B">
        <w:rPr>
          <w:rFonts w:ascii="Tahoma" w:hAnsi="Tahoma" w:cs="Tahoma"/>
          <w:b/>
          <w:bCs/>
          <w:spacing w:val="-4"/>
        </w:rPr>
        <w:t>Antecedentes Procesales</w:t>
      </w:r>
    </w:p>
    <w:p w14:paraId="0730843E" w14:textId="77777777" w:rsidR="0064697B" w:rsidRPr="00FF384B" w:rsidRDefault="0064697B" w:rsidP="002A7192">
      <w:pPr>
        <w:tabs>
          <w:tab w:val="left" w:pos="284"/>
        </w:tabs>
        <w:spacing w:line="276" w:lineRule="auto"/>
        <w:rPr>
          <w:rFonts w:ascii="Tahoma" w:hAnsi="Tahoma" w:cs="Tahoma"/>
          <w:b/>
          <w:bCs/>
          <w:spacing w:val="-4"/>
        </w:rPr>
      </w:pPr>
      <w:r w:rsidRPr="00FF384B">
        <w:rPr>
          <w:rFonts w:ascii="Tahoma" w:hAnsi="Tahoma" w:cs="Tahoma"/>
          <w:b/>
          <w:bCs/>
          <w:spacing w:val="-4"/>
        </w:rPr>
        <w:tab/>
      </w:r>
    </w:p>
    <w:p w14:paraId="542781F0" w14:textId="12A806FA" w:rsidR="0056786F" w:rsidRPr="00FF384B" w:rsidRDefault="0064697B" w:rsidP="002A7192">
      <w:pPr>
        <w:spacing w:line="276" w:lineRule="auto"/>
        <w:ind w:firstLine="708"/>
        <w:jc w:val="both"/>
        <w:rPr>
          <w:rFonts w:ascii="Tahoma" w:hAnsi="Tahoma" w:cs="Tahoma"/>
          <w:spacing w:val="-4"/>
        </w:rPr>
      </w:pPr>
      <w:r w:rsidRPr="00FF384B">
        <w:rPr>
          <w:rFonts w:ascii="Tahoma" w:hAnsi="Tahoma" w:cs="Tahoma"/>
          <w:spacing w:val="-4"/>
        </w:rPr>
        <w:t xml:space="preserve">Para mejor proveer conviene indicar que en sentencia de primera </w:t>
      </w:r>
      <w:r w:rsidR="00E725DA" w:rsidRPr="00FF384B">
        <w:rPr>
          <w:rFonts w:ascii="Tahoma" w:hAnsi="Tahoma" w:cs="Tahoma"/>
          <w:spacing w:val="-4"/>
        </w:rPr>
        <w:t>instancia</w:t>
      </w:r>
      <w:r w:rsidR="00537904" w:rsidRPr="00FF384B">
        <w:rPr>
          <w:rFonts w:ascii="Tahoma" w:hAnsi="Tahoma" w:cs="Tahoma"/>
          <w:spacing w:val="-4"/>
        </w:rPr>
        <w:t>,</w:t>
      </w:r>
      <w:r w:rsidR="00E725DA" w:rsidRPr="00FF384B">
        <w:rPr>
          <w:rFonts w:ascii="Tahoma" w:hAnsi="Tahoma" w:cs="Tahoma"/>
          <w:spacing w:val="-4"/>
        </w:rPr>
        <w:t xml:space="preserve"> proferida el </w:t>
      </w:r>
      <w:r w:rsidR="0056786F" w:rsidRPr="00FF384B">
        <w:rPr>
          <w:rFonts w:ascii="Tahoma" w:hAnsi="Tahoma" w:cs="Tahoma"/>
          <w:spacing w:val="-4"/>
        </w:rPr>
        <w:t>28</w:t>
      </w:r>
      <w:r w:rsidR="00E8520A" w:rsidRPr="00FF384B">
        <w:rPr>
          <w:rFonts w:ascii="Tahoma" w:hAnsi="Tahoma" w:cs="Tahoma"/>
          <w:spacing w:val="-4"/>
        </w:rPr>
        <w:t xml:space="preserve"> de </w:t>
      </w:r>
      <w:r w:rsidR="0056786F" w:rsidRPr="00FF384B">
        <w:rPr>
          <w:rFonts w:ascii="Tahoma" w:hAnsi="Tahoma" w:cs="Tahoma"/>
          <w:spacing w:val="-4"/>
        </w:rPr>
        <w:t xml:space="preserve">septiembre </w:t>
      </w:r>
      <w:r w:rsidR="00E8520A" w:rsidRPr="00FF384B">
        <w:rPr>
          <w:rFonts w:ascii="Tahoma" w:hAnsi="Tahoma" w:cs="Tahoma"/>
          <w:spacing w:val="-4"/>
        </w:rPr>
        <w:t>de 2021</w:t>
      </w:r>
      <w:r w:rsidR="00E725DA" w:rsidRPr="00FF384B">
        <w:rPr>
          <w:rFonts w:ascii="Tahoma" w:hAnsi="Tahoma" w:cs="Tahoma"/>
          <w:spacing w:val="-4"/>
        </w:rPr>
        <w:t xml:space="preserve">, </w:t>
      </w:r>
      <w:r w:rsidR="000A7922" w:rsidRPr="00FF384B">
        <w:rPr>
          <w:rFonts w:ascii="Tahoma" w:hAnsi="Tahoma" w:cs="Tahoma"/>
          <w:spacing w:val="-4"/>
        </w:rPr>
        <w:t xml:space="preserve">se </w:t>
      </w:r>
      <w:r w:rsidR="0056786F" w:rsidRPr="00FF384B">
        <w:rPr>
          <w:rFonts w:ascii="Tahoma" w:hAnsi="Tahoma" w:cs="Tahoma"/>
          <w:spacing w:val="-4"/>
        </w:rPr>
        <w:t>negaron las pretensiones del demandante, tendientes a obtener el reconocimiento de la pensión de invalidez</w:t>
      </w:r>
      <w:r w:rsidR="002A4B74" w:rsidRPr="00FF384B">
        <w:rPr>
          <w:rFonts w:ascii="Tahoma" w:hAnsi="Tahoma" w:cs="Tahoma"/>
          <w:spacing w:val="-4"/>
        </w:rPr>
        <w:t>, y se lo condenó al pago del 100% de las costas procesales a favor de Porvenir S.A</w:t>
      </w:r>
      <w:r w:rsidR="0056786F" w:rsidRPr="00FF384B">
        <w:rPr>
          <w:rFonts w:ascii="Tahoma" w:hAnsi="Tahoma" w:cs="Tahoma"/>
          <w:spacing w:val="-4"/>
        </w:rPr>
        <w:t>.</w:t>
      </w:r>
    </w:p>
    <w:p w14:paraId="50E451EA" w14:textId="622761A9" w:rsidR="00537904" w:rsidRPr="00FF384B" w:rsidRDefault="00537904" w:rsidP="002A7192">
      <w:pPr>
        <w:spacing w:line="276" w:lineRule="auto"/>
        <w:jc w:val="both"/>
        <w:rPr>
          <w:rFonts w:ascii="Tahoma" w:hAnsi="Tahoma" w:cs="Tahoma"/>
          <w:spacing w:val="-4"/>
        </w:rPr>
      </w:pPr>
    </w:p>
    <w:p w14:paraId="08991663" w14:textId="27A03A5C" w:rsidR="002A4B74" w:rsidRPr="00FF384B" w:rsidRDefault="00537904" w:rsidP="002A7192">
      <w:pPr>
        <w:spacing w:line="276" w:lineRule="auto"/>
        <w:ind w:firstLine="708"/>
        <w:jc w:val="both"/>
        <w:rPr>
          <w:rFonts w:ascii="Tahoma" w:hAnsi="Tahoma" w:cs="Tahoma"/>
          <w:spacing w:val="-4"/>
        </w:rPr>
      </w:pPr>
      <w:r w:rsidRPr="00FF384B">
        <w:rPr>
          <w:rFonts w:ascii="Tahoma" w:hAnsi="Tahoma" w:cs="Tahoma"/>
          <w:spacing w:val="-4"/>
        </w:rPr>
        <w:t xml:space="preserve">En sentencia de segunda instancia, emitida </w:t>
      </w:r>
      <w:r w:rsidR="0064697B" w:rsidRPr="00FF384B">
        <w:rPr>
          <w:rFonts w:ascii="Tahoma" w:hAnsi="Tahoma" w:cs="Tahoma"/>
          <w:spacing w:val="-4"/>
        </w:rPr>
        <w:t xml:space="preserve">el </w:t>
      </w:r>
      <w:r w:rsidR="002A4B74" w:rsidRPr="00FF384B">
        <w:rPr>
          <w:rFonts w:ascii="Tahoma" w:hAnsi="Tahoma" w:cs="Tahoma"/>
          <w:spacing w:val="-4"/>
        </w:rPr>
        <w:t>14</w:t>
      </w:r>
      <w:r w:rsidR="005416B5" w:rsidRPr="00FF384B">
        <w:rPr>
          <w:rFonts w:ascii="Tahoma" w:hAnsi="Tahoma" w:cs="Tahoma"/>
          <w:spacing w:val="-4"/>
        </w:rPr>
        <w:t xml:space="preserve"> de </w:t>
      </w:r>
      <w:r w:rsidR="002A4B74" w:rsidRPr="00FF384B">
        <w:rPr>
          <w:rFonts w:ascii="Tahoma" w:hAnsi="Tahoma" w:cs="Tahoma"/>
          <w:spacing w:val="-4"/>
        </w:rPr>
        <w:t xml:space="preserve">marzo </w:t>
      </w:r>
      <w:r w:rsidR="001A52D9" w:rsidRPr="00FF384B">
        <w:rPr>
          <w:rFonts w:ascii="Tahoma" w:hAnsi="Tahoma" w:cs="Tahoma"/>
          <w:spacing w:val="-4"/>
        </w:rPr>
        <w:t>de 2022</w:t>
      </w:r>
      <w:r w:rsidR="0064697B" w:rsidRPr="00FF384B">
        <w:rPr>
          <w:rFonts w:ascii="Tahoma" w:hAnsi="Tahoma" w:cs="Tahoma"/>
          <w:spacing w:val="-4"/>
        </w:rPr>
        <w:t>, se</w:t>
      </w:r>
      <w:r w:rsidRPr="00FF384B">
        <w:rPr>
          <w:rFonts w:ascii="Tahoma" w:hAnsi="Tahoma" w:cs="Tahoma"/>
          <w:spacing w:val="-4"/>
        </w:rPr>
        <w:t xml:space="preserve"> </w:t>
      </w:r>
      <w:r w:rsidR="002A4B74" w:rsidRPr="00FF384B">
        <w:rPr>
          <w:rFonts w:ascii="Tahoma" w:hAnsi="Tahoma" w:cs="Tahoma"/>
          <w:spacing w:val="-4"/>
        </w:rPr>
        <w:t>confirmó el fallo de primer grado y se condenó igualmente al gestor del pleito a cancelar el 100% de las costas procesales de segundo grado a la AFP accionada.</w:t>
      </w:r>
    </w:p>
    <w:p w14:paraId="68FBF4CA" w14:textId="5E664EA8" w:rsidR="000A46A7" w:rsidRPr="00FF384B" w:rsidRDefault="000A46A7" w:rsidP="002A7192">
      <w:pPr>
        <w:spacing w:line="276" w:lineRule="auto"/>
        <w:rPr>
          <w:rFonts w:ascii="Tahoma" w:hAnsi="Tahoma" w:cs="Tahoma"/>
          <w:spacing w:val="-4"/>
        </w:rPr>
      </w:pPr>
    </w:p>
    <w:p w14:paraId="0C002898" w14:textId="77777777" w:rsidR="0064697B" w:rsidRPr="00FF384B" w:rsidRDefault="0064697B" w:rsidP="002A7192">
      <w:pPr>
        <w:pStyle w:val="Prrafodelista"/>
        <w:numPr>
          <w:ilvl w:val="0"/>
          <w:numId w:val="7"/>
        </w:numPr>
        <w:tabs>
          <w:tab w:val="left" w:pos="284"/>
        </w:tabs>
        <w:spacing w:line="276" w:lineRule="auto"/>
        <w:jc w:val="center"/>
        <w:rPr>
          <w:rFonts w:ascii="Tahoma" w:hAnsi="Tahoma" w:cs="Tahoma"/>
          <w:b/>
          <w:bCs/>
          <w:spacing w:val="-4"/>
        </w:rPr>
      </w:pPr>
      <w:r w:rsidRPr="00FF384B">
        <w:rPr>
          <w:rFonts w:ascii="Tahoma" w:hAnsi="Tahoma" w:cs="Tahoma"/>
          <w:b/>
          <w:bCs/>
          <w:spacing w:val="-4"/>
        </w:rPr>
        <w:t>Auto objeto de apelación</w:t>
      </w:r>
    </w:p>
    <w:p w14:paraId="1CAD279B" w14:textId="77777777" w:rsidR="009D1521" w:rsidRPr="00FF384B" w:rsidRDefault="009D1521" w:rsidP="002A7192">
      <w:pPr>
        <w:spacing w:line="276" w:lineRule="auto"/>
        <w:ind w:firstLine="708"/>
        <w:jc w:val="both"/>
        <w:rPr>
          <w:rFonts w:ascii="Tahoma" w:hAnsi="Tahoma" w:cs="Tahoma"/>
          <w:spacing w:val="-4"/>
        </w:rPr>
      </w:pPr>
    </w:p>
    <w:p w14:paraId="49901F23" w14:textId="769793FD" w:rsidR="0064697B" w:rsidRPr="00FF384B" w:rsidRDefault="0064697B" w:rsidP="002A7192">
      <w:pPr>
        <w:spacing w:line="276" w:lineRule="auto"/>
        <w:ind w:firstLine="708"/>
        <w:jc w:val="both"/>
        <w:rPr>
          <w:rFonts w:ascii="Tahoma" w:hAnsi="Tahoma" w:cs="Tahoma"/>
          <w:spacing w:val="-4"/>
        </w:rPr>
      </w:pPr>
      <w:r w:rsidRPr="00FF384B">
        <w:rPr>
          <w:rFonts w:ascii="Tahoma" w:hAnsi="Tahoma" w:cs="Tahoma"/>
          <w:spacing w:val="-4"/>
        </w:rPr>
        <w:t xml:space="preserve">Una vez allegado el expediente al juzgado de origen, mediante auto del </w:t>
      </w:r>
      <w:r w:rsidR="002A4B74" w:rsidRPr="00FF384B">
        <w:rPr>
          <w:rFonts w:ascii="Tahoma" w:hAnsi="Tahoma" w:cs="Tahoma"/>
          <w:spacing w:val="-4"/>
        </w:rPr>
        <w:t>11</w:t>
      </w:r>
      <w:r w:rsidR="002622FF" w:rsidRPr="00FF384B">
        <w:rPr>
          <w:rFonts w:ascii="Tahoma" w:hAnsi="Tahoma" w:cs="Tahoma"/>
          <w:spacing w:val="-4"/>
        </w:rPr>
        <w:t xml:space="preserve"> de </w:t>
      </w:r>
      <w:r w:rsidR="002A4B74" w:rsidRPr="00FF384B">
        <w:rPr>
          <w:rFonts w:ascii="Tahoma" w:hAnsi="Tahoma" w:cs="Tahoma"/>
          <w:spacing w:val="-4"/>
        </w:rPr>
        <w:t xml:space="preserve">julio </w:t>
      </w:r>
      <w:r w:rsidR="002622FF" w:rsidRPr="00FF384B">
        <w:rPr>
          <w:rFonts w:ascii="Tahoma" w:hAnsi="Tahoma" w:cs="Tahoma"/>
          <w:spacing w:val="-4"/>
        </w:rPr>
        <w:t>de 2022</w:t>
      </w:r>
      <w:r w:rsidRPr="00FF384B">
        <w:rPr>
          <w:rFonts w:ascii="Tahoma" w:hAnsi="Tahoma" w:cs="Tahoma"/>
          <w:spacing w:val="-4"/>
        </w:rPr>
        <w:t xml:space="preserve"> se </w:t>
      </w:r>
      <w:r w:rsidR="00C04826" w:rsidRPr="00FF384B">
        <w:rPr>
          <w:rFonts w:ascii="Tahoma" w:hAnsi="Tahoma" w:cs="Tahoma"/>
          <w:spacing w:val="-4"/>
        </w:rPr>
        <w:t xml:space="preserve">aprobó la liquidación de las costas efectuada por la secretaría del despacho de conocimiento </w:t>
      </w:r>
      <w:r w:rsidRPr="00FF384B">
        <w:rPr>
          <w:rFonts w:ascii="Tahoma" w:hAnsi="Tahoma" w:cs="Tahoma"/>
          <w:spacing w:val="-4"/>
        </w:rPr>
        <w:t>en el siguiente sentido:</w:t>
      </w:r>
    </w:p>
    <w:p w14:paraId="30154979" w14:textId="77777777" w:rsidR="00D72843" w:rsidRPr="00FF384B" w:rsidRDefault="00D72843" w:rsidP="002A7192">
      <w:pPr>
        <w:spacing w:line="276" w:lineRule="auto"/>
        <w:ind w:firstLine="708"/>
        <w:jc w:val="both"/>
        <w:rPr>
          <w:rFonts w:ascii="Tahoma" w:hAnsi="Tahoma" w:cs="Tahoma"/>
          <w:spacing w:val="-4"/>
        </w:rPr>
      </w:pPr>
    </w:p>
    <w:p w14:paraId="4EC3BC15" w14:textId="3B656AFB" w:rsidR="00AD0BAB" w:rsidRPr="00FF384B" w:rsidRDefault="008D751A" w:rsidP="002A7192">
      <w:pPr>
        <w:spacing w:line="276" w:lineRule="auto"/>
        <w:jc w:val="center"/>
        <w:rPr>
          <w:rFonts w:ascii="Tahoma" w:hAnsi="Tahoma" w:cs="Tahoma"/>
          <w:spacing w:val="-4"/>
        </w:rPr>
      </w:pPr>
      <w:r w:rsidRPr="00FF384B">
        <w:rPr>
          <w:rFonts w:ascii="Tahoma" w:hAnsi="Tahoma" w:cs="Tahoma"/>
          <w:noProof/>
          <w:spacing w:val="-4"/>
        </w:rPr>
        <w:drawing>
          <wp:inline distT="0" distB="0" distL="0" distR="0" wp14:anchorId="5B2C835F" wp14:editId="08F76396">
            <wp:extent cx="5002256" cy="3090440"/>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1">
                      <a:extLst>
                        <a:ext uri="{28A0092B-C50C-407E-A947-70E740481C1C}">
                          <a14:useLocalDpi xmlns:a14="http://schemas.microsoft.com/office/drawing/2010/main" val="0"/>
                        </a:ext>
                      </a:extLst>
                    </a:blip>
                    <a:srcRect l="18920" t="22825" r="19653" b="16454"/>
                    <a:stretch/>
                  </pic:blipFill>
                  <pic:spPr bwMode="auto">
                    <a:xfrm>
                      <a:off x="0" y="0"/>
                      <a:ext cx="5045445" cy="3117123"/>
                    </a:xfrm>
                    <a:prstGeom prst="rect">
                      <a:avLst/>
                    </a:prstGeom>
                    <a:ln>
                      <a:noFill/>
                    </a:ln>
                    <a:extLst>
                      <a:ext uri="{53640926-AAD7-44D8-BBD7-CCE9431645EC}">
                        <a14:shadowObscured xmlns:a14="http://schemas.microsoft.com/office/drawing/2010/main"/>
                      </a:ext>
                    </a:extLst>
                  </pic:spPr>
                </pic:pic>
              </a:graphicData>
            </a:graphic>
          </wp:inline>
        </w:drawing>
      </w:r>
    </w:p>
    <w:p w14:paraId="3CC5F98C" w14:textId="77777777" w:rsidR="008D751A" w:rsidRPr="00FF384B" w:rsidRDefault="008D751A" w:rsidP="002A7192">
      <w:pPr>
        <w:spacing w:line="276" w:lineRule="auto"/>
        <w:jc w:val="center"/>
        <w:rPr>
          <w:rFonts w:ascii="Tahoma" w:hAnsi="Tahoma" w:cs="Tahoma"/>
          <w:spacing w:val="-4"/>
        </w:rPr>
      </w:pPr>
    </w:p>
    <w:p w14:paraId="1D94E519" w14:textId="77777777" w:rsidR="0064697B" w:rsidRPr="00FF384B" w:rsidRDefault="0064697B" w:rsidP="002A7192">
      <w:pPr>
        <w:pStyle w:val="Prrafodelista"/>
        <w:numPr>
          <w:ilvl w:val="0"/>
          <w:numId w:val="7"/>
        </w:numPr>
        <w:tabs>
          <w:tab w:val="left" w:pos="284"/>
        </w:tabs>
        <w:spacing w:line="276" w:lineRule="auto"/>
        <w:jc w:val="center"/>
        <w:rPr>
          <w:rFonts w:ascii="Tahoma" w:hAnsi="Tahoma" w:cs="Tahoma"/>
          <w:b/>
          <w:bCs/>
          <w:spacing w:val="-4"/>
        </w:rPr>
      </w:pPr>
      <w:r w:rsidRPr="00FF384B">
        <w:rPr>
          <w:rFonts w:ascii="Tahoma" w:hAnsi="Tahoma" w:cs="Tahoma"/>
          <w:b/>
          <w:bCs/>
          <w:spacing w:val="-4"/>
        </w:rPr>
        <w:lastRenderedPageBreak/>
        <w:t>Recurso de apelación</w:t>
      </w:r>
    </w:p>
    <w:p w14:paraId="7425B3E4" w14:textId="77777777" w:rsidR="0064697B" w:rsidRPr="00FF384B" w:rsidRDefault="0064697B" w:rsidP="002A7192">
      <w:pPr>
        <w:spacing w:line="276" w:lineRule="auto"/>
        <w:ind w:firstLine="708"/>
        <w:rPr>
          <w:rFonts w:ascii="Tahoma" w:hAnsi="Tahoma" w:cs="Tahoma"/>
          <w:spacing w:val="-4"/>
          <w:lang w:val="es-419"/>
        </w:rPr>
      </w:pPr>
    </w:p>
    <w:p w14:paraId="4663BBE8" w14:textId="5D18FC7C" w:rsidR="008D751A" w:rsidRPr="00FF384B" w:rsidRDefault="00692AFE" w:rsidP="002A7192">
      <w:pPr>
        <w:pStyle w:val="Prrafodelista"/>
        <w:tabs>
          <w:tab w:val="left" w:pos="284"/>
        </w:tabs>
        <w:spacing w:line="276" w:lineRule="auto"/>
        <w:ind w:left="0" w:firstLine="709"/>
        <w:rPr>
          <w:rFonts w:ascii="Tahoma" w:eastAsia="Times New Roman" w:hAnsi="Tahoma" w:cs="Tahoma"/>
          <w:spacing w:val="-4"/>
          <w:lang w:val="es-419" w:eastAsia="es-ES"/>
        </w:rPr>
      </w:pPr>
      <w:r w:rsidRPr="00FF384B">
        <w:rPr>
          <w:rFonts w:ascii="Tahoma" w:eastAsia="Times New Roman" w:hAnsi="Tahoma" w:cs="Tahoma"/>
          <w:spacing w:val="-4"/>
          <w:lang w:val="es-419" w:eastAsia="es-ES"/>
        </w:rPr>
        <w:t>El apoderado de</w:t>
      </w:r>
      <w:r w:rsidR="008D751A" w:rsidRPr="00FF384B">
        <w:rPr>
          <w:rFonts w:ascii="Tahoma" w:eastAsia="Times New Roman" w:hAnsi="Tahoma" w:cs="Tahoma"/>
          <w:spacing w:val="-4"/>
          <w:lang w:val="es-419" w:eastAsia="es-ES"/>
        </w:rPr>
        <w:t xml:space="preserve">l señor Ricaurte Guzmán apeló la decisión arguyendo que </w:t>
      </w:r>
      <w:r w:rsidR="00BB400B" w:rsidRPr="00FF384B">
        <w:rPr>
          <w:rFonts w:ascii="Tahoma" w:eastAsia="Times New Roman" w:hAnsi="Tahoma" w:cs="Tahoma"/>
          <w:spacing w:val="-4"/>
          <w:lang w:val="es-419" w:eastAsia="es-ES"/>
        </w:rPr>
        <w:t xml:space="preserve">la suma a las que fue condenado su cliente no tuvo en cuenta </w:t>
      </w:r>
      <w:r w:rsidR="008D751A" w:rsidRPr="00FF384B">
        <w:rPr>
          <w:rFonts w:ascii="Tahoma" w:eastAsia="Times New Roman" w:hAnsi="Tahoma" w:cs="Tahoma"/>
          <w:spacing w:val="-4"/>
          <w:lang w:val="es-419" w:eastAsia="es-ES"/>
        </w:rPr>
        <w:t xml:space="preserve">las diferencias económicas </w:t>
      </w:r>
      <w:r w:rsidR="00BB400B" w:rsidRPr="00FF384B">
        <w:rPr>
          <w:rFonts w:ascii="Tahoma" w:eastAsia="Times New Roman" w:hAnsi="Tahoma" w:cs="Tahoma"/>
          <w:spacing w:val="-4"/>
          <w:lang w:val="es-419" w:eastAsia="es-ES"/>
        </w:rPr>
        <w:t>existentens e</w:t>
      </w:r>
      <w:r w:rsidR="008D751A" w:rsidRPr="00FF384B">
        <w:rPr>
          <w:rFonts w:ascii="Tahoma" w:eastAsia="Times New Roman" w:hAnsi="Tahoma" w:cs="Tahoma"/>
          <w:spacing w:val="-4"/>
          <w:lang w:val="es-419" w:eastAsia="es-ES"/>
        </w:rPr>
        <w:t>ntre las partes</w:t>
      </w:r>
      <w:r w:rsidR="00BB400B" w:rsidRPr="00FF384B">
        <w:rPr>
          <w:rFonts w:ascii="Tahoma" w:eastAsia="Times New Roman" w:hAnsi="Tahoma" w:cs="Tahoma"/>
          <w:spacing w:val="-4"/>
          <w:lang w:val="es-419" w:eastAsia="es-ES"/>
        </w:rPr>
        <w:t xml:space="preserve">, ni </w:t>
      </w:r>
      <w:r w:rsidR="008D751A" w:rsidRPr="00FF384B">
        <w:rPr>
          <w:rFonts w:ascii="Tahoma" w:eastAsia="Times New Roman" w:hAnsi="Tahoma" w:cs="Tahoma"/>
          <w:spacing w:val="-4"/>
          <w:lang w:val="es-419" w:eastAsia="es-ES"/>
        </w:rPr>
        <w:t xml:space="preserve">las cargas que </w:t>
      </w:r>
      <w:r w:rsidR="00BB400B" w:rsidRPr="00FF384B">
        <w:rPr>
          <w:rFonts w:ascii="Tahoma" w:eastAsia="Times New Roman" w:hAnsi="Tahoma" w:cs="Tahoma"/>
          <w:spacing w:val="-4"/>
          <w:lang w:val="es-419" w:eastAsia="es-ES"/>
        </w:rPr>
        <w:t>ellas</w:t>
      </w:r>
      <w:r w:rsidR="008D751A" w:rsidRPr="00FF384B">
        <w:rPr>
          <w:rFonts w:ascii="Tahoma" w:eastAsia="Times New Roman" w:hAnsi="Tahoma" w:cs="Tahoma"/>
          <w:spacing w:val="-4"/>
          <w:lang w:val="es-419" w:eastAsia="es-ES"/>
        </w:rPr>
        <w:t xml:space="preserve"> asumieron en el curso del proceso; resaltando que su prohijado es una persona que padece de una pérdida de capacidad laboral </w:t>
      </w:r>
      <w:r w:rsidR="00BB400B" w:rsidRPr="00FF384B">
        <w:rPr>
          <w:rFonts w:ascii="Tahoma" w:eastAsia="Times New Roman" w:hAnsi="Tahoma" w:cs="Tahoma"/>
          <w:spacing w:val="-4"/>
          <w:lang w:val="es-419" w:eastAsia="es-ES"/>
        </w:rPr>
        <w:t xml:space="preserve">del 23,63%, de carácter progresivo, y su capacidad económica </w:t>
      </w:r>
      <w:r w:rsidR="00D72843" w:rsidRPr="00FF384B">
        <w:rPr>
          <w:rFonts w:ascii="Tahoma" w:eastAsia="Times New Roman" w:hAnsi="Tahoma" w:cs="Tahoma"/>
          <w:spacing w:val="-4"/>
          <w:lang w:val="es-419" w:eastAsia="es-ES"/>
        </w:rPr>
        <w:t xml:space="preserve">es </w:t>
      </w:r>
      <w:r w:rsidR="00BB400B" w:rsidRPr="00FF384B">
        <w:rPr>
          <w:rFonts w:ascii="Tahoma" w:eastAsia="Times New Roman" w:hAnsi="Tahoma" w:cs="Tahoma"/>
          <w:spacing w:val="-4"/>
          <w:lang w:val="es-419" w:eastAsia="es-ES"/>
        </w:rPr>
        <w:t xml:space="preserve">leve, mientras la entidad demandada </w:t>
      </w:r>
      <w:r w:rsidR="005263CC" w:rsidRPr="00FF384B">
        <w:rPr>
          <w:rFonts w:ascii="Tahoma" w:eastAsia="Times New Roman" w:hAnsi="Tahoma" w:cs="Tahoma"/>
          <w:spacing w:val="-4"/>
          <w:lang w:val="es-419" w:eastAsia="es-ES"/>
        </w:rPr>
        <w:t>tiene unos ingresos elevado</w:t>
      </w:r>
      <w:r w:rsidR="00D72843" w:rsidRPr="00FF384B">
        <w:rPr>
          <w:rFonts w:ascii="Tahoma" w:eastAsia="Times New Roman" w:hAnsi="Tahoma" w:cs="Tahoma"/>
          <w:spacing w:val="-4"/>
          <w:lang w:val="es-419" w:eastAsia="es-ES"/>
        </w:rPr>
        <w:t>s</w:t>
      </w:r>
      <w:r w:rsidR="005263CC" w:rsidRPr="00FF384B">
        <w:rPr>
          <w:rFonts w:ascii="Tahoma" w:eastAsia="Times New Roman" w:hAnsi="Tahoma" w:cs="Tahoma"/>
          <w:spacing w:val="-4"/>
          <w:lang w:val="es-419" w:eastAsia="es-ES"/>
        </w:rPr>
        <w:t xml:space="preserve"> al </w:t>
      </w:r>
      <w:r w:rsidR="00BB400B" w:rsidRPr="00FF384B">
        <w:rPr>
          <w:rFonts w:ascii="Tahoma" w:eastAsia="Times New Roman" w:hAnsi="Tahoma" w:cs="Tahoma"/>
          <w:spacing w:val="-4"/>
          <w:lang w:val="es-419" w:eastAsia="es-ES"/>
        </w:rPr>
        <w:t>hace</w:t>
      </w:r>
      <w:r w:rsidR="005263CC" w:rsidRPr="00FF384B">
        <w:rPr>
          <w:rFonts w:ascii="Tahoma" w:eastAsia="Times New Roman" w:hAnsi="Tahoma" w:cs="Tahoma"/>
          <w:spacing w:val="-4"/>
          <w:lang w:val="es-419" w:eastAsia="es-ES"/>
        </w:rPr>
        <w:t>r</w:t>
      </w:r>
      <w:r w:rsidR="00BB400B" w:rsidRPr="00FF384B">
        <w:rPr>
          <w:rFonts w:ascii="Tahoma" w:eastAsia="Times New Roman" w:hAnsi="Tahoma" w:cs="Tahoma"/>
          <w:spacing w:val="-4"/>
          <w:lang w:val="es-419" w:eastAsia="es-ES"/>
        </w:rPr>
        <w:t xml:space="preserve"> parte de una de las multinacionales más importantes del país</w:t>
      </w:r>
      <w:r w:rsidR="005263CC" w:rsidRPr="00FF384B">
        <w:rPr>
          <w:rFonts w:ascii="Tahoma" w:eastAsia="Times New Roman" w:hAnsi="Tahoma" w:cs="Tahoma"/>
          <w:spacing w:val="-4"/>
          <w:lang w:val="es-419" w:eastAsia="es-ES"/>
        </w:rPr>
        <w:t>; además,</w:t>
      </w:r>
      <w:r w:rsidR="00BB400B" w:rsidRPr="00FF384B">
        <w:rPr>
          <w:rFonts w:ascii="Tahoma" w:eastAsia="Times New Roman" w:hAnsi="Tahoma" w:cs="Tahoma"/>
          <w:spacing w:val="-4"/>
          <w:lang w:val="es-419" w:eastAsia="es-ES"/>
        </w:rPr>
        <w:t xml:space="preserve"> asumió una carga básica en el proceso, pues se limitó a atender las etapas del mismo sin un mayor esfuerzo probatorio.</w:t>
      </w:r>
    </w:p>
    <w:p w14:paraId="1971F024" w14:textId="43166421" w:rsidR="005263CC" w:rsidRPr="00FF384B" w:rsidRDefault="005263CC" w:rsidP="002A7192">
      <w:pPr>
        <w:pStyle w:val="Prrafodelista"/>
        <w:tabs>
          <w:tab w:val="left" w:pos="284"/>
        </w:tabs>
        <w:spacing w:line="276" w:lineRule="auto"/>
        <w:ind w:left="0" w:firstLine="709"/>
        <w:rPr>
          <w:rFonts w:ascii="Tahoma" w:eastAsia="Times New Roman" w:hAnsi="Tahoma" w:cs="Tahoma"/>
          <w:spacing w:val="-4"/>
          <w:lang w:val="es-419" w:eastAsia="es-ES"/>
        </w:rPr>
      </w:pPr>
    </w:p>
    <w:p w14:paraId="4D0C11AA" w14:textId="2C855D7D" w:rsidR="005263CC" w:rsidRPr="00FF384B" w:rsidRDefault="005263CC" w:rsidP="002A7192">
      <w:pPr>
        <w:pStyle w:val="Prrafodelista"/>
        <w:tabs>
          <w:tab w:val="left" w:pos="284"/>
        </w:tabs>
        <w:spacing w:line="276" w:lineRule="auto"/>
        <w:ind w:left="0" w:firstLine="709"/>
        <w:rPr>
          <w:rFonts w:ascii="Tahoma" w:eastAsia="Times New Roman" w:hAnsi="Tahoma" w:cs="Tahoma"/>
          <w:spacing w:val="-4"/>
          <w:lang w:val="es-419" w:eastAsia="es-ES"/>
        </w:rPr>
      </w:pPr>
      <w:r w:rsidRPr="00FF384B">
        <w:rPr>
          <w:rFonts w:ascii="Tahoma" w:eastAsia="Times New Roman" w:hAnsi="Tahoma" w:cs="Tahoma"/>
          <w:spacing w:val="-4"/>
          <w:lang w:val="es-419" w:eastAsia="es-ES"/>
        </w:rPr>
        <w:t>En tal sentido, procura que se reduzcan las agencias en derecho y costas a un salario mínimo legal mensual.</w:t>
      </w:r>
    </w:p>
    <w:p w14:paraId="2ADFE3D3" w14:textId="77777777" w:rsidR="00692AFE" w:rsidRPr="00FF384B" w:rsidRDefault="00692AFE" w:rsidP="002A7192">
      <w:pPr>
        <w:tabs>
          <w:tab w:val="left" w:pos="284"/>
        </w:tabs>
        <w:spacing w:line="276" w:lineRule="auto"/>
        <w:rPr>
          <w:rFonts w:ascii="Tahoma" w:hAnsi="Tahoma" w:cs="Tahoma"/>
          <w:b/>
          <w:spacing w:val="-4"/>
        </w:rPr>
      </w:pPr>
    </w:p>
    <w:p w14:paraId="1858FA60" w14:textId="144DA174" w:rsidR="0064697B" w:rsidRPr="00FF384B" w:rsidRDefault="0064697B" w:rsidP="002A7192">
      <w:pPr>
        <w:pStyle w:val="Prrafodelista"/>
        <w:numPr>
          <w:ilvl w:val="0"/>
          <w:numId w:val="7"/>
        </w:numPr>
        <w:tabs>
          <w:tab w:val="left" w:pos="284"/>
        </w:tabs>
        <w:spacing w:line="276" w:lineRule="auto"/>
        <w:jc w:val="center"/>
        <w:rPr>
          <w:rFonts w:ascii="Tahoma" w:hAnsi="Tahoma" w:cs="Tahoma"/>
          <w:b/>
          <w:spacing w:val="-4"/>
        </w:rPr>
      </w:pPr>
      <w:r w:rsidRPr="00FF384B">
        <w:rPr>
          <w:rFonts w:ascii="Tahoma" w:hAnsi="Tahoma" w:cs="Tahoma"/>
          <w:b/>
          <w:bCs/>
          <w:spacing w:val="-4"/>
        </w:rPr>
        <w:t>Alegatos</w:t>
      </w:r>
      <w:r w:rsidRPr="00FF384B">
        <w:rPr>
          <w:rStyle w:val="normaltextrun"/>
          <w:rFonts w:ascii="Tahoma" w:hAnsi="Tahoma" w:cs="Tahoma"/>
          <w:b/>
          <w:bCs/>
          <w:spacing w:val="-4"/>
        </w:rPr>
        <w:t xml:space="preserve"> de Conclusión</w:t>
      </w:r>
    </w:p>
    <w:p w14:paraId="2889F949" w14:textId="77777777" w:rsidR="0064697B" w:rsidRPr="00FF384B" w:rsidRDefault="0064697B" w:rsidP="002A7192">
      <w:pPr>
        <w:pStyle w:val="paragraph"/>
        <w:spacing w:before="0" w:beforeAutospacing="0" w:after="0" w:afterAutospacing="0" w:line="276" w:lineRule="auto"/>
        <w:jc w:val="center"/>
        <w:textAlignment w:val="baseline"/>
        <w:rPr>
          <w:rFonts w:ascii="Tahoma" w:hAnsi="Tahoma" w:cs="Tahoma"/>
          <w:spacing w:val="-4"/>
        </w:rPr>
      </w:pPr>
      <w:r w:rsidRPr="00FF384B">
        <w:rPr>
          <w:rStyle w:val="eop"/>
          <w:rFonts w:ascii="Tahoma" w:hAnsi="Tahoma" w:cs="Tahoma"/>
          <w:spacing w:val="-4"/>
        </w:rPr>
        <w:t> </w:t>
      </w:r>
    </w:p>
    <w:p w14:paraId="4595B9EB" w14:textId="32FEAF49" w:rsidR="00BF3B14" w:rsidRPr="00FF384B" w:rsidRDefault="00BF3B14" w:rsidP="002A7192">
      <w:pPr>
        <w:spacing w:line="276" w:lineRule="auto"/>
        <w:ind w:firstLine="708"/>
        <w:jc w:val="both"/>
        <w:rPr>
          <w:rFonts w:ascii="Tahoma" w:eastAsia="Tahoma" w:hAnsi="Tahoma" w:cs="Tahoma"/>
          <w:spacing w:val="-4"/>
        </w:rPr>
      </w:pPr>
      <w:r w:rsidRPr="00FF384B">
        <w:rPr>
          <w:rFonts w:ascii="Tahoma" w:eastAsia="Tahoma" w:hAnsi="Tahoma" w:cs="Tahoma"/>
          <w:spacing w:val="-4"/>
        </w:rPr>
        <w:t xml:space="preserve">Tal como se indicó en la constancia secretarial que antecede, </w:t>
      </w:r>
      <w:r w:rsidR="005263CC" w:rsidRPr="00FF384B">
        <w:rPr>
          <w:rFonts w:ascii="Tahoma" w:eastAsia="Tahoma" w:hAnsi="Tahoma" w:cs="Tahoma"/>
          <w:spacing w:val="-4"/>
        </w:rPr>
        <w:t xml:space="preserve">ninguna de las partes </w:t>
      </w:r>
      <w:r w:rsidRPr="00FF384B">
        <w:rPr>
          <w:rFonts w:ascii="Tahoma" w:eastAsia="Tahoma" w:hAnsi="Tahoma" w:cs="Tahoma"/>
          <w:spacing w:val="-4"/>
        </w:rPr>
        <w:t xml:space="preserve">allegó alegatos de conclusión dentro del término concedido para tal efecto. </w:t>
      </w:r>
    </w:p>
    <w:p w14:paraId="4BB66E09" w14:textId="77777777" w:rsidR="00FD41A6" w:rsidRPr="00FF384B" w:rsidRDefault="00FD41A6" w:rsidP="002A7192">
      <w:pPr>
        <w:spacing w:line="276" w:lineRule="auto"/>
        <w:ind w:firstLine="708"/>
        <w:rPr>
          <w:rFonts w:ascii="Tahoma" w:hAnsi="Tahoma" w:cs="Tahoma"/>
          <w:spacing w:val="-4"/>
        </w:rPr>
      </w:pPr>
    </w:p>
    <w:p w14:paraId="01F1E330" w14:textId="77777777" w:rsidR="0064697B" w:rsidRPr="00FF384B" w:rsidRDefault="0064697B" w:rsidP="002A7192">
      <w:pPr>
        <w:pStyle w:val="Prrafodelista"/>
        <w:numPr>
          <w:ilvl w:val="0"/>
          <w:numId w:val="7"/>
        </w:numPr>
        <w:tabs>
          <w:tab w:val="left" w:pos="284"/>
        </w:tabs>
        <w:spacing w:line="276" w:lineRule="auto"/>
        <w:jc w:val="center"/>
        <w:rPr>
          <w:rFonts w:ascii="Tahoma" w:hAnsi="Tahoma" w:cs="Tahoma"/>
          <w:b/>
          <w:bCs/>
          <w:spacing w:val="-4"/>
        </w:rPr>
      </w:pPr>
      <w:r w:rsidRPr="00FF384B">
        <w:rPr>
          <w:rFonts w:ascii="Tahoma" w:hAnsi="Tahoma" w:cs="Tahoma"/>
          <w:b/>
          <w:bCs/>
          <w:spacing w:val="-4"/>
        </w:rPr>
        <w:t>Problema jurídico por resolver</w:t>
      </w:r>
    </w:p>
    <w:p w14:paraId="6AD91843" w14:textId="77777777" w:rsidR="00BF3B14" w:rsidRPr="00FF384B" w:rsidRDefault="00BF3B14" w:rsidP="002A7192">
      <w:pPr>
        <w:spacing w:line="276" w:lineRule="auto"/>
        <w:ind w:firstLine="561"/>
        <w:jc w:val="both"/>
        <w:rPr>
          <w:rFonts w:ascii="Tahoma" w:hAnsi="Tahoma" w:cs="Tahoma"/>
          <w:spacing w:val="-4"/>
        </w:rPr>
      </w:pPr>
    </w:p>
    <w:p w14:paraId="43871353" w14:textId="2A3914A0" w:rsidR="00BF3B14" w:rsidRPr="00FF384B" w:rsidRDefault="00BF3B14" w:rsidP="002A7192">
      <w:pPr>
        <w:spacing w:line="276" w:lineRule="auto"/>
        <w:ind w:firstLine="561"/>
        <w:jc w:val="both"/>
        <w:rPr>
          <w:rFonts w:ascii="Tahoma" w:hAnsi="Tahoma" w:cs="Tahoma"/>
          <w:spacing w:val="-4"/>
        </w:rPr>
      </w:pPr>
      <w:r w:rsidRPr="00FF384B">
        <w:rPr>
          <w:rFonts w:ascii="Tahoma" w:hAnsi="Tahoma" w:cs="Tahoma"/>
          <w:spacing w:val="-4"/>
        </w:rPr>
        <w:t>El asunto bajo estudio plantea a la Sala el siguiente problema jurídico:</w:t>
      </w:r>
    </w:p>
    <w:p w14:paraId="2FFD27A0" w14:textId="77777777" w:rsidR="00BF3B14" w:rsidRPr="00FF384B" w:rsidRDefault="00BF3B14" w:rsidP="002A7192">
      <w:pPr>
        <w:pStyle w:val="Textoindependiente"/>
        <w:spacing w:after="0" w:line="276" w:lineRule="auto"/>
        <w:ind w:firstLine="600"/>
        <w:jc w:val="both"/>
        <w:rPr>
          <w:rFonts w:ascii="Tahoma" w:hAnsi="Tahoma" w:cs="Tahoma"/>
          <w:spacing w:val="-4"/>
        </w:rPr>
      </w:pPr>
    </w:p>
    <w:p w14:paraId="1DE6021D" w14:textId="4F699537" w:rsidR="00BF3B14" w:rsidRPr="00FF384B" w:rsidRDefault="00BF3B14" w:rsidP="002A7192">
      <w:pPr>
        <w:autoSpaceDE w:val="0"/>
        <w:autoSpaceDN w:val="0"/>
        <w:adjustRightInd w:val="0"/>
        <w:spacing w:line="276" w:lineRule="auto"/>
        <w:ind w:left="561"/>
        <w:jc w:val="both"/>
        <w:rPr>
          <w:rFonts w:ascii="Tahoma" w:hAnsi="Tahoma" w:cs="Tahoma"/>
          <w:spacing w:val="-4"/>
        </w:rPr>
      </w:pPr>
      <w:r w:rsidRPr="00FF384B">
        <w:rPr>
          <w:rFonts w:ascii="Tahoma" w:hAnsi="Tahoma" w:cs="Tahoma"/>
          <w:spacing w:val="-4"/>
        </w:rPr>
        <w:t>¿Las agencias en derecho fijadas en primera instancia, a favor de la parte demanda</w:t>
      </w:r>
      <w:r w:rsidR="00975AD1" w:rsidRPr="00FF384B">
        <w:rPr>
          <w:rFonts w:ascii="Tahoma" w:hAnsi="Tahoma" w:cs="Tahoma"/>
          <w:spacing w:val="-4"/>
        </w:rPr>
        <w:t>da</w:t>
      </w:r>
      <w:r w:rsidRPr="00FF384B">
        <w:rPr>
          <w:rFonts w:ascii="Tahoma" w:hAnsi="Tahoma" w:cs="Tahoma"/>
          <w:spacing w:val="-4"/>
        </w:rPr>
        <w:t>, se establecieron teniendo en cuenta los parámetros señalados por el Acuerdo PSAA16 –10554 de 2016?</w:t>
      </w:r>
    </w:p>
    <w:p w14:paraId="208E2ED2" w14:textId="77777777" w:rsidR="00D72843" w:rsidRPr="00FF384B" w:rsidRDefault="00D72843" w:rsidP="002A7192">
      <w:pPr>
        <w:autoSpaceDE w:val="0"/>
        <w:autoSpaceDN w:val="0"/>
        <w:adjustRightInd w:val="0"/>
        <w:spacing w:line="276" w:lineRule="auto"/>
        <w:ind w:left="561"/>
        <w:jc w:val="both"/>
        <w:rPr>
          <w:rFonts w:ascii="Tahoma" w:hAnsi="Tahoma" w:cs="Tahoma"/>
          <w:spacing w:val="-4"/>
        </w:rPr>
      </w:pPr>
    </w:p>
    <w:p w14:paraId="417C7737" w14:textId="77777777" w:rsidR="00BF3B14" w:rsidRPr="00FF384B" w:rsidRDefault="00BF3B14" w:rsidP="002A7192">
      <w:pPr>
        <w:pStyle w:val="Prrafodelista"/>
        <w:numPr>
          <w:ilvl w:val="0"/>
          <w:numId w:val="7"/>
        </w:numPr>
        <w:autoSpaceDE w:val="0"/>
        <w:autoSpaceDN w:val="0"/>
        <w:adjustRightInd w:val="0"/>
        <w:spacing w:line="276" w:lineRule="auto"/>
        <w:jc w:val="center"/>
        <w:rPr>
          <w:rFonts w:ascii="Tahoma" w:hAnsi="Tahoma" w:cs="Tahoma"/>
          <w:b/>
          <w:bCs/>
          <w:spacing w:val="-4"/>
        </w:rPr>
      </w:pPr>
      <w:r w:rsidRPr="00FF384B">
        <w:rPr>
          <w:rFonts w:ascii="Tahoma" w:hAnsi="Tahoma" w:cs="Tahoma"/>
          <w:b/>
          <w:bCs/>
          <w:spacing w:val="-4"/>
        </w:rPr>
        <w:t>Consideraciones</w:t>
      </w:r>
    </w:p>
    <w:p w14:paraId="5EF656F0" w14:textId="77777777" w:rsidR="00BF3B14" w:rsidRPr="00FF384B" w:rsidRDefault="00BF3B14" w:rsidP="002A7192">
      <w:pPr>
        <w:pStyle w:val="Prrafodelista"/>
        <w:autoSpaceDE w:val="0"/>
        <w:autoSpaceDN w:val="0"/>
        <w:adjustRightInd w:val="0"/>
        <w:spacing w:line="276" w:lineRule="auto"/>
        <w:rPr>
          <w:rFonts w:ascii="Tahoma" w:hAnsi="Tahoma" w:cs="Tahoma"/>
          <w:b/>
          <w:bCs/>
          <w:spacing w:val="-4"/>
        </w:rPr>
      </w:pPr>
    </w:p>
    <w:p w14:paraId="2B722CD9" w14:textId="77777777" w:rsidR="00BF3B14" w:rsidRPr="00FF384B" w:rsidRDefault="00BF3B14" w:rsidP="002A7192">
      <w:pPr>
        <w:pStyle w:val="Prrafodelista"/>
        <w:numPr>
          <w:ilvl w:val="1"/>
          <w:numId w:val="10"/>
        </w:numPr>
        <w:autoSpaceDE w:val="0"/>
        <w:autoSpaceDN w:val="0"/>
        <w:adjustRightInd w:val="0"/>
        <w:spacing w:line="276" w:lineRule="auto"/>
        <w:rPr>
          <w:rFonts w:ascii="Tahoma" w:hAnsi="Tahoma" w:cs="Tahoma"/>
          <w:b/>
          <w:bCs/>
          <w:spacing w:val="-4"/>
        </w:rPr>
      </w:pPr>
      <w:r w:rsidRPr="00FF384B">
        <w:rPr>
          <w:rFonts w:ascii="Tahoma" w:hAnsi="Tahoma" w:cs="Tahoma"/>
          <w:b/>
          <w:bCs/>
          <w:spacing w:val="-4"/>
        </w:rPr>
        <w:t xml:space="preserve">Las agencias en derecho en los procesos laborales </w:t>
      </w:r>
    </w:p>
    <w:p w14:paraId="562F5DBE" w14:textId="77777777" w:rsidR="00BF3B14" w:rsidRPr="00FF384B" w:rsidRDefault="00BF3B14" w:rsidP="002A7192">
      <w:pPr>
        <w:autoSpaceDE w:val="0"/>
        <w:autoSpaceDN w:val="0"/>
        <w:adjustRightInd w:val="0"/>
        <w:spacing w:line="276" w:lineRule="auto"/>
        <w:ind w:left="1122"/>
        <w:jc w:val="both"/>
        <w:rPr>
          <w:rFonts w:ascii="Tahoma" w:hAnsi="Tahoma" w:cs="Tahoma"/>
          <w:b/>
          <w:bCs/>
          <w:spacing w:val="-4"/>
        </w:rPr>
      </w:pPr>
    </w:p>
    <w:p w14:paraId="722C24DA" w14:textId="77777777" w:rsidR="00BF3B14" w:rsidRPr="00FF384B" w:rsidRDefault="00BF3B14" w:rsidP="002A7192">
      <w:pPr>
        <w:spacing w:line="276" w:lineRule="auto"/>
        <w:ind w:firstLine="709"/>
        <w:jc w:val="both"/>
        <w:rPr>
          <w:rFonts w:ascii="Tahoma" w:hAnsi="Tahoma" w:cs="Tahoma"/>
          <w:spacing w:val="-4"/>
        </w:rPr>
      </w:pPr>
      <w:r w:rsidRPr="00FF384B">
        <w:rPr>
          <w:rFonts w:ascii="Tahoma" w:hAnsi="Tahoma" w:cs="Tahoma"/>
          <w:spacing w:val="-4"/>
        </w:rPr>
        <w:t>Frente a la tasación de las agencias en derecho, el doctrinante Azula Camacho</w:t>
      </w:r>
      <w:r w:rsidRPr="00FF384B">
        <w:rPr>
          <w:rStyle w:val="Refdenotaalpie"/>
          <w:rFonts w:ascii="Tahoma" w:hAnsi="Tahoma" w:cs="Tahoma"/>
          <w:spacing w:val="-4"/>
        </w:rPr>
        <w:footnoteReference w:id="2"/>
      </w:r>
      <w:r w:rsidRPr="00FF384B">
        <w:rPr>
          <w:rFonts w:ascii="Tahoma" w:hAnsi="Tahoma" w:cs="Tahoma"/>
          <w:spacing w:val="-4"/>
        </w:rPr>
        <w:t xml:space="preserve"> ha referido:</w:t>
      </w:r>
    </w:p>
    <w:p w14:paraId="228EAF71" w14:textId="77777777" w:rsidR="00BF3B14" w:rsidRPr="00FF384B" w:rsidRDefault="00BF3B14" w:rsidP="002A7192">
      <w:pPr>
        <w:spacing w:line="276" w:lineRule="auto"/>
        <w:ind w:left="1122"/>
        <w:rPr>
          <w:rFonts w:ascii="Tahoma" w:hAnsi="Tahoma" w:cs="Tahoma"/>
          <w:spacing w:val="-4"/>
        </w:rPr>
      </w:pPr>
    </w:p>
    <w:p w14:paraId="56ED396C" w14:textId="77777777" w:rsidR="00BF3B14" w:rsidRPr="00FF384B" w:rsidRDefault="00BF3B14" w:rsidP="004274E2">
      <w:pPr>
        <w:ind w:left="426" w:right="420"/>
        <w:jc w:val="both"/>
        <w:rPr>
          <w:rFonts w:ascii="Tahoma" w:hAnsi="Tahoma" w:cs="Tahoma"/>
          <w:spacing w:val="-4"/>
          <w:sz w:val="22"/>
        </w:rPr>
      </w:pPr>
      <w:r w:rsidRPr="00FF384B">
        <w:rPr>
          <w:rFonts w:ascii="Tahoma" w:hAnsi="Tahoma" w:cs="Tahoma"/>
          <w:spacing w:val="-4"/>
          <w:sz w:val="22"/>
        </w:rPr>
        <w:t>“Para determinar el monto de las agencias en derecho, el artículo 366 (inc. 4</w:t>
      </w:r>
      <w:r w:rsidRPr="00FF384B">
        <w:rPr>
          <w:rFonts w:ascii="Tahoma" w:hAnsi="Tahoma" w:cs="Tahoma"/>
          <w:spacing w:val="-4"/>
          <w:sz w:val="22"/>
          <w:vertAlign w:val="superscript"/>
        </w:rPr>
        <w:t>o</w:t>
      </w:r>
      <w:r w:rsidRPr="00FF384B">
        <w:rPr>
          <w:rFonts w:ascii="Tahoma" w:hAnsi="Tahoma" w:cs="Tahoma"/>
          <w:spacing w:val="-4"/>
          <w:sz w:val="22"/>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p w14:paraId="65C0C6FD" w14:textId="77777777" w:rsidR="00BF3B14" w:rsidRPr="00FF384B" w:rsidRDefault="00BF3B14" w:rsidP="002A7192">
      <w:pPr>
        <w:autoSpaceDE w:val="0"/>
        <w:autoSpaceDN w:val="0"/>
        <w:adjustRightInd w:val="0"/>
        <w:spacing w:line="276" w:lineRule="auto"/>
        <w:ind w:firstLine="561"/>
        <w:jc w:val="both"/>
        <w:rPr>
          <w:rFonts w:ascii="Tahoma" w:hAnsi="Tahoma" w:cs="Tahoma"/>
          <w:spacing w:val="-4"/>
        </w:rPr>
      </w:pPr>
    </w:p>
    <w:p w14:paraId="2F9EC130" w14:textId="77777777" w:rsidR="00BF3B14" w:rsidRPr="00FF384B" w:rsidRDefault="00BF3B14" w:rsidP="002A7192">
      <w:pPr>
        <w:autoSpaceDE w:val="0"/>
        <w:autoSpaceDN w:val="0"/>
        <w:adjustRightInd w:val="0"/>
        <w:spacing w:line="276" w:lineRule="auto"/>
        <w:ind w:firstLine="561"/>
        <w:jc w:val="both"/>
        <w:rPr>
          <w:rFonts w:ascii="Tahoma" w:hAnsi="Tahoma" w:cs="Tahoma"/>
          <w:spacing w:val="-4"/>
        </w:rPr>
      </w:pPr>
      <w:r w:rsidRPr="00FF384B">
        <w:rPr>
          <w:rFonts w:ascii="Tahoma" w:hAnsi="Tahoma" w:cs="Tahoma"/>
          <w:spacing w:val="-4"/>
        </w:rPr>
        <w:t xml:space="preserve">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 </w:t>
      </w:r>
      <w:r w:rsidRPr="00FF384B">
        <w:rPr>
          <w:rFonts w:ascii="Tahoma" w:hAnsi="Tahoma" w:cs="Tahoma"/>
          <w:spacing w:val="-4"/>
        </w:rPr>
        <w:lastRenderedPageBreak/>
        <w:t>Así, según el Acuerdo PSAA16-10554 de 2016, para fijar las agencias en derecho se debe tener en cuenta:</w:t>
      </w:r>
    </w:p>
    <w:p w14:paraId="786609C7" w14:textId="77777777" w:rsidR="00BF3B14" w:rsidRPr="00FF384B" w:rsidRDefault="00BF3B14" w:rsidP="002A7192">
      <w:pPr>
        <w:autoSpaceDE w:val="0"/>
        <w:autoSpaceDN w:val="0"/>
        <w:adjustRightInd w:val="0"/>
        <w:spacing w:line="276" w:lineRule="auto"/>
        <w:ind w:firstLine="561"/>
        <w:jc w:val="both"/>
        <w:rPr>
          <w:rFonts w:ascii="Tahoma" w:hAnsi="Tahoma" w:cs="Tahoma"/>
          <w:spacing w:val="-4"/>
        </w:rPr>
      </w:pPr>
    </w:p>
    <w:p w14:paraId="029B6A97" w14:textId="4A1222AC" w:rsidR="00CB3CCE" w:rsidRPr="00FF384B" w:rsidRDefault="00BF3B14" w:rsidP="002A7192">
      <w:pPr>
        <w:pStyle w:val="Prrafodelista"/>
        <w:numPr>
          <w:ilvl w:val="0"/>
          <w:numId w:val="9"/>
        </w:numPr>
        <w:autoSpaceDE w:val="0"/>
        <w:autoSpaceDN w:val="0"/>
        <w:adjustRightInd w:val="0"/>
        <w:spacing w:line="276" w:lineRule="auto"/>
        <w:rPr>
          <w:rFonts w:ascii="Tahoma" w:hAnsi="Tahoma" w:cs="Tahoma"/>
          <w:spacing w:val="-4"/>
        </w:rPr>
      </w:pPr>
      <w:r w:rsidRPr="00FF384B">
        <w:rPr>
          <w:rFonts w:ascii="Tahoma" w:hAnsi="Tahoma" w:cs="Tahoma"/>
          <w:spacing w:val="-4"/>
        </w:rPr>
        <w:t xml:space="preserve">El tipo de proceso, precisando en su artículo 5.1 que en </w:t>
      </w:r>
      <w:r w:rsidR="00CB3CCE" w:rsidRPr="00FF384B">
        <w:rPr>
          <w:rFonts w:ascii="Tahoma" w:hAnsi="Tahoma" w:cs="Tahoma"/>
          <w:spacing w:val="-4"/>
        </w:rPr>
        <w:t xml:space="preserve">primera instancia en </w:t>
      </w:r>
      <w:r w:rsidRPr="00FF384B">
        <w:rPr>
          <w:rFonts w:ascii="Tahoma" w:hAnsi="Tahoma" w:cs="Tahoma"/>
          <w:spacing w:val="-4"/>
        </w:rPr>
        <w:t xml:space="preserve">los procesos </w:t>
      </w:r>
      <w:r w:rsidR="00CB3CCE" w:rsidRPr="00FF384B">
        <w:rPr>
          <w:rFonts w:ascii="Tahoma" w:hAnsi="Tahoma" w:cs="Tahoma"/>
          <w:spacing w:val="-4"/>
        </w:rPr>
        <w:t>con pretensiones de contenido pecuniario, de menor cuantía, las agencias oscilarán entre un 4% y un 10% de lo pretendido.</w:t>
      </w:r>
    </w:p>
    <w:p w14:paraId="34C8F202" w14:textId="77777777" w:rsidR="00CB3CCE" w:rsidRPr="00FF384B" w:rsidRDefault="00CB3CCE" w:rsidP="002A7192">
      <w:pPr>
        <w:pStyle w:val="Prrafodelista"/>
        <w:autoSpaceDE w:val="0"/>
        <w:autoSpaceDN w:val="0"/>
        <w:adjustRightInd w:val="0"/>
        <w:spacing w:line="276" w:lineRule="auto"/>
        <w:ind w:left="1011"/>
        <w:rPr>
          <w:rFonts w:ascii="Tahoma" w:hAnsi="Tahoma" w:cs="Tahoma"/>
          <w:spacing w:val="-4"/>
        </w:rPr>
      </w:pPr>
    </w:p>
    <w:p w14:paraId="5BCFB2FB" w14:textId="2F3195AF" w:rsidR="00CB3CCE" w:rsidRPr="00FF384B" w:rsidRDefault="00CB3CCE" w:rsidP="002A7192">
      <w:pPr>
        <w:pStyle w:val="Prrafodelista"/>
        <w:numPr>
          <w:ilvl w:val="0"/>
          <w:numId w:val="9"/>
        </w:numPr>
        <w:autoSpaceDE w:val="0"/>
        <w:autoSpaceDN w:val="0"/>
        <w:adjustRightInd w:val="0"/>
        <w:spacing w:line="276" w:lineRule="auto"/>
        <w:rPr>
          <w:rFonts w:ascii="Tahoma" w:hAnsi="Tahoma" w:cs="Tahoma"/>
          <w:spacing w:val="-4"/>
        </w:rPr>
      </w:pPr>
      <w:r w:rsidRPr="00FF384B">
        <w:rPr>
          <w:rFonts w:ascii="Tahoma" w:hAnsi="Tahoma" w:cs="Tahoma"/>
          <w:spacing w:val="-4"/>
        </w:rPr>
        <w:t xml:space="preserve">El mismo </w:t>
      </w:r>
      <w:r w:rsidR="004E2FEE" w:rsidRPr="00FF384B">
        <w:rPr>
          <w:rFonts w:ascii="Tahoma" w:hAnsi="Tahoma" w:cs="Tahoma"/>
          <w:spacing w:val="-4"/>
        </w:rPr>
        <w:t>canon</w:t>
      </w:r>
      <w:r w:rsidRPr="00FF384B">
        <w:rPr>
          <w:rFonts w:ascii="Tahoma" w:hAnsi="Tahoma" w:cs="Tahoma"/>
          <w:spacing w:val="-4"/>
        </w:rPr>
        <w:t xml:space="preserve"> dispone que en segundo grado las agencias se graduarán entre 1 y 5 SMLMV</w:t>
      </w:r>
    </w:p>
    <w:p w14:paraId="4A30A169" w14:textId="77777777" w:rsidR="00CB3CCE" w:rsidRPr="00FF384B" w:rsidRDefault="00CB3CCE" w:rsidP="002A7192">
      <w:pPr>
        <w:pStyle w:val="Prrafodelista"/>
        <w:autoSpaceDE w:val="0"/>
        <w:autoSpaceDN w:val="0"/>
        <w:adjustRightInd w:val="0"/>
        <w:spacing w:line="276" w:lineRule="auto"/>
        <w:ind w:left="1011"/>
        <w:rPr>
          <w:rFonts w:ascii="Tahoma" w:hAnsi="Tahoma" w:cs="Tahoma"/>
          <w:spacing w:val="-4"/>
        </w:rPr>
      </w:pPr>
    </w:p>
    <w:p w14:paraId="4B594FE3" w14:textId="77777777" w:rsidR="00BF3B14" w:rsidRPr="00FF384B" w:rsidRDefault="00BF3B14" w:rsidP="002A7192">
      <w:pPr>
        <w:spacing w:line="276" w:lineRule="auto"/>
        <w:rPr>
          <w:rFonts w:ascii="Tahoma" w:hAnsi="Tahoma" w:cs="Tahoma"/>
          <w:spacing w:val="-4"/>
        </w:rPr>
      </w:pPr>
    </w:p>
    <w:p w14:paraId="3C5A92CE" w14:textId="77777777" w:rsidR="00BF3B14" w:rsidRPr="00FF384B" w:rsidRDefault="00BF3B14" w:rsidP="002A7192">
      <w:pPr>
        <w:pStyle w:val="Prrafodelista"/>
        <w:numPr>
          <w:ilvl w:val="0"/>
          <w:numId w:val="9"/>
        </w:numPr>
        <w:autoSpaceDE w:val="0"/>
        <w:autoSpaceDN w:val="0"/>
        <w:adjustRightInd w:val="0"/>
        <w:spacing w:line="276" w:lineRule="auto"/>
        <w:rPr>
          <w:rFonts w:ascii="Tahoma" w:hAnsi="Tahoma" w:cs="Tahoma"/>
          <w:spacing w:val="-4"/>
        </w:rPr>
      </w:pPr>
      <w:r w:rsidRPr="00FF384B">
        <w:rPr>
          <w:rFonts w:ascii="Tahoma" w:hAnsi="Tahoma" w:cs="Tahoma"/>
          <w:spacing w:val="-4"/>
        </w:rPr>
        <w:t>Los criterios en particular de la actuación de la parte favorecida con la condena en costas, que permita valorar la labor jurídica desarrollada, estos últimos coinciden con los mencionados en el numeral 4º del artículo 366 del CGP, esto es, la naturaleza, la calidad y la duración de la gestión realizada por el apoderado, la cuantía del proceso y demás circunstancias relacionadas con dicha actividad.</w:t>
      </w:r>
    </w:p>
    <w:p w14:paraId="79BEAC6B" w14:textId="77777777" w:rsidR="00BF3B14" w:rsidRPr="00FF384B" w:rsidRDefault="00BF3B14" w:rsidP="002A7192">
      <w:pPr>
        <w:pStyle w:val="Prrafodelista"/>
        <w:autoSpaceDE w:val="0"/>
        <w:autoSpaceDN w:val="0"/>
        <w:adjustRightInd w:val="0"/>
        <w:spacing w:line="276" w:lineRule="auto"/>
        <w:ind w:left="1011"/>
        <w:rPr>
          <w:rFonts w:ascii="Tahoma" w:hAnsi="Tahoma" w:cs="Tahoma"/>
          <w:spacing w:val="-4"/>
        </w:rPr>
      </w:pPr>
    </w:p>
    <w:p w14:paraId="22E97EEE" w14:textId="77777777" w:rsidR="00BF3B14" w:rsidRPr="00FF384B" w:rsidRDefault="00BF3B14" w:rsidP="002A7192">
      <w:pPr>
        <w:spacing w:line="276" w:lineRule="auto"/>
        <w:ind w:firstLine="709"/>
        <w:jc w:val="both"/>
        <w:rPr>
          <w:rFonts w:ascii="Tahoma" w:hAnsi="Tahoma" w:cs="Tahoma"/>
          <w:spacing w:val="-4"/>
        </w:rPr>
      </w:pPr>
      <w:r w:rsidRPr="00FF384B">
        <w:rPr>
          <w:rFonts w:ascii="Tahoma" w:hAnsi="Tahoma" w:cs="Tahoma"/>
          <w:spacing w:val="-4"/>
        </w:rPr>
        <w:t>Asimismo, en su tratado de derecho procesal, el profesor Hernán Fabio López Blanco</w:t>
      </w:r>
      <w:r w:rsidRPr="00FF384B">
        <w:rPr>
          <w:rStyle w:val="Refdenotaalpie"/>
          <w:rFonts w:ascii="Tahoma" w:hAnsi="Tahoma" w:cs="Tahoma"/>
          <w:spacing w:val="-4"/>
        </w:rPr>
        <w:footnoteReference w:id="3"/>
      </w:r>
      <w:r w:rsidRPr="00FF384B">
        <w:rPr>
          <w:rFonts w:ascii="Tahoma" w:hAnsi="Tahoma" w:cs="Tahoma"/>
          <w:spacing w:val="-4"/>
        </w:rPr>
        <w:t xml:space="preserve"> frente a las agencias en derecho ha preceptuado:</w:t>
      </w:r>
    </w:p>
    <w:p w14:paraId="72B74640" w14:textId="77777777" w:rsidR="00BF3B14" w:rsidRPr="00FF384B" w:rsidRDefault="00BF3B14" w:rsidP="002A7192">
      <w:pPr>
        <w:spacing w:line="276" w:lineRule="auto"/>
        <w:jc w:val="both"/>
        <w:rPr>
          <w:rFonts w:ascii="Tahoma" w:hAnsi="Tahoma" w:cs="Tahoma"/>
          <w:spacing w:val="-4"/>
        </w:rPr>
      </w:pPr>
    </w:p>
    <w:p w14:paraId="7C0F04A0" w14:textId="77777777" w:rsidR="00BF3B14" w:rsidRPr="00FF384B" w:rsidRDefault="00BF3B14" w:rsidP="004274E2">
      <w:pPr>
        <w:ind w:left="426" w:right="420"/>
        <w:jc w:val="both"/>
        <w:rPr>
          <w:rFonts w:ascii="Tahoma" w:hAnsi="Tahoma" w:cs="Tahoma"/>
          <w:spacing w:val="-4"/>
          <w:sz w:val="22"/>
        </w:rPr>
      </w:pPr>
      <w:r w:rsidRPr="00FF384B">
        <w:rPr>
          <w:rFonts w:ascii="Tahoma" w:hAnsi="Tahoma" w:cs="Tahoma"/>
          <w:spacing w:val="-4"/>
          <w:sz w:val="22"/>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p>
    <w:p w14:paraId="6731663C" w14:textId="77777777" w:rsidR="00BF3B14" w:rsidRPr="00FF384B" w:rsidRDefault="00BF3B14" w:rsidP="004274E2">
      <w:pPr>
        <w:ind w:left="426" w:right="420"/>
        <w:jc w:val="both"/>
        <w:rPr>
          <w:rFonts w:ascii="Tahoma" w:hAnsi="Tahoma" w:cs="Tahoma"/>
          <w:spacing w:val="-4"/>
          <w:sz w:val="22"/>
        </w:rPr>
      </w:pPr>
    </w:p>
    <w:p w14:paraId="6D2BEC3A" w14:textId="77777777" w:rsidR="00BF3B14" w:rsidRPr="00FF384B" w:rsidRDefault="00BF3B14" w:rsidP="004274E2">
      <w:pPr>
        <w:ind w:left="426" w:right="420"/>
        <w:jc w:val="both"/>
        <w:rPr>
          <w:rFonts w:ascii="Tahoma" w:hAnsi="Tahoma" w:cs="Tahoma"/>
          <w:spacing w:val="-4"/>
          <w:sz w:val="22"/>
        </w:rPr>
      </w:pPr>
      <w:r w:rsidRPr="00FF384B">
        <w:rPr>
          <w:rFonts w:ascii="Tahoma" w:hAnsi="Tahoma" w:cs="Tahoma"/>
          <w:spacing w:val="-4"/>
          <w:sz w:val="22"/>
        </w:rPr>
        <w:t>(…)</w:t>
      </w:r>
    </w:p>
    <w:p w14:paraId="49126481" w14:textId="77777777" w:rsidR="00BF3B14" w:rsidRPr="00FF384B" w:rsidRDefault="00BF3B14" w:rsidP="004274E2">
      <w:pPr>
        <w:ind w:left="426" w:right="420"/>
        <w:jc w:val="both"/>
        <w:rPr>
          <w:rFonts w:ascii="Tahoma" w:hAnsi="Tahoma" w:cs="Tahoma"/>
          <w:spacing w:val="-4"/>
          <w:sz w:val="22"/>
        </w:rPr>
      </w:pPr>
    </w:p>
    <w:p w14:paraId="61A69761" w14:textId="77777777" w:rsidR="00BF3B14" w:rsidRPr="00FF384B" w:rsidRDefault="00BF3B14" w:rsidP="004274E2">
      <w:pPr>
        <w:ind w:left="426" w:right="420"/>
        <w:jc w:val="both"/>
        <w:rPr>
          <w:rFonts w:ascii="Tahoma" w:hAnsi="Tahoma" w:cs="Tahoma"/>
          <w:spacing w:val="-4"/>
          <w:sz w:val="22"/>
        </w:rPr>
      </w:pPr>
      <w:r w:rsidRPr="00FF384B">
        <w:rPr>
          <w:rFonts w:ascii="Tahoma" w:hAnsi="Tahoma" w:cs="Tahoma"/>
          <w:spacing w:val="-4"/>
          <w:sz w:val="22"/>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4F0A615E" w14:textId="77777777" w:rsidR="00BF3B14" w:rsidRPr="00FF384B" w:rsidRDefault="00BF3B14" w:rsidP="004274E2">
      <w:pPr>
        <w:ind w:left="426" w:right="420"/>
        <w:jc w:val="both"/>
        <w:rPr>
          <w:rFonts w:ascii="Tahoma" w:hAnsi="Tahoma" w:cs="Tahoma"/>
          <w:spacing w:val="-4"/>
          <w:sz w:val="22"/>
        </w:rPr>
      </w:pPr>
    </w:p>
    <w:p w14:paraId="5C463A06" w14:textId="77777777" w:rsidR="00BF3B14" w:rsidRPr="00FF384B" w:rsidRDefault="00BF3B14" w:rsidP="004274E2">
      <w:pPr>
        <w:ind w:left="426" w:right="420"/>
        <w:jc w:val="both"/>
        <w:rPr>
          <w:rFonts w:ascii="Tahoma" w:hAnsi="Tahoma" w:cs="Tahoma"/>
          <w:spacing w:val="-4"/>
          <w:sz w:val="22"/>
        </w:rPr>
      </w:pPr>
      <w:r w:rsidRPr="00FF384B">
        <w:rPr>
          <w:rFonts w:ascii="Tahoma" w:hAnsi="Tahoma" w:cs="Tahoma"/>
          <w:spacing w:val="-4"/>
          <w:sz w:val="22"/>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0D2CE115" w14:textId="77777777" w:rsidR="00BF3B14" w:rsidRPr="00FF384B" w:rsidRDefault="00BF3B14" w:rsidP="004274E2">
      <w:pPr>
        <w:ind w:left="426" w:right="420"/>
        <w:jc w:val="both"/>
        <w:rPr>
          <w:rFonts w:ascii="Tahoma" w:hAnsi="Tahoma" w:cs="Tahoma"/>
          <w:spacing w:val="-4"/>
          <w:sz w:val="22"/>
        </w:rPr>
      </w:pPr>
    </w:p>
    <w:p w14:paraId="0DC3A17F" w14:textId="77777777" w:rsidR="00BF3B14" w:rsidRPr="00FF384B" w:rsidRDefault="00BF3B14" w:rsidP="004274E2">
      <w:pPr>
        <w:ind w:left="426" w:right="420"/>
        <w:jc w:val="both"/>
        <w:rPr>
          <w:rFonts w:ascii="Tahoma" w:hAnsi="Tahoma" w:cs="Tahoma"/>
          <w:spacing w:val="-4"/>
          <w:sz w:val="22"/>
        </w:rPr>
      </w:pPr>
      <w:r w:rsidRPr="00FF384B">
        <w:rPr>
          <w:rFonts w:ascii="Tahoma" w:hAnsi="Tahoma" w:cs="Tahoma"/>
          <w:spacing w:val="-4"/>
          <w:sz w:val="22"/>
        </w:rPr>
        <w:t>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infinidad de trámites inútiles que se surten sobre el supuesto de que se afrontará una mínima condena a pagar costas.</w:t>
      </w:r>
    </w:p>
    <w:p w14:paraId="251747D3" w14:textId="77777777" w:rsidR="00BF3B14" w:rsidRPr="00FF384B" w:rsidRDefault="00BF3B14" w:rsidP="004274E2">
      <w:pPr>
        <w:ind w:left="426" w:right="420"/>
        <w:jc w:val="both"/>
        <w:rPr>
          <w:rFonts w:ascii="Tahoma" w:hAnsi="Tahoma" w:cs="Tahoma"/>
          <w:spacing w:val="-4"/>
          <w:sz w:val="22"/>
        </w:rPr>
      </w:pPr>
    </w:p>
    <w:p w14:paraId="092B3675" w14:textId="77777777" w:rsidR="00BF3B14" w:rsidRPr="00FF384B" w:rsidRDefault="00BF3B14" w:rsidP="004274E2">
      <w:pPr>
        <w:ind w:left="426" w:right="420"/>
        <w:jc w:val="both"/>
        <w:rPr>
          <w:rFonts w:ascii="Tahoma" w:hAnsi="Tahoma" w:cs="Tahoma"/>
          <w:spacing w:val="-4"/>
          <w:sz w:val="22"/>
        </w:rPr>
      </w:pPr>
      <w:r w:rsidRPr="00FF384B">
        <w:rPr>
          <w:rFonts w:ascii="Tahoma" w:hAnsi="Tahoma" w:cs="Tahoma"/>
          <w:b/>
          <w:spacing w:val="-4"/>
          <w:sz w:val="22"/>
        </w:rPr>
        <w:lastRenderedPageBreak/>
        <w:t xml:space="preserve">Y de manera especial reitero el llamado de atención a los funcionarios de segunda instancia y casación, quienes por el trámite correspondiente a tales etapas del proceso fijan sumas ciertamente irrisorias que sólo constituyen un acicate para abusar del empleo de esos recursos.” </w:t>
      </w:r>
      <w:r w:rsidRPr="00FF384B">
        <w:rPr>
          <w:rFonts w:ascii="Tahoma" w:hAnsi="Tahoma" w:cs="Tahoma"/>
          <w:spacing w:val="-4"/>
          <w:sz w:val="22"/>
        </w:rPr>
        <w:t>(Negrilla fuera de texto)</w:t>
      </w:r>
    </w:p>
    <w:p w14:paraId="476F02DB" w14:textId="51EC9752" w:rsidR="00CB3CCE" w:rsidRPr="00FF384B" w:rsidRDefault="00CB3CCE" w:rsidP="002A7192">
      <w:pPr>
        <w:spacing w:line="276" w:lineRule="auto"/>
        <w:rPr>
          <w:rFonts w:ascii="Tahoma" w:hAnsi="Tahoma" w:cs="Tahoma"/>
          <w:spacing w:val="-4"/>
        </w:rPr>
      </w:pPr>
    </w:p>
    <w:p w14:paraId="56C697D4" w14:textId="7175DEAD" w:rsidR="00BF3B14" w:rsidRPr="00FF384B" w:rsidRDefault="00BF3B14" w:rsidP="002A7192">
      <w:pPr>
        <w:pStyle w:val="Prrafodelista"/>
        <w:numPr>
          <w:ilvl w:val="1"/>
          <w:numId w:val="10"/>
        </w:numPr>
        <w:autoSpaceDE w:val="0"/>
        <w:autoSpaceDN w:val="0"/>
        <w:adjustRightInd w:val="0"/>
        <w:spacing w:line="276" w:lineRule="auto"/>
        <w:rPr>
          <w:rFonts w:ascii="Tahoma" w:hAnsi="Tahoma" w:cs="Tahoma"/>
          <w:b/>
          <w:spacing w:val="-4"/>
        </w:rPr>
      </w:pPr>
      <w:r w:rsidRPr="00FF384B">
        <w:rPr>
          <w:rFonts w:ascii="Tahoma" w:hAnsi="Tahoma" w:cs="Tahoma"/>
          <w:b/>
          <w:spacing w:val="-4"/>
        </w:rPr>
        <w:t>Caso concreto</w:t>
      </w:r>
    </w:p>
    <w:p w14:paraId="1BBB79C8" w14:textId="77777777" w:rsidR="00BF3B14" w:rsidRPr="00FF384B" w:rsidRDefault="00BF3B14" w:rsidP="002A7192">
      <w:pPr>
        <w:autoSpaceDE w:val="0"/>
        <w:autoSpaceDN w:val="0"/>
        <w:adjustRightInd w:val="0"/>
        <w:spacing w:line="276" w:lineRule="auto"/>
        <w:ind w:firstLine="709"/>
        <w:jc w:val="both"/>
        <w:rPr>
          <w:rFonts w:ascii="Tahoma" w:hAnsi="Tahoma" w:cs="Tahoma"/>
          <w:spacing w:val="-4"/>
        </w:rPr>
      </w:pPr>
    </w:p>
    <w:p w14:paraId="648B1620" w14:textId="77777777" w:rsidR="00DD2477" w:rsidRPr="00FF384B" w:rsidRDefault="00BF3B14" w:rsidP="002A7192">
      <w:pPr>
        <w:autoSpaceDE w:val="0"/>
        <w:autoSpaceDN w:val="0"/>
        <w:adjustRightInd w:val="0"/>
        <w:spacing w:line="276" w:lineRule="auto"/>
        <w:ind w:firstLine="709"/>
        <w:jc w:val="both"/>
        <w:rPr>
          <w:rFonts w:ascii="Tahoma" w:hAnsi="Tahoma" w:cs="Tahoma"/>
          <w:spacing w:val="-4"/>
        </w:rPr>
      </w:pPr>
      <w:r w:rsidRPr="00FF384B">
        <w:rPr>
          <w:rFonts w:ascii="Tahoma" w:hAnsi="Tahoma" w:cs="Tahoma"/>
          <w:spacing w:val="-4"/>
        </w:rPr>
        <w:t>A efectos de dar respuesta al problema jurídico planteado, es menester remembrar que las agencias en derecho constituyen la cantidad monetaria que se debe ordenar para el favorecido con la condena en costas, con el fin de resarcirle los gastos que tuvo que afrontar para pagar los honorarios de un abogado.</w:t>
      </w:r>
    </w:p>
    <w:p w14:paraId="1AFECC51" w14:textId="77777777" w:rsidR="00DD2477" w:rsidRPr="00FF384B" w:rsidRDefault="00DD2477" w:rsidP="002A7192">
      <w:pPr>
        <w:autoSpaceDE w:val="0"/>
        <w:autoSpaceDN w:val="0"/>
        <w:adjustRightInd w:val="0"/>
        <w:spacing w:line="276" w:lineRule="auto"/>
        <w:ind w:firstLine="709"/>
        <w:jc w:val="both"/>
        <w:rPr>
          <w:rFonts w:ascii="Tahoma" w:hAnsi="Tahoma" w:cs="Tahoma"/>
          <w:spacing w:val="-4"/>
        </w:rPr>
      </w:pPr>
    </w:p>
    <w:p w14:paraId="481C7EEF" w14:textId="3A79D412" w:rsidR="00BF3B14" w:rsidRPr="00FF384B" w:rsidRDefault="00BF3B14" w:rsidP="002A7192">
      <w:pPr>
        <w:autoSpaceDE w:val="0"/>
        <w:autoSpaceDN w:val="0"/>
        <w:adjustRightInd w:val="0"/>
        <w:spacing w:line="276" w:lineRule="auto"/>
        <w:ind w:firstLine="709"/>
        <w:jc w:val="both"/>
        <w:rPr>
          <w:rFonts w:ascii="Tahoma" w:hAnsi="Tahoma" w:cs="Tahoma"/>
          <w:spacing w:val="-4"/>
        </w:rPr>
      </w:pPr>
      <w:r w:rsidRPr="00FF384B">
        <w:rPr>
          <w:rFonts w:ascii="Tahoma" w:hAnsi="Tahoma" w:cs="Tahoma"/>
          <w:spacing w:val="-4"/>
        </w:rPr>
        <w:t xml:space="preserve">En sub lite, </w:t>
      </w:r>
      <w:r w:rsidR="00C57164" w:rsidRPr="00FF384B">
        <w:rPr>
          <w:rFonts w:ascii="Tahoma" w:hAnsi="Tahoma" w:cs="Tahoma"/>
          <w:spacing w:val="-4"/>
        </w:rPr>
        <w:t xml:space="preserve">las pretensiones del promotor de la litis fueron denegadas </w:t>
      </w:r>
      <w:r w:rsidRPr="00FF384B">
        <w:rPr>
          <w:rFonts w:ascii="Tahoma" w:hAnsi="Tahoma" w:cs="Tahoma"/>
          <w:spacing w:val="-4"/>
        </w:rPr>
        <w:t xml:space="preserve">en primera </w:t>
      </w:r>
      <w:r w:rsidR="00C57164" w:rsidRPr="00FF384B">
        <w:rPr>
          <w:rFonts w:ascii="Tahoma" w:hAnsi="Tahoma" w:cs="Tahoma"/>
          <w:spacing w:val="-4"/>
        </w:rPr>
        <w:t>instancia mediante fallo que fuera confirmado por esta Colegiatura en sede de apelaciones</w:t>
      </w:r>
      <w:r w:rsidRPr="00FF384B">
        <w:rPr>
          <w:rFonts w:ascii="Tahoma" w:hAnsi="Tahoma" w:cs="Tahoma"/>
          <w:spacing w:val="-4"/>
        </w:rPr>
        <w:t>, p</w:t>
      </w:r>
      <w:r w:rsidR="00CB3CCE" w:rsidRPr="00FF384B">
        <w:rPr>
          <w:rFonts w:ascii="Tahoma" w:hAnsi="Tahoma" w:cs="Tahoma"/>
          <w:spacing w:val="-4"/>
        </w:rPr>
        <w:t>or lo que</w:t>
      </w:r>
      <w:r w:rsidR="00C57164" w:rsidRPr="00FF384B">
        <w:rPr>
          <w:rFonts w:ascii="Tahoma" w:hAnsi="Tahoma" w:cs="Tahoma"/>
          <w:spacing w:val="-4"/>
        </w:rPr>
        <w:t>,</w:t>
      </w:r>
      <w:r w:rsidR="00CB3CCE" w:rsidRPr="00FF384B">
        <w:rPr>
          <w:rFonts w:ascii="Tahoma" w:hAnsi="Tahoma" w:cs="Tahoma"/>
          <w:spacing w:val="-4"/>
        </w:rPr>
        <w:t xml:space="preserve"> </w:t>
      </w:r>
      <w:r w:rsidR="00C57164" w:rsidRPr="00FF384B">
        <w:rPr>
          <w:rFonts w:ascii="Tahoma" w:hAnsi="Tahoma" w:cs="Tahoma"/>
          <w:spacing w:val="-4"/>
        </w:rPr>
        <w:t xml:space="preserve">según la normativa transcrita, </w:t>
      </w:r>
      <w:r w:rsidR="00CB3CCE" w:rsidRPr="00FF384B">
        <w:rPr>
          <w:rFonts w:ascii="Tahoma" w:hAnsi="Tahoma" w:cs="Tahoma"/>
          <w:spacing w:val="-4"/>
        </w:rPr>
        <w:t xml:space="preserve">las agencias debían cuantificarse entre un 4% y </w:t>
      </w:r>
      <w:r w:rsidR="00C57164" w:rsidRPr="00FF384B">
        <w:rPr>
          <w:rFonts w:ascii="Tahoma" w:hAnsi="Tahoma" w:cs="Tahoma"/>
          <w:spacing w:val="-4"/>
        </w:rPr>
        <w:t xml:space="preserve">un </w:t>
      </w:r>
      <w:r w:rsidR="00CB3CCE" w:rsidRPr="00FF384B">
        <w:rPr>
          <w:rFonts w:ascii="Tahoma" w:hAnsi="Tahoma" w:cs="Tahoma"/>
          <w:spacing w:val="-4"/>
        </w:rPr>
        <w:t xml:space="preserve">10% de </w:t>
      </w:r>
      <w:r w:rsidR="00C57164" w:rsidRPr="00FF384B">
        <w:rPr>
          <w:rFonts w:ascii="Tahoma" w:hAnsi="Tahoma" w:cs="Tahoma"/>
          <w:spacing w:val="-4"/>
        </w:rPr>
        <w:t xml:space="preserve">dichos pedidos, mismos que fueron cuantificados en la demanda en la suma de </w:t>
      </w:r>
      <w:r w:rsidR="00CB3CCE" w:rsidRPr="00FF384B">
        <w:rPr>
          <w:rFonts w:ascii="Tahoma" w:hAnsi="Tahoma" w:cs="Tahoma"/>
          <w:spacing w:val="-4"/>
        </w:rPr>
        <w:t>$29’845.93</w:t>
      </w:r>
      <w:r w:rsidR="00C57164" w:rsidRPr="00FF384B">
        <w:rPr>
          <w:rFonts w:ascii="Tahoma" w:hAnsi="Tahoma" w:cs="Tahoma"/>
          <w:spacing w:val="-4"/>
        </w:rPr>
        <w:t>2.</w:t>
      </w:r>
    </w:p>
    <w:p w14:paraId="4E631E90" w14:textId="77777777" w:rsidR="00D72843" w:rsidRPr="00FF384B" w:rsidRDefault="00D72843" w:rsidP="002A7192">
      <w:pPr>
        <w:autoSpaceDE w:val="0"/>
        <w:autoSpaceDN w:val="0"/>
        <w:adjustRightInd w:val="0"/>
        <w:spacing w:line="276" w:lineRule="auto"/>
        <w:jc w:val="both"/>
        <w:rPr>
          <w:rFonts w:ascii="Tahoma" w:hAnsi="Tahoma" w:cs="Tahoma"/>
          <w:spacing w:val="-4"/>
        </w:rPr>
      </w:pPr>
    </w:p>
    <w:p w14:paraId="083E64AE" w14:textId="2670180B" w:rsidR="00BF3B14" w:rsidRPr="00FF384B" w:rsidRDefault="00DD2477" w:rsidP="002A7192">
      <w:pPr>
        <w:autoSpaceDE w:val="0"/>
        <w:autoSpaceDN w:val="0"/>
        <w:adjustRightInd w:val="0"/>
        <w:spacing w:line="276" w:lineRule="auto"/>
        <w:ind w:firstLine="709"/>
        <w:jc w:val="both"/>
        <w:rPr>
          <w:rFonts w:ascii="Tahoma" w:hAnsi="Tahoma" w:cs="Tahoma"/>
          <w:spacing w:val="-4"/>
        </w:rPr>
      </w:pPr>
      <w:r w:rsidRPr="00FF384B">
        <w:rPr>
          <w:rFonts w:ascii="Tahoma" w:hAnsi="Tahoma" w:cs="Tahoma"/>
          <w:spacing w:val="-4"/>
        </w:rPr>
        <w:t xml:space="preserve">Así, </w:t>
      </w:r>
      <w:r w:rsidR="00BF3B14" w:rsidRPr="00FF384B">
        <w:rPr>
          <w:rFonts w:ascii="Tahoma" w:hAnsi="Tahoma" w:cs="Tahoma"/>
          <w:spacing w:val="-4"/>
        </w:rPr>
        <w:t>para concretar el valor de las referidas agencias se debieron analizar los criterios señalados en las normas antes señaladas, tales como la naturaleza, la calidad y la duración de la gestión realizada por el apoderado, la naturaleza de las pretensiones y demás circunstancias relacionadas.</w:t>
      </w:r>
    </w:p>
    <w:p w14:paraId="5CA92720" w14:textId="77777777" w:rsidR="00BF3B14" w:rsidRPr="00FF384B" w:rsidRDefault="00BF3B14" w:rsidP="002A7192">
      <w:pPr>
        <w:autoSpaceDE w:val="0"/>
        <w:autoSpaceDN w:val="0"/>
        <w:adjustRightInd w:val="0"/>
        <w:spacing w:line="276" w:lineRule="auto"/>
        <w:ind w:firstLine="709"/>
        <w:jc w:val="both"/>
        <w:rPr>
          <w:rFonts w:ascii="Tahoma" w:hAnsi="Tahoma" w:cs="Tahoma"/>
          <w:spacing w:val="-4"/>
        </w:rPr>
      </w:pPr>
    </w:p>
    <w:p w14:paraId="604ECE24" w14:textId="5B1F3668" w:rsidR="00BF3B14" w:rsidRPr="00FF384B" w:rsidRDefault="00BF3B14" w:rsidP="002A7192">
      <w:pPr>
        <w:autoSpaceDE w:val="0"/>
        <w:autoSpaceDN w:val="0"/>
        <w:adjustRightInd w:val="0"/>
        <w:spacing w:line="276" w:lineRule="auto"/>
        <w:ind w:firstLine="709"/>
        <w:jc w:val="both"/>
        <w:rPr>
          <w:rFonts w:ascii="Tahoma" w:hAnsi="Tahoma" w:cs="Tahoma"/>
          <w:spacing w:val="-4"/>
          <w:shd w:val="clear" w:color="auto" w:fill="FAF9F8"/>
        </w:rPr>
      </w:pPr>
      <w:r w:rsidRPr="00FF384B">
        <w:rPr>
          <w:rFonts w:ascii="Tahoma" w:hAnsi="Tahoma" w:cs="Tahoma"/>
          <w:spacing w:val="-4"/>
        </w:rPr>
        <w:t xml:space="preserve">En el caso concreto la pretensión perseguida era de carácter </w:t>
      </w:r>
      <w:r w:rsidR="00CB3CCE" w:rsidRPr="00FF384B">
        <w:rPr>
          <w:rFonts w:ascii="Tahoma" w:hAnsi="Tahoma" w:cs="Tahoma"/>
          <w:spacing w:val="-4"/>
        </w:rPr>
        <w:t>pecuniario, su duración en primera instancia superó un año</w:t>
      </w:r>
      <w:r w:rsidRPr="00FF384B">
        <w:rPr>
          <w:rFonts w:ascii="Tahoma" w:hAnsi="Tahoma" w:cs="Tahoma"/>
          <w:spacing w:val="-4"/>
        </w:rPr>
        <w:t xml:space="preserve">, esto es, entre el </w:t>
      </w:r>
      <w:r w:rsidR="00CB3CCE" w:rsidRPr="00FF384B">
        <w:rPr>
          <w:rFonts w:ascii="Tahoma" w:hAnsi="Tahoma" w:cs="Tahoma"/>
          <w:spacing w:val="-4"/>
        </w:rPr>
        <w:t>9 de septiembre de 2020</w:t>
      </w:r>
      <w:r w:rsidRPr="00FF384B">
        <w:rPr>
          <w:rFonts w:ascii="Tahoma" w:hAnsi="Tahoma" w:cs="Tahoma"/>
          <w:spacing w:val="-4"/>
        </w:rPr>
        <w:t xml:space="preserve">, fecha de presentación de la demanda, y el </w:t>
      </w:r>
      <w:r w:rsidR="009612E5" w:rsidRPr="00FF384B">
        <w:rPr>
          <w:rFonts w:ascii="Tahoma" w:hAnsi="Tahoma" w:cs="Tahoma"/>
          <w:spacing w:val="-4"/>
        </w:rPr>
        <w:t>2</w:t>
      </w:r>
      <w:r w:rsidR="00CB3CCE" w:rsidRPr="00FF384B">
        <w:rPr>
          <w:rFonts w:ascii="Tahoma" w:hAnsi="Tahoma" w:cs="Tahoma"/>
          <w:spacing w:val="-4"/>
        </w:rPr>
        <w:t>8 de septiembre</w:t>
      </w:r>
      <w:r w:rsidR="00424218" w:rsidRPr="00FF384B">
        <w:rPr>
          <w:rFonts w:ascii="Tahoma" w:hAnsi="Tahoma" w:cs="Tahoma"/>
          <w:spacing w:val="-4"/>
        </w:rPr>
        <w:t xml:space="preserve"> </w:t>
      </w:r>
      <w:r w:rsidRPr="00FF384B">
        <w:rPr>
          <w:rFonts w:ascii="Tahoma" w:hAnsi="Tahoma" w:cs="Tahoma"/>
          <w:spacing w:val="-4"/>
        </w:rPr>
        <w:t>de 20</w:t>
      </w:r>
      <w:r w:rsidR="009612E5" w:rsidRPr="00FF384B">
        <w:rPr>
          <w:rFonts w:ascii="Tahoma" w:hAnsi="Tahoma" w:cs="Tahoma"/>
          <w:spacing w:val="-4"/>
        </w:rPr>
        <w:t>21</w:t>
      </w:r>
      <w:r w:rsidRPr="00FF384B">
        <w:rPr>
          <w:rFonts w:ascii="Tahoma" w:hAnsi="Tahoma" w:cs="Tahoma"/>
          <w:spacing w:val="-4"/>
        </w:rPr>
        <w:t xml:space="preserve">, fecha en que se emitió sentencia a su favor, la cual fue apelada por </w:t>
      </w:r>
      <w:r w:rsidR="00CB3CCE" w:rsidRPr="00FF384B">
        <w:rPr>
          <w:rFonts w:ascii="Tahoma" w:hAnsi="Tahoma" w:cs="Tahoma"/>
          <w:spacing w:val="-4"/>
        </w:rPr>
        <w:t>e</w:t>
      </w:r>
      <w:r w:rsidRPr="00FF384B">
        <w:rPr>
          <w:rFonts w:ascii="Tahoma" w:hAnsi="Tahoma" w:cs="Tahoma"/>
          <w:spacing w:val="-4"/>
        </w:rPr>
        <w:t>l</w:t>
      </w:r>
      <w:r w:rsidR="00CB3CCE" w:rsidRPr="00FF384B">
        <w:rPr>
          <w:rFonts w:ascii="Tahoma" w:hAnsi="Tahoma" w:cs="Tahoma"/>
          <w:spacing w:val="-4"/>
        </w:rPr>
        <w:t xml:space="preserve"> demandante</w:t>
      </w:r>
      <w:r w:rsidR="00631813" w:rsidRPr="00FF384B">
        <w:rPr>
          <w:rFonts w:ascii="Tahoma" w:hAnsi="Tahoma" w:cs="Tahoma"/>
          <w:spacing w:val="-4"/>
        </w:rPr>
        <w:t>,</w:t>
      </w:r>
      <w:r w:rsidRPr="00FF384B">
        <w:rPr>
          <w:rFonts w:ascii="Tahoma" w:hAnsi="Tahoma" w:cs="Tahoma"/>
          <w:spacing w:val="-4"/>
        </w:rPr>
        <w:t xml:space="preserve"> emitiéndose sentencia por parte de esta Colegiatura el </w:t>
      </w:r>
      <w:r w:rsidR="00CB3CCE" w:rsidRPr="00FF384B">
        <w:rPr>
          <w:rFonts w:ascii="Tahoma" w:hAnsi="Tahoma" w:cs="Tahoma"/>
          <w:spacing w:val="-4"/>
        </w:rPr>
        <w:t>14</w:t>
      </w:r>
      <w:r w:rsidR="00424218" w:rsidRPr="00FF384B">
        <w:rPr>
          <w:rFonts w:ascii="Tahoma" w:hAnsi="Tahoma" w:cs="Tahoma"/>
          <w:spacing w:val="-4"/>
        </w:rPr>
        <w:t xml:space="preserve"> de </w:t>
      </w:r>
      <w:r w:rsidR="00CB3CCE" w:rsidRPr="00FF384B">
        <w:rPr>
          <w:rFonts w:ascii="Tahoma" w:hAnsi="Tahoma" w:cs="Tahoma"/>
          <w:spacing w:val="-4"/>
        </w:rPr>
        <w:t>marzo de 2022; es decir, no se superaron en ambas instancias los dos años</w:t>
      </w:r>
      <w:r w:rsidRPr="00FF384B">
        <w:rPr>
          <w:rFonts w:ascii="Tahoma" w:hAnsi="Tahoma" w:cs="Tahoma"/>
          <w:spacing w:val="-4"/>
        </w:rPr>
        <w:t>.</w:t>
      </w:r>
    </w:p>
    <w:p w14:paraId="4A471AE9" w14:textId="77777777" w:rsidR="00BF3B14" w:rsidRPr="00FF384B" w:rsidRDefault="00BF3B14" w:rsidP="002A7192">
      <w:pPr>
        <w:autoSpaceDE w:val="0"/>
        <w:autoSpaceDN w:val="0"/>
        <w:adjustRightInd w:val="0"/>
        <w:spacing w:line="276" w:lineRule="auto"/>
        <w:ind w:firstLine="709"/>
        <w:jc w:val="both"/>
        <w:rPr>
          <w:rFonts w:ascii="Tahoma" w:hAnsi="Tahoma" w:cs="Tahoma"/>
          <w:spacing w:val="-4"/>
          <w:shd w:val="clear" w:color="auto" w:fill="FAF9F8"/>
        </w:rPr>
      </w:pPr>
    </w:p>
    <w:p w14:paraId="28A01E41" w14:textId="1A4D60AC" w:rsidR="00F33784" w:rsidRPr="00FF384B" w:rsidRDefault="00BF3B14" w:rsidP="002A7192">
      <w:pPr>
        <w:autoSpaceDE w:val="0"/>
        <w:autoSpaceDN w:val="0"/>
        <w:adjustRightInd w:val="0"/>
        <w:spacing w:line="276" w:lineRule="auto"/>
        <w:ind w:firstLine="709"/>
        <w:jc w:val="both"/>
        <w:rPr>
          <w:rFonts w:ascii="Tahoma" w:hAnsi="Tahoma" w:cs="Tahoma"/>
          <w:spacing w:val="-4"/>
        </w:rPr>
      </w:pPr>
      <w:r w:rsidRPr="00FF384B">
        <w:rPr>
          <w:rFonts w:ascii="Tahoma" w:hAnsi="Tahoma" w:cs="Tahoma"/>
          <w:spacing w:val="-4"/>
        </w:rPr>
        <w:t xml:space="preserve">En el expediente digital se advierte que la profesional que representa los intereses de la </w:t>
      </w:r>
      <w:r w:rsidR="00CB3CCE" w:rsidRPr="00FF384B">
        <w:rPr>
          <w:rFonts w:ascii="Tahoma" w:hAnsi="Tahoma" w:cs="Tahoma"/>
          <w:spacing w:val="-4"/>
        </w:rPr>
        <w:t xml:space="preserve">pasiva, a pesar de que atendió oportunamente los llamados del juzgado de origen, no desplegó una carga probatoria </w:t>
      </w:r>
      <w:r w:rsidR="009B6D1E" w:rsidRPr="00FF384B">
        <w:rPr>
          <w:rFonts w:ascii="Tahoma" w:hAnsi="Tahoma" w:cs="Tahoma"/>
          <w:spacing w:val="-4"/>
        </w:rPr>
        <w:t>distinta a la de allegar la documental que le incumbía por estar en su haber</w:t>
      </w:r>
      <w:r w:rsidRPr="00FF384B">
        <w:rPr>
          <w:rFonts w:ascii="Tahoma" w:hAnsi="Tahoma" w:cs="Tahoma"/>
          <w:spacing w:val="-4"/>
        </w:rPr>
        <w:t xml:space="preserve">, </w:t>
      </w:r>
      <w:r w:rsidR="009B6D1E" w:rsidRPr="00FF384B">
        <w:rPr>
          <w:rFonts w:ascii="Tahoma" w:hAnsi="Tahoma" w:cs="Tahoma"/>
          <w:spacing w:val="-4"/>
        </w:rPr>
        <w:t xml:space="preserve">por lo que a juicio de esta Colegiatura </w:t>
      </w:r>
      <w:r w:rsidR="00FD46BA" w:rsidRPr="00FF384B">
        <w:rPr>
          <w:rFonts w:ascii="Tahoma" w:hAnsi="Tahoma" w:cs="Tahoma"/>
          <w:spacing w:val="-4"/>
        </w:rPr>
        <w:t>los montos establecidos por la operadora jurídica de instancia no se acompasan al verdadero devenir de la litis, siendo</w:t>
      </w:r>
      <w:r w:rsidR="009B6D1E" w:rsidRPr="00FF384B">
        <w:rPr>
          <w:rFonts w:ascii="Tahoma" w:hAnsi="Tahoma" w:cs="Tahoma"/>
          <w:spacing w:val="-4"/>
        </w:rPr>
        <w:t xml:space="preserve"> dable </w:t>
      </w:r>
      <w:r w:rsidR="00FD46BA" w:rsidRPr="00FF384B">
        <w:rPr>
          <w:rFonts w:ascii="Tahoma" w:hAnsi="Tahoma" w:cs="Tahoma"/>
          <w:spacing w:val="-4"/>
        </w:rPr>
        <w:t>fijar como agencias en derecho de primera instancia e</w:t>
      </w:r>
      <w:r w:rsidR="009B6D1E" w:rsidRPr="00FF384B">
        <w:rPr>
          <w:rFonts w:ascii="Tahoma" w:hAnsi="Tahoma" w:cs="Tahoma"/>
          <w:spacing w:val="-4"/>
        </w:rPr>
        <w:t xml:space="preserve">l </w:t>
      </w:r>
      <w:r w:rsidR="00F33784" w:rsidRPr="00FF384B">
        <w:rPr>
          <w:rFonts w:ascii="Tahoma" w:hAnsi="Tahoma" w:cs="Tahoma"/>
          <w:spacing w:val="-4"/>
        </w:rPr>
        <w:t xml:space="preserve">porcentaje mínimo establecido en las normas previamente transcritas, esto es, al </w:t>
      </w:r>
      <w:r w:rsidR="009B6D1E" w:rsidRPr="00FF384B">
        <w:rPr>
          <w:rFonts w:ascii="Tahoma" w:hAnsi="Tahoma" w:cs="Tahoma"/>
          <w:spacing w:val="-4"/>
        </w:rPr>
        <w:t>4%</w:t>
      </w:r>
      <w:r w:rsidR="00F33784" w:rsidRPr="00FF384B">
        <w:rPr>
          <w:rFonts w:ascii="Tahoma" w:hAnsi="Tahoma" w:cs="Tahoma"/>
          <w:spacing w:val="-4"/>
        </w:rPr>
        <w:t xml:space="preserve"> del monto </w:t>
      </w:r>
      <w:r w:rsidR="009B6D1E" w:rsidRPr="00FF384B">
        <w:rPr>
          <w:rFonts w:ascii="Tahoma" w:hAnsi="Tahoma" w:cs="Tahoma"/>
          <w:spacing w:val="-4"/>
        </w:rPr>
        <w:t>de las pretensiones</w:t>
      </w:r>
      <w:r w:rsidR="00F33784" w:rsidRPr="00FF384B">
        <w:rPr>
          <w:rFonts w:ascii="Tahoma" w:hAnsi="Tahoma" w:cs="Tahoma"/>
          <w:spacing w:val="-4"/>
        </w:rPr>
        <w:t xml:space="preserve">, lo cual equivale a </w:t>
      </w:r>
      <w:r w:rsidR="009B6D1E" w:rsidRPr="00FF384B">
        <w:rPr>
          <w:rFonts w:ascii="Tahoma" w:hAnsi="Tahoma" w:cs="Tahoma"/>
          <w:spacing w:val="-4"/>
        </w:rPr>
        <w:t>$1.193.837,28</w:t>
      </w:r>
      <w:r w:rsidR="00F33784" w:rsidRPr="00FF384B">
        <w:rPr>
          <w:rFonts w:ascii="Tahoma" w:hAnsi="Tahoma" w:cs="Tahoma"/>
          <w:spacing w:val="-4"/>
        </w:rPr>
        <w:t>.</w:t>
      </w:r>
    </w:p>
    <w:p w14:paraId="45EED29D" w14:textId="77777777" w:rsidR="00F33784" w:rsidRPr="00FF384B" w:rsidRDefault="00F33784" w:rsidP="002A7192">
      <w:pPr>
        <w:autoSpaceDE w:val="0"/>
        <w:autoSpaceDN w:val="0"/>
        <w:adjustRightInd w:val="0"/>
        <w:spacing w:line="276" w:lineRule="auto"/>
        <w:ind w:firstLine="709"/>
        <w:jc w:val="both"/>
        <w:rPr>
          <w:rFonts w:ascii="Tahoma" w:hAnsi="Tahoma" w:cs="Tahoma"/>
          <w:spacing w:val="-4"/>
        </w:rPr>
      </w:pPr>
    </w:p>
    <w:p w14:paraId="616ACF06" w14:textId="0FA2AC0C" w:rsidR="00F33784" w:rsidRPr="00FF384B" w:rsidRDefault="00F33784" w:rsidP="002A7192">
      <w:pPr>
        <w:autoSpaceDE w:val="0"/>
        <w:autoSpaceDN w:val="0"/>
        <w:adjustRightInd w:val="0"/>
        <w:spacing w:line="276" w:lineRule="auto"/>
        <w:ind w:firstLine="709"/>
        <w:jc w:val="both"/>
        <w:rPr>
          <w:rFonts w:ascii="Tahoma" w:hAnsi="Tahoma" w:cs="Tahoma"/>
          <w:spacing w:val="-4"/>
        </w:rPr>
      </w:pPr>
      <w:r w:rsidRPr="00FF384B">
        <w:rPr>
          <w:rFonts w:ascii="Tahoma" w:hAnsi="Tahoma" w:cs="Tahoma"/>
          <w:spacing w:val="-4"/>
        </w:rPr>
        <w:t>La misma intelección se aplica en lo relativo a las agencias de segunda instancia, dada la duración del trámite en sede de apelaciones y la carga desplegada por las partes en contienda. De manera</w:t>
      </w:r>
      <w:r w:rsidR="009B6D1E" w:rsidRPr="00FF384B">
        <w:rPr>
          <w:rFonts w:ascii="Tahoma" w:hAnsi="Tahoma" w:cs="Tahoma"/>
          <w:spacing w:val="-4"/>
        </w:rPr>
        <w:t xml:space="preserve"> que </w:t>
      </w:r>
      <w:r w:rsidRPr="00FF384B">
        <w:rPr>
          <w:rFonts w:ascii="Tahoma" w:hAnsi="Tahoma" w:cs="Tahoma"/>
          <w:spacing w:val="-4"/>
        </w:rPr>
        <w:t>las agencias de segundo grado se reducirán</w:t>
      </w:r>
      <w:r w:rsidR="009B6D1E" w:rsidRPr="00FF384B">
        <w:rPr>
          <w:rFonts w:ascii="Tahoma" w:hAnsi="Tahoma" w:cs="Tahoma"/>
          <w:spacing w:val="-4"/>
        </w:rPr>
        <w:t xml:space="preserve"> a un salario mínimo </w:t>
      </w:r>
      <w:r w:rsidRPr="00FF384B">
        <w:rPr>
          <w:rFonts w:ascii="Tahoma" w:hAnsi="Tahoma" w:cs="Tahoma"/>
          <w:spacing w:val="-4"/>
        </w:rPr>
        <w:t>legal mensual vigente, es decir, $1.000.000.</w:t>
      </w:r>
    </w:p>
    <w:p w14:paraId="452456FE" w14:textId="2CC7397B" w:rsidR="00F33784" w:rsidRPr="00FF384B" w:rsidRDefault="00F33784" w:rsidP="002A7192">
      <w:pPr>
        <w:autoSpaceDE w:val="0"/>
        <w:autoSpaceDN w:val="0"/>
        <w:adjustRightInd w:val="0"/>
        <w:spacing w:line="276" w:lineRule="auto"/>
        <w:ind w:firstLine="709"/>
        <w:jc w:val="both"/>
        <w:rPr>
          <w:rFonts w:ascii="Tahoma" w:hAnsi="Tahoma" w:cs="Tahoma"/>
          <w:spacing w:val="-4"/>
        </w:rPr>
      </w:pPr>
    </w:p>
    <w:p w14:paraId="031D9B55" w14:textId="527E3E39" w:rsidR="009B6D1E" w:rsidRPr="00FF384B" w:rsidRDefault="00FD46BA" w:rsidP="002A7192">
      <w:pPr>
        <w:autoSpaceDE w:val="0"/>
        <w:autoSpaceDN w:val="0"/>
        <w:adjustRightInd w:val="0"/>
        <w:spacing w:line="276" w:lineRule="auto"/>
        <w:ind w:firstLine="709"/>
        <w:jc w:val="both"/>
        <w:rPr>
          <w:rFonts w:ascii="Tahoma" w:hAnsi="Tahoma" w:cs="Tahoma"/>
          <w:spacing w:val="-4"/>
        </w:rPr>
      </w:pPr>
      <w:r w:rsidRPr="00FF384B">
        <w:rPr>
          <w:rFonts w:ascii="Tahoma" w:hAnsi="Tahoma" w:cs="Tahoma"/>
          <w:spacing w:val="-4"/>
        </w:rPr>
        <w:t xml:space="preserve">Como consecuencia de lo anterior se revocará la decisión </w:t>
      </w:r>
      <w:r w:rsidR="009B6D1E" w:rsidRPr="00FF384B">
        <w:rPr>
          <w:rFonts w:ascii="Tahoma" w:hAnsi="Tahoma" w:cs="Tahoma"/>
          <w:spacing w:val="-4"/>
        </w:rPr>
        <w:t>de primer grado</w:t>
      </w:r>
      <w:r w:rsidRPr="00FF384B">
        <w:rPr>
          <w:rFonts w:ascii="Tahoma" w:hAnsi="Tahoma" w:cs="Tahoma"/>
          <w:spacing w:val="-4"/>
        </w:rPr>
        <w:t xml:space="preserve"> para establecer que las costas procesales que debe cancelar la parte demandante a la </w:t>
      </w:r>
      <w:r w:rsidRPr="00FF384B">
        <w:rPr>
          <w:rFonts w:ascii="Tahoma" w:hAnsi="Tahoma" w:cs="Tahoma"/>
          <w:spacing w:val="-4"/>
        </w:rPr>
        <w:lastRenderedPageBreak/>
        <w:t xml:space="preserve">demandada corresponden a la suma de $2.193.837,28, </w:t>
      </w:r>
      <w:r w:rsidR="002726B7" w:rsidRPr="00FF384B">
        <w:rPr>
          <w:rFonts w:ascii="Tahoma" w:hAnsi="Tahoma" w:cs="Tahoma"/>
          <w:spacing w:val="-4"/>
        </w:rPr>
        <w:t xml:space="preserve">como </w:t>
      </w:r>
      <w:r w:rsidRPr="00FF384B">
        <w:rPr>
          <w:rFonts w:ascii="Tahoma" w:hAnsi="Tahoma" w:cs="Tahoma"/>
          <w:spacing w:val="-4"/>
        </w:rPr>
        <w:t>sumatoria de las agencias en derecho establecidas de primera y segunda instancia.</w:t>
      </w:r>
    </w:p>
    <w:p w14:paraId="0AEA3D14" w14:textId="77777777" w:rsidR="00BF3B14" w:rsidRPr="00FF384B" w:rsidRDefault="00BF3B14" w:rsidP="002A7192">
      <w:pPr>
        <w:autoSpaceDE w:val="0"/>
        <w:autoSpaceDN w:val="0"/>
        <w:adjustRightInd w:val="0"/>
        <w:spacing w:line="276" w:lineRule="auto"/>
        <w:jc w:val="both"/>
        <w:rPr>
          <w:rFonts w:ascii="Tahoma" w:hAnsi="Tahoma" w:cs="Tahoma"/>
          <w:spacing w:val="-4"/>
        </w:rPr>
      </w:pPr>
    </w:p>
    <w:p w14:paraId="5735CF14" w14:textId="3389D78B" w:rsidR="00BF3B14" w:rsidRPr="00FF384B" w:rsidRDefault="00BF3B14" w:rsidP="002A7192">
      <w:pPr>
        <w:autoSpaceDE w:val="0"/>
        <w:autoSpaceDN w:val="0"/>
        <w:adjustRightInd w:val="0"/>
        <w:spacing w:line="276" w:lineRule="auto"/>
        <w:ind w:firstLine="708"/>
        <w:jc w:val="both"/>
        <w:rPr>
          <w:rFonts w:ascii="Tahoma" w:hAnsi="Tahoma" w:cs="Tahoma"/>
          <w:spacing w:val="-4"/>
        </w:rPr>
      </w:pPr>
      <w:r w:rsidRPr="00FF384B">
        <w:rPr>
          <w:rFonts w:ascii="Tahoma" w:hAnsi="Tahoma" w:cs="Tahoma"/>
          <w:spacing w:val="-4"/>
        </w:rPr>
        <w:t xml:space="preserve">Al haber prosperado el recurso, </w:t>
      </w:r>
      <w:r w:rsidR="009B6D1E" w:rsidRPr="00FF384B">
        <w:rPr>
          <w:rFonts w:ascii="Tahoma" w:hAnsi="Tahoma" w:cs="Tahoma"/>
          <w:spacing w:val="-4"/>
        </w:rPr>
        <w:t>no habrá condena en costas procesales en segunda instancia.</w:t>
      </w:r>
    </w:p>
    <w:p w14:paraId="46560F8D" w14:textId="77777777" w:rsidR="00BF3B14" w:rsidRPr="00FF384B" w:rsidRDefault="00BF3B14" w:rsidP="002A7192">
      <w:pPr>
        <w:autoSpaceDE w:val="0"/>
        <w:autoSpaceDN w:val="0"/>
        <w:adjustRightInd w:val="0"/>
        <w:spacing w:line="276" w:lineRule="auto"/>
        <w:ind w:firstLine="561"/>
        <w:jc w:val="both"/>
        <w:rPr>
          <w:rFonts w:ascii="Tahoma" w:hAnsi="Tahoma" w:cs="Tahoma"/>
          <w:spacing w:val="-4"/>
        </w:rPr>
      </w:pPr>
    </w:p>
    <w:p w14:paraId="6E9F7387" w14:textId="77777777" w:rsidR="00BF3B14" w:rsidRPr="00FF384B" w:rsidRDefault="00BF3B14" w:rsidP="002A7192">
      <w:pPr>
        <w:spacing w:line="276" w:lineRule="auto"/>
        <w:ind w:firstLine="708"/>
        <w:jc w:val="both"/>
        <w:rPr>
          <w:rFonts w:ascii="Tahoma" w:hAnsi="Tahoma" w:cs="Tahoma"/>
          <w:b/>
          <w:spacing w:val="-4"/>
        </w:rPr>
      </w:pPr>
      <w:r w:rsidRPr="00FF384B">
        <w:rPr>
          <w:rFonts w:ascii="Tahoma" w:hAnsi="Tahoma" w:cs="Tahoma"/>
          <w:spacing w:val="-4"/>
        </w:rPr>
        <w:t xml:space="preserve">En mérito de lo expuesto, el </w:t>
      </w:r>
      <w:r w:rsidRPr="00FF384B">
        <w:rPr>
          <w:rFonts w:ascii="Tahoma" w:hAnsi="Tahoma" w:cs="Tahoma"/>
          <w:b/>
          <w:spacing w:val="-4"/>
        </w:rPr>
        <w:t xml:space="preserve">Tribunal Superior del Distrito Judicial de Pereira, Sala Primera de Decisión Laboral, </w:t>
      </w:r>
    </w:p>
    <w:p w14:paraId="7620040A" w14:textId="77777777" w:rsidR="00BF3B14" w:rsidRPr="00FF384B" w:rsidRDefault="00BF3B14" w:rsidP="002A7192">
      <w:pPr>
        <w:spacing w:line="276" w:lineRule="auto"/>
        <w:ind w:firstLine="708"/>
        <w:jc w:val="both"/>
        <w:rPr>
          <w:rFonts w:ascii="Tahoma" w:hAnsi="Tahoma" w:cs="Tahoma"/>
          <w:b/>
          <w:spacing w:val="-4"/>
        </w:rPr>
      </w:pPr>
    </w:p>
    <w:p w14:paraId="4547F988" w14:textId="77777777" w:rsidR="00BF3B14" w:rsidRPr="00FF384B" w:rsidRDefault="00BF3B14" w:rsidP="002A7192">
      <w:pPr>
        <w:spacing w:line="276" w:lineRule="auto"/>
        <w:ind w:firstLine="708"/>
        <w:jc w:val="both"/>
        <w:rPr>
          <w:rFonts w:ascii="Tahoma" w:hAnsi="Tahoma" w:cs="Tahoma"/>
          <w:b/>
          <w:spacing w:val="-4"/>
        </w:rPr>
      </w:pPr>
    </w:p>
    <w:p w14:paraId="753CA0A8" w14:textId="77777777" w:rsidR="00BF3B14" w:rsidRPr="00FF384B" w:rsidRDefault="00BF3B14" w:rsidP="002A7192">
      <w:pPr>
        <w:spacing w:line="276" w:lineRule="auto"/>
        <w:ind w:firstLine="708"/>
        <w:jc w:val="center"/>
        <w:rPr>
          <w:rFonts w:ascii="Tahoma" w:hAnsi="Tahoma" w:cs="Tahoma"/>
          <w:b/>
          <w:spacing w:val="-4"/>
        </w:rPr>
      </w:pPr>
      <w:r w:rsidRPr="00FF384B">
        <w:rPr>
          <w:rFonts w:ascii="Tahoma" w:hAnsi="Tahoma" w:cs="Tahoma"/>
          <w:b/>
          <w:spacing w:val="-4"/>
        </w:rPr>
        <w:t>R E S U E L V E:</w:t>
      </w:r>
    </w:p>
    <w:p w14:paraId="31EC4D76" w14:textId="77777777" w:rsidR="00BF3B14" w:rsidRPr="00FF384B" w:rsidRDefault="00BF3B14" w:rsidP="002A7192">
      <w:pPr>
        <w:spacing w:line="276" w:lineRule="auto"/>
        <w:ind w:firstLine="708"/>
        <w:jc w:val="center"/>
        <w:rPr>
          <w:rFonts w:ascii="Tahoma" w:hAnsi="Tahoma" w:cs="Tahoma"/>
          <w:b/>
          <w:spacing w:val="-4"/>
        </w:rPr>
      </w:pPr>
    </w:p>
    <w:p w14:paraId="5164683B" w14:textId="0E70A341" w:rsidR="00BF3B14" w:rsidRPr="00FF384B" w:rsidRDefault="002A7192" w:rsidP="002A7192">
      <w:pPr>
        <w:spacing w:line="276" w:lineRule="auto"/>
        <w:ind w:firstLine="708"/>
        <w:jc w:val="both"/>
        <w:rPr>
          <w:rFonts w:ascii="Tahoma" w:hAnsi="Tahoma" w:cs="Tahoma"/>
          <w:spacing w:val="-4"/>
        </w:rPr>
      </w:pPr>
      <w:r w:rsidRPr="00FF384B">
        <w:rPr>
          <w:rFonts w:ascii="Tahoma" w:hAnsi="Tahoma" w:cs="Tahoma"/>
          <w:b/>
          <w:bCs/>
          <w:spacing w:val="-4"/>
        </w:rPr>
        <w:t>Primero. -</w:t>
      </w:r>
      <w:r w:rsidR="00BF3B14" w:rsidRPr="00FF384B">
        <w:rPr>
          <w:rFonts w:ascii="Tahoma" w:hAnsi="Tahoma" w:cs="Tahoma"/>
          <w:b/>
          <w:bCs/>
          <w:spacing w:val="-4"/>
        </w:rPr>
        <w:t xml:space="preserve"> R</w:t>
      </w:r>
      <w:r w:rsidR="009B6D1E" w:rsidRPr="00FF384B">
        <w:rPr>
          <w:rFonts w:ascii="Tahoma" w:hAnsi="Tahoma" w:cs="Tahoma"/>
          <w:b/>
          <w:bCs/>
          <w:spacing w:val="-4"/>
        </w:rPr>
        <w:t>EVOCAR</w:t>
      </w:r>
      <w:r w:rsidR="00BF3B14" w:rsidRPr="00FF384B">
        <w:rPr>
          <w:rFonts w:ascii="Tahoma" w:hAnsi="Tahoma" w:cs="Tahoma"/>
          <w:b/>
          <w:bCs/>
          <w:spacing w:val="-4"/>
        </w:rPr>
        <w:t xml:space="preserve"> </w:t>
      </w:r>
      <w:r w:rsidR="00BF3B14" w:rsidRPr="00FF384B">
        <w:rPr>
          <w:rFonts w:ascii="Tahoma" w:hAnsi="Tahoma" w:cs="Tahoma"/>
          <w:spacing w:val="-4"/>
        </w:rPr>
        <w:t xml:space="preserve">el auto proferido el </w:t>
      </w:r>
      <w:r w:rsidR="0079063C" w:rsidRPr="00FF384B">
        <w:rPr>
          <w:rFonts w:ascii="Tahoma" w:hAnsi="Tahoma" w:cs="Tahoma"/>
          <w:spacing w:val="-4"/>
        </w:rPr>
        <w:t>11</w:t>
      </w:r>
      <w:r w:rsidR="00371AB9" w:rsidRPr="00FF384B">
        <w:rPr>
          <w:rFonts w:ascii="Tahoma" w:hAnsi="Tahoma" w:cs="Tahoma"/>
          <w:spacing w:val="-4"/>
        </w:rPr>
        <w:t xml:space="preserve"> de </w:t>
      </w:r>
      <w:r w:rsidR="0079063C" w:rsidRPr="00FF384B">
        <w:rPr>
          <w:rFonts w:ascii="Tahoma" w:hAnsi="Tahoma" w:cs="Tahoma"/>
          <w:spacing w:val="-4"/>
        </w:rPr>
        <w:t xml:space="preserve">julio </w:t>
      </w:r>
      <w:r w:rsidR="00371AB9" w:rsidRPr="00FF384B">
        <w:rPr>
          <w:rFonts w:ascii="Tahoma" w:hAnsi="Tahoma" w:cs="Tahoma"/>
          <w:spacing w:val="-4"/>
        </w:rPr>
        <w:t>d</w:t>
      </w:r>
      <w:r w:rsidR="00BF3B14" w:rsidRPr="00FF384B">
        <w:rPr>
          <w:rFonts w:ascii="Tahoma" w:hAnsi="Tahoma" w:cs="Tahoma"/>
          <w:spacing w:val="-4"/>
        </w:rPr>
        <w:t>e 202</w:t>
      </w:r>
      <w:r w:rsidR="00371AB9" w:rsidRPr="00FF384B">
        <w:rPr>
          <w:rFonts w:ascii="Tahoma" w:hAnsi="Tahoma" w:cs="Tahoma"/>
          <w:spacing w:val="-4"/>
        </w:rPr>
        <w:t>2</w:t>
      </w:r>
      <w:r w:rsidR="00BF3B14" w:rsidRPr="00FF384B">
        <w:rPr>
          <w:rFonts w:ascii="Tahoma" w:hAnsi="Tahoma" w:cs="Tahoma"/>
          <w:spacing w:val="-4"/>
        </w:rPr>
        <w:t xml:space="preserve"> por el Juzgado </w:t>
      </w:r>
      <w:r w:rsidR="0079063C" w:rsidRPr="00FF384B">
        <w:rPr>
          <w:rFonts w:ascii="Tahoma" w:hAnsi="Tahoma" w:cs="Tahoma"/>
          <w:spacing w:val="-4"/>
        </w:rPr>
        <w:t>Cuarto</w:t>
      </w:r>
      <w:r w:rsidR="00BF3B14" w:rsidRPr="00FF384B">
        <w:rPr>
          <w:rFonts w:ascii="Tahoma" w:hAnsi="Tahoma" w:cs="Tahoma"/>
          <w:spacing w:val="-4"/>
        </w:rPr>
        <w:t xml:space="preserve"> Laboral del Circuito de Pereira, por las razones expuestas en la parte motiva de esta providencia</w:t>
      </w:r>
      <w:r w:rsidR="0079063C" w:rsidRPr="00FF384B">
        <w:rPr>
          <w:rFonts w:ascii="Tahoma" w:hAnsi="Tahoma" w:cs="Tahoma"/>
          <w:spacing w:val="-4"/>
        </w:rPr>
        <w:t xml:space="preserve"> y, en consecuencia, establecer que las costas procesales </w:t>
      </w:r>
      <w:r w:rsidR="002726B7" w:rsidRPr="00FF384B">
        <w:rPr>
          <w:rFonts w:ascii="Tahoma" w:hAnsi="Tahoma" w:cs="Tahoma"/>
          <w:spacing w:val="-4"/>
        </w:rPr>
        <w:t xml:space="preserve">de primera y segunda instancia </w:t>
      </w:r>
      <w:r w:rsidR="0079063C" w:rsidRPr="00FF384B">
        <w:rPr>
          <w:rFonts w:ascii="Tahoma" w:hAnsi="Tahoma" w:cs="Tahoma"/>
          <w:spacing w:val="-4"/>
        </w:rPr>
        <w:t>que debe cancelar la parte demandante a la demandada corresponden a la suma de $2.193.837,28</w:t>
      </w:r>
      <w:r w:rsidR="00BF3B14" w:rsidRPr="00FF384B">
        <w:rPr>
          <w:rFonts w:ascii="Tahoma" w:hAnsi="Tahoma" w:cs="Tahoma"/>
          <w:spacing w:val="-4"/>
        </w:rPr>
        <w:t>.</w:t>
      </w:r>
    </w:p>
    <w:p w14:paraId="13FF7A66" w14:textId="77777777" w:rsidR="00BF3B14" w:rsidRPr="00FF384B" w:rsidRDefault="00BF3B14" w:rsidP="002A7192">
      <w:pPr>
        <w:spacing w:line="276" w:lineRule="auto"/>
        <w:ind w:firstLine="708"/>
        <w:jc w:val="both"/>
        <w:rPr>
          <w:rFonts w:ascii="Tahoma" w:hAnsi="Tahoma" w:cs="Tahoma"/>
          <w:spacing w:val="-4"/>
        </w:rPr>
      </w:pPr>
    </w:p>
    <w:p w14:paraId="4B076229" w14:textId="5AA60D8F" w:rsidR="00BF3B14" w:rsidRPr="00FF384B" w:rsidRDefault="002A7192" w:rsidP="002A7192">
      <w:pPr>
        <w:spacing w:line="276" w:lineRule="auto"/>
        <w:ind w:firstLine="708"/>
        <w:jc w:val="both"/>
        <w:rPr>
          <w:rFonts w:ascii="Tahoma" w:hAnsi="Tahoma" w:cs="Tahoma"/>
          <w:spacing w:val="-4"/>
        </w:rPr>
      </w:pPr>
      <w:r w:rsidRPr="00FF384B">
        <w:rPr>
          <w:rFonts w:ascii="Tahoma" w:hAnsi="Tahoma" w:cs="Tahoma"/>
          <w:b/>
          <w:spacing w:val="-4"/>
        </w:rPr>
        <w:t>Segundo. -</w:t>
      </w:r>
      <w:r w:rsidR="00BF3B14" w:rsidRPr="00FF384B">
        <w:rPr>
          <w:rFonts w:ascii="Tahoma" w:hAnsi="Tahoma" w:cs="Tahoma"/>
          <w:spacing w:val="-4"/>
        </w:rPr>
        <w:t xml:space="preserve"> </w:t>
      </w:r>
      <w:r w:rsidR="0079063C" w:rsidRPr="00FF384B">
        <w:rPr>
          <w:rFonts w:ascii="Tahoma" w:hAnsi="Tahoma" w:cs="Tahoma"/>
          <w:spacing w:val="-4"/>
        </w:rPr>
        <w:t>Sin costas procesales en segunda instancia.</w:t>
      </w:r>
    </w:p>
    <w:p w14:paraId="754DA731" w14:textId="77777777" w:rsidR="00BF3B14" w:rsidRPr="002A7192" w:rsidRDefault="00BF3B14" w:rsidP="002A7192">
      <w:pPr>
        <w:spacing w:line="276" w:lineRule="auto"/>
        <w:jc w:val="both"/>
        <w:rPr>
          <w:rFonts w:ascii="Tahoma" w:hAnsi="Tahoma" w:cs="Tahoma"/>
        </w:rPr>
      </w:pPr>
    </w:p>
    <w:p w14:paraId="3F13FD02" w14:textId="77777777" w:rsidR="00BF3B14" w:rsidRPr="002A7192" w:rsidRDefault="00BF3B14" w:rsidP="002A7192">
      <w:pPr>
        <w:widowControl w:val="0"/>
        <w:autoSpaceDE w:val="0"/>
        <w:autoSpaceDN w:val="0"/>
        <w:adjustRightInd w:val="0"/>
        <w:spacing w:line="276" w:lineRule="auto"/>
        <w:jc w:val="center"/>
        <w:rPr>
          <w:rFonts w:ascii="Tahoma" w:hAnsi="Tahoma" w:cs="Tahoma"/>
          <w:b/>
        </w:rPr>
      </w:pPr>
      <w:r w:rsidRPr="002A7192">
        <w:rPr>
          <w:rFonts w:ascii="Tahoma" w:hAnsi="Tahoma" w:cs="Tahoma"/>
          <w:b/>
        </w:rPr>
        <w:t>NOTIFÍQUESE Y CÚMPLASE</w:t>
      </w:r>
    </w:p>
    <w:p w14:paraId="1420F90F" w14:textId="77777777" w:rsidR="002A7192" w:rsidRPr="002A7192" w:rsidRDefault="002A7192" w:rsidP="002A7192">
      <w:pPr>
        <w:spacing w:line="276" w:lineRule="auto"/>
        <w:jc w:val="both"/>
        <w:rPr>
          <w:rFonts w:ascii="Tahoma" w:eastAsia="Segoe UI" w:hAnsi="Tahoma" w:cs="Tahoma"/>
          <w:lang w:val="es-CO" w:eastAsia="es-CO"/>
        </w:rPr>
      </w:pPr>
    </w:p>
    <w:p w14:paraId="4FFF5F62" w14:textId="77777777" w:rsidR="002A7192" w:rsidRPr="002A7192" w:rsidRDefault="002A7192" w:rsidP="002A7192">
      <w:pPr>
        <w:widowControl w:val="0"/>
        <w:autoSpaceDE w:val="0"/>
        <w:autoSpaceDN w:val="0"/>
        <w:adjustRightInd w:val="0"/>
        <w:spacing w:line="276" w:lineRule="auto"/>
        <w:jc w:val="both"/>
        <w:rPr>
          <w:rFonts w:ascii="Tahoma" w:hAnsi="Tahoma" w:cs="Tahoma"/>
        </w:rPr>
      </w:pPr>
      <w:r w:rsidRPr="002A7192">
        <w:rPr>
          <w:rFonts w:ascii="Tahoma" w:hAnsi="Tahoma" w:cs="Tahoma"/>
        </w:rPr>
        <w:tab/>
        <w:t>La Magistrada ponente,</w:t>
      </w:r>
    </w:p>
    <w:p w14:paraId="12FB0F84" w14:textId="77777777" w:rsidR="002A7192" w:rsidRPr="002A7192" w:rsidRDefault="002A7192" w:rsidP="002A7192">
      <w:pPr>
        <w:spacing w:line="276" w:lineRule="auto"/>
        <w:rPr>
          <w:rFonts w:ascii="Tahoma" w:hAnsi="Tahoma" w:cs="Tahoma"/>
        </w:rPr>
      </w:pPr>
    </w:p>
    <w:p w14:paraId="448EF76C" w14:textId="77777777" w:rsidR="002A7192" w:rsidRPr="002A7192" w:rsidRDefault="002A7192" w:rsidP="002A7192">
      <w:pPr>
        <w:spacing w:line="276" w:lineRule="auto"/>
        <w:rPr>
          <w:rFonts w:ascii="Tahoma" w:hAnsi="Tahoma" w:cs="Tahoma"/>
        </w:rPr>
      </w:pPr>
    </w:p>
    <w:p w14:paraId="3BB6B41D" w14:textId="77777777" w:rsidR="002A7192" w:rsidRPr="002A7192" w:rsidRDefault="002A7192" w:rsidP="002A7192">
      <w:pPr>
        <w:spacing w:line="276" w:lineRule="auto"/>
        <w:rPr>
          <w:rFonts w:ascii="Tahoma" w:hAnsi="Tahoma" w:cs="Tahoma"/>
        </w:rPr>
      </w:pPr>
    </w:p>
    <w:p w14:paraId="6B289A1E" w14:textId="77777777" w:rsidR="002A7192" w:rsidRPr="002A7192" w:rsidRDefault="002A7192" w:rsidP="002A7192">
      <w:pPr>
        <w:keepNext/>
        <w:spacing w:line="276" w:lineRule="auto"/>
        <w:jc w:val="center"/>
        <w:outlineLvl w:val="2"/>
        <w:rPr>
          <w:rFonts w:ascii="Tahoma" w:hAnsi="Tahoma" w:cs="Tahoma"/>
          <w:b/>
          <w:bCs/>
        </w:rPr>
      </w:pPr>
      <w:r w:rsidRPr="002A7192">
        <w:rPr>
          <w:rFonts w:ascii="Tahoma" w:hAnsi="Tahoma" w:cs="Tahoma"/>
          <w:b/>
          <w:bCs/>
        </w:rPr>
        <w:t>ANA LUCÍA CAICEDO CALDERÓN</w:t>
      </w:r>
    </w:p>
    <w:p w14:paraId="0FAD6C15" w14:textId="77777777" w:rsidR="002A7192" w:rsidRPr="002A7192" w:rsidRDefault="002A7192" w:rsidP="002A7192">
      <w:pPr>
        <w:spacing w:line="276" w:lineRule="auto"/>
        <w:rPr>
          <w:rFonts w:ascii="Tahoma" w:hAnsi="Tahoma" w:cs="Tahoma"/>
        </w:rPr>
      </w:pPr>
    </w:p>
    <w:p w14:paraId="0B182CC9" w14:textId="77777777" w:rsidR="002A7192" w:rsidRPr="002A7192" w:rsidRDefault="002A7192" w:rsidP="002A7192">
      <w:pPr>
        <w:spacing w:line="276" w:lineRule="auto"/>
        <w:ind w:firstLine="708"/>
        <w:rPr>
          <w:rFonts w:ascii="Tahoma" w:hAnsi="Tahoma" w:cs="Tahoma"/>
        </w:rPr>
      </w:pPr>
      <w:bookmarkStart w:id="5" w:name="_Hlk62478330"/>
      <w:r w:rsidRPr="002A7192">
        <w:rPr>
          <w:rFonts w:ascii="Tahoma" w:hAnsi="Tahoma" w:cs="Tahoma"/>
        </w:rPr>
        <w:t>La Magistrada y el Magistrado,</w:t>
      </w:r>
    </w:p>
    <w:p w14:paraId="397AD59D" w14:textId="77777777" w:rsidR="002A7192" w:rsidRPr="002A7192" w:rsidRDefault="002A7192" w:rsidP="002A7192">
      <w:pPr>
        <w:spacing w:line="276" w:lineRule="auto"/>
        <w:rPr>
          <w:rFonts w:ascii="Tahoma" w:hAnsi="Tahoma" w:cs="Tahoma"/>
        </w:rPr>
      </w:pPr>
    </w:p>
    <w:p w14:paraId="3861C386" w14:textId="77777777" w:rsidR="002A7192" w:rsidRPr="002A7192" w:rsidRDefault="002A7192" w:rsidP="002A7192">
      <w:pPr>
        <w:spacing w:line="276" w:lineRule="auto"/>
        <w:rPr>
          <w:rFonts w:ascii="Tahoma" w:hAnsi="Tahoma" w:cs="Tahoma"/>
        </w:rPr>
      </w:pPr>
    </w:p>
    <w:p w14:paraId="1996BD34" w14:textId="77777777" w:rsidR="002A7192" w:rsidRPr="002A7192" w:rsidRDefault="002A7192" w:rsidP="002A7192">
      <w:pPr>
        <w:spacing w:line="276" w:lineRule="auto"/>
        <w:rPr>
          <w:rFonts w:ascii="Tahoma" w:hAnsi="Tahoma" w:cs="Tahoma"/>
        </w:rPr>
      </w:pPr>
    </w:p>
    <w:p w14:paraId="46E53F58" w14:textId="77777777" w:rsidR="002A7192" w:rsidRPr="002A7192" w:rsidRDefault="002A7192" w:rsidP="002A7192">
      <w:pPr>
        <w:spacing w:line="276" w:lineRule="auto"/>
        <w:jc w:val="both"/>
        <w:rPr>
          <w:rFonts w:ascii="Tahoma" w:hAnsi="Tahoma" w:cs="Tahoma"/>
          <w:b/>
          <w:bCs/>
        </w:rPr>
      </w:pPr>
      <w:r w:rsidRPr="002A7192">
        <w:rPr>
          <w:rFonts w:ascii="Tahoma" w:hAnsi="Tahoma" w:cs="Tahoma"/>
          <w:b/>
          <w:bCs/>
        </w:rPr>
        <w:t>OLGA LUCÍA HOYOS SEPÚLVEDA</w:t>
      </w:r>
      <w:r w:rsidRPr="002A7192">
        <w:rPr>
          <w:rFonts w:ascii="Tahoma" w:hAnsi="Tahoma" w:cs="Tahoma"/>
          <w:b/>
          <w:bCs/>
        </w:rPr>
        <w:tab/>
      </w:r>
      <w:r w:rsidRPr="002A7192">
        <w:rPr>
          <w:rFonts w:ascii="Tahoma" w:hAnsi="Tahoma" w:cs="Tahoma"/>
          <w:b/>
          <w:bCs/>
        </w:rPr>
        <w:tab/>
        <w:t>GERMÁN DARÍO GÓEZ VINASCO</w:t>
      </w:r>
      <w:bookmarkEnd w:id="5"/>
    </w:p>
    <w:p w14:paraId="586669CA" w14:textId="4CA240AF" w:rsidR="00A8055D" w:rsidRPr="002A7192" w:rsidRDefault="002A7192" w:rsidP="002A7192">
      <w:pPr>
        <w:spacing w:line="276" w:lineRule="auto"/>
        <w:rPr>
          <w:rFonts w:ascii="Tahoma" w:hAnsi="Tahoma" w:cs="Tahoma"/>
          <w:lang w:val="es-419"/>
        </w:rPr>
      </w:pPr>
      <w:r w:rsidRPr="002A7192">
        <w:rPr>
          <w:rFonts w:ascii="Tahoma" w:hAnsi="Tahoma" w:cs="Tahoma"/>
          <w:lang w:val="es-419"/>
        </w:rPr>
        <w:tab/>
      </w:r>
      <w:r w:rsidRPr="002A7192">
        <w:rPr>
          <w:rFonts w:ascii="Tahoma" w:hAnsi="Tahoma" w:cs="Tahoma"/>
          <w:lang w:val="es-419"/>
        </w:rPr>
        <w:tab/>
      </w:r>
      <w:r w:rsidRPr="002A7192">
        <w:rPr>
          <w:rFonts w:ascii="Tahoma" w:hAnsi="Tahoma" w:cs="Tahoma"/>
          <w:lang w:val="es-419"/>
        </w:rPr>
        <w:tab/>
      </w:r>
      <w:r w:rsidRPr="002A7192">
        <w:rPr>
          <w:rFonts w:ascii="Tahoma" w:hAnsi="Tahoma" w:cs="Tahoma"/>
          <w:lang w:val="es-419"/>
        </w:rPr>
        <w:tab/>
      </w:r>
      <w:r w:rsidRPr="002A7192">
        <w:rPr>
          <w:rFonts w:ascii="Tahoma" w:hAnsi="Tahoma" w:cs="Tahoma"/>
          <w:lang w:val="es-419"/>
        </w:rPr>
        <w:tab/>
      </w:r>
      <w:r w:rsidRPr="002A7192">
        <w:rPr>
          <w:rFonts w:ascii="Tahoma" w:hAnsi="Tahoma" w:cs="Tahoma"/>
          <w:lang w:val="es-419"/>
        </w:rPr>
        <w:tab/>
      </w:r>
      <w:r w:rsidRPr="002A7192">
        <w:rPr>
          <w:rFonts w:ascii="Tahoma" w:hAnsi="Tahoma" w:cs="Tahoma"/>
          <w:lang w:val="es-419"/>
        </w:rPr>
        <w:tab/>
      </w:r>
      <w:r>
        <w:rPr>
          <w:rFonts w:ascii="Tahoma" w:hAnsi="Tahoma" w:cs="Tahoma"/>
          <w:lang w:val="es-419"/>
        </w:rPr>
        <w:t>Con ausencia justificada</w:t>
      </w:r>
    </w:p>
    <w:sectPr w:rsidR="00A8055D" w:rsidRPr="002A7192" w:rsidSect="0051498C">
      <w:headerReference w:type="even" r:id="rId12"/>
      <w:headerReference w:type="default" r:id="rId13"/>
      <w:footerReference w:type="default" r:id="rId14"/>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222371" w16cex:dateUtc="2022-11-18T20:29:00Z"/>
  <w16cex:commentExtensible w16cex:durableId="27222509" w16cex:dateUtc="2022-11-18T20:36:00Z"/>
  <w16cex:commentExtensible w16cex:durableId="2722228B" w16cex:dateUtc="2022-11-18T20:26:00Z"/>
  <w16cex:commentExtensible w16cex:durableId="27222385" w16cex:dateUtc="2022-11-18T20:30:00Z"/>
  <w16cex:commentExtensible w16cex:durableId="2722243C" w16cex:dateUtc="2022-11-18T20:33:00Z"/>
  <w16cex:commentExtensible w16cex:durableId="609254E4" w16cex:dateUtc="2022-11-21T21:52:06.9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3CCB9" w14:textId="77777777" w:rsidR="00D71940" w:rsidRDefault="00D71940">
      <w:r>
        <w:separator/>
      </w:r>
    </w:p>
  </w:endnote>
  <w:endnote w:type="continuationSeparator" w:id="0">
    <w:p w14:paraId="3AB5FA07" w14:textId="77777777" w:rsidR="00D71940" w:rsidRDefault="00D71940">
      <w:r>
        <w:continuationSeparator/>
      </w:r>
    </w:p>
  </w:endnote>
  <w:endnote w:type="continuationNotice" w:id="1">
    <w:p w14:paraId="77FBCD8F" w14:textId="77777777" w:rsidR="00D71940" w:rsidRDefault="00D71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rPr>
        <w:rFonts w:ascii="Arial" w:hAnsi="Arial" w:cs="Arial"/>
        <w:sz w:val="18"/>
        <w:szCs w:val="18"/>
        <w:lang w:val="es-419"/>
      </w:rPr>
    </w:sdtEndPr>
    <w:sdtContent>
      <w:p w14:paraId="3644C7F9" w14:textId="77777777" w:rsidR="0064697B" w:rsidRPr="004E2FEE" w:rsidRDefault="0064697B">
        <w:pPr>
          <w:pStyle w:val="Piedepgina"/>
          <w:jc w:val="right"/>
          <w:rPr>
            <w:rFonts w:ascii="Arial" w:hAnsi="Arial" w:cs="Arial"/>
            <w:sz w:val="18"/>
            <w:szCs w:val="18"/>
            <w:lang w:val="es-419"/>
          </w:rPr>
        </w:pPr>
        <w:r w:rsidRPr="004E2FEE">
          <w:rPr>
            <w:rFonts w:ascii="Arial" w:hAnsi="Arial" w:cs="Arial"/>
            <w:sz w:val="18"/>
            <w:szCs w:val="18"/>
            <w:lang w:val="es-419"/>
          </w:rPr>
          <w:fldChar w:fldCharType="begin"/>
        </w:r>
        <w:r w:rsidRPr="004E2FEE">
          <w:rPr>
            <w:rFonts w:ascii="Arial" w:hAnsi="Arial" w:cs="Arial"/>
            <w:sz w:val="18"/>
            <w:szCs w:val="18"/>
            <w:lang w:val="es-419"/>
          </w:rPr>
          <w:instrText>PAGE   \* MERGEFORMAT</w:instrText>
        </w:r>
        <w:r w:rsidRPr="004E2FEE">
          <w:rPr>
            <w:rFonts w:ascii="Arial" w:hAnsi="Arial" w:cs="Arial"/>
            <w:sz w:val="18"/>
            <w:szCs w:val="18"/>
            <w:lang w:val="es-419"/>
          </w:rPr>
          <w:fldChar w:fldCharType="separate"/>
        </w:r>
        <w:r w:rsidRPr="004E2FEE">
          <w:rPr>
            <w:rFonts w:ascii="Arial" w:hAnsi="Arial" w:cs="Arial"/>
            <w:sz w:val="18"/>
            <w:szCs w:val="18"/>
            <w:lang w:val="es-419"/>
          </w:rPr>
          <w:t>2</w:t>
        </w:r>
        <w:r w:rsidRPr="004E2FEE">
          <w:rPr>
            <w:rFonts w:ascii="Arial" w:hAnsi="Arial" w:cs="Arial"/>
            <w:sz w:val="18"/>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AB5B1" w14:textId="77777777" w:rsidR="00D71940" w:rsidRDefault="00D71940">
      <w:r>
        <w:separator/>
      </w:r>
    </w:p>
  </w:footnote>
  <w:footnote w:type="continuationSeparator" w:id="0">
    <w:p w14:paraId="1CE80955" w14:textId="77777777" w:rsidR="00D71940" w:rsidRDefault="00D71940">
      <w:r>
        <w:continuationSeparator/>
      </w:r>
    </w:p>
  </w:footnote>
  <w:footnote w:type="continuationNotice" w:id="1">
    <w:p w14:paraId="7621C3CF" w14:textId="77777777" w:rsidR="00D71940" w:rsidRDefault="00D71940"/>
  </w:footnote>
  <w:footnote w:id="2">
    <w:p w14:paraId="3FFE062F" w14:textId="77777777" w:rsidR="00BF3B14" w:rsidRPr="00B87DBC" w:rsidRDefault="00BF3B14" w:rsidP="00BF3B14">
      <w:pPr>
        <w:pStyle w:val="Textonotapie"/>
      </w:pPr>
      <w:r>
        <w:rPr>
          <w:rStyle w:val="Refdenotaalpie"/>
        </w:rPr>
        <w:footnoteRef/>
      </w:r>
      <w:r>
        <w:t xml:space="preserve"> Camacho Azula, Manual de Derecho Procesal, Tomo II Parte General. Novena Edición. Pág. 418. </w:t>
      </w:r>
    </w:p>
  </w:footnote>
  <w:footnote w:id="3">
    <w:p w14:paraId="0F4020DA" w14:textId="77777777" w:rsidR="00BF3B14" w:rsidRPr="00B87DBC" w:rsidRDefault="00BF3B14" w:rsidP="00BF3B14">
      <w:pPr>
        <w:pStyle w:val="Textonotapie"/>
      </w:pPr>
      <w:r>
        <w:rPr>
          <w:rStyle w:val="Refdenotaalpie"/>
        </w:rPr>
        <w:footnoteRef/>
      </w:r>
      <w:r>
        <w:t xml:space="preserve"> López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E4512E" w:rsidRDefault="00E4512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E4512E" w:rsidRDefault="00E451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E9D24" w14:textId="1D55B216" w:rsidR="000B0CAC" w:rsidRPr="004E2FEE" w:rsidRDefault="000B0CAC" w:rsidP="004E2FEE">
    <w:pPr>
      <w:jc w:val="both"/>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7064B53"/>
    <w:multiLevelType w:val="hybridMultilevel"/>
    <w:tmpl w:val="168AF722"/>
    <w:lvl w:ilvl="0" w:tplc="040A0001">
      <w:start w:val="1"/>
      <w:numFmt w:val="bullet"/>
      <w:lvlText w:val=""/>
      <w:lvlJc w:val="left"/>
      <w:pPr>
        <w:ind w:left="1189" w:hanging="360"/>
      </w:pPr>
      <w:rPr>
        <w:rFonts w:ascii="Symbol" w:hAnsi="Symbol" w:hint="default"/>
      </w:rPr>
    </w:lvl>
    <w:lvl w:ilvl="1" w:tplc="040A0003" w:tentative="1">
      <w:start w:val="1"/>
      <w:numFmt w:val="bullet"/>
      <w:lvlText w:val="o"/>
      <w:lvlJc w:val="left"/>
      <w:pPr>
        <w:ind w:left="1909" w:hanging="360"/>
      </w:pPr>
      <w:rPr>
        <w:rFonts w:ascii="Courier New" w:hAnsi="Courier New" w:cs="Courier New" w:hint="default"/>
      </w:rPr>
    </w:lvl>
    <w:lvl w:ilvl="2" w:tplc="040A0005" w:tentative="1">
      <w:start w:val="1"/>
      <w:numFmt w:val="bullet"/>
      <w:lvlText w:val=""/>
      <w:lvlJc w:val="left"/>
      <w:pPr>
        <w:ind w:left="2629" w:hanging="360"/>
      </w:pPr>
      <w:rPr>
        <w:rFonts w:ascii="Wingdings" w:hAnsi="Wingdings" w:hint="default"/>
      </w:rPr>
    </w:lvl>
    <w:lvl w:ilvl="3" w:tplc="040A0001" w:tentative="1">
      <w:start w:val="1"/>
      <w:numFmt w:val="bullet"/>
      <w:lvlText w:val=""/>
      <w:lvlJc w:val="left"/>
      <w:pPr>
        <w:ind w:left="3349" w:hanging="360"/>
      </w:pPr>
      <w:rPr>
        <w:rFonts w:ascii="Symbol" w:hAnsi="Symbol" w:hint="default"/>
      </w:rPr>
    </w:lvl>
    <w:lvl w:ilvl="4" w:tplc="040A0003" w:tentative="1">
      <w:start w:val="1"/>
      <w:numFmt w:val="bullet"/>
      <w:lvlText w:val="o"/>
      <w:lvlJc w:val="left"/>
      <w:pPr>
        <w:ind w:left="4069" w:hanging="360"/>
      </w:pPr>
      <w:rPr>
        <w:rFonts w:ascii="Courier New" w:hAnsi="Courier New" w:cs="Courier New" w:hint="default"/>
      </w:rPr>
    </w:lvl>
    <w:lvl w:ilvl="5" w:tplc="040A0005" w:tentative="1">
      <w:start w:val="1"/>
      <w:numFmt w:val="bullet"/>
      <w:lvlText w:val=""/>
      <w:lvlJc w:val="left"/>
      <w:pPr>
        <w:ind w:left="4789" w:hanging="360"/>
      </w:pPr>
      <w:rPr>
        <w:rFonts w:ascii="Wingdings" w:hAnsi="Wingdings" w:hint="default"/>
      </w:rPr>
    </w:lvl>
    <w:lvl w:ilvl="6" w:tplc="040A0001" w:tentative="1">
      <w:start w:val="1"/>
      <w:numFmt w:val="bullet"/>
      <w:lvlText w:val=""/>
      <w:lvlJc w:val="left"/>
      <w:pPr>
        <w:ind w:left="5509" w:hanging="360"/>
      </w:pPr>
      <w:rPr>
        <w:rFonts w:ascii="Symbol" w:hAnsi="Symbol" w:hint="default"/>
      </w:rPr>
    </w:lvl>
    <w:lvl w:ilvl="7" w:tplc="040A0003" w:tentative="1">
      <w:start w:val="1"/>
      <w:numFmt w:val="bullet"/>
      <w:lvlText w:val="o"/>
      <w:lvlJc w:val="left"/>
      <w:pPr>
        <w:ind w:left="6229" w:hanging="360"/>
      </w:pPr>
      <w:rPr>
        <w:rFonts w:ascii="Courier New" w:hAnsi="Courier New" w:cs="Courier New" w:hint="default"/>
      </w:rPr>
    </w:lvl>
    <w:lvl w:ilvl="8" w:tplc="040A0005" w:tentative="1">
      <w:start w:val="1"/>
      <w:numFmt w:val="bullet"/>
      <w:lvlText w:val=""/>
      <w:lvlJc w:val="left"/>
      <w:pPr>
        <w:ind w:left="6949" w:hanging="360"/>
      </w:pPr>
      <w:rPr>
        <w:rFonts w:ascii="Wingdings" w:hAnsi="Wingdings" w:hint="default"/>
      </w:rPr>
    </w:lvl>
  </w:abstractNum>
  <w:abstractNum w:abstractNumId="4"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5"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9"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10"/>
  </w:num>
  <w:num w:numId="3">
    <w:abstractNumId w:val="5"/>
  </w:num>
  <w:num w:numId="4">
    <w:abstractNumId w:val="9"/>
  </w:num>
  <w:num w:numId="5">
    <w:abstractNumId w:val="8"/>
  </w:num>
  <w:num w:numId="6">
    <w:abstractNumId w:val="1"/>
  </w:num>
  <w:num w:numId="7">
    <w:abstractNumId w:val="0"/>
  </w:num>
  <w:num w:numId="8">
    <w:abstractNumId w:val="6"/>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10BCA"/>
    <w:rsid w:val="000122C3"/>
    <w:rsid w:val="000221B2"/>
    <w:rsid w:val="0002261E"/>
    <w:rsid w:val="000311B6"/>
    <w:rsid w:val="00033A2D"/>
    <w:rsid w:val="00037BE9"/>
    <w:rsid w:val="000423FA"/>
    <w:rsid w:val="00045363"/>
    <w:rsid w:val="00047455"/>
    <w:rsid w:val="00056EA2"/>
    <w:rsid w:val="000707E1"/>
    <w:rsid w:val="000725EA"/>
    <w:rsid w:val="0007279E"/>
    <w:rsid w:val="00080C0B"/>
    <w:rsid w:val="0008744D"/>
    <w:rsid w:val="00094052"/>
    <w:rsid w:val="000A46A7"/>
    <w:rsid w:val="000A7922"/>
    <w:rsid w:val="000B0CAC"/>
    <w:rsid w:val="000B661F"/>
    <w:rsid w:val="000D337F"/>
    <w:rsid w:val="000E338B"/>
    <w:rsid w:val="000E7932"/>
    <w:rsid w:val="000F0B02"/>
    <w:rsid w:val="000F3040"/>
    <w:rsid w:val="000F51B5"/>
    <w:rsid w:val="00105A4E"/>
    <w:rsid w:val="0011793D"/>
    <w:rsid w:val="00120571"/>
    <w:rsid w:val="001227F5"/>
    <w:rsid w:val="0012453B"/>
    <w:rsid w:val="001252D7"/>
    <w:rsid w:val="00125C39"/>
    <w:rsid w:val="00136F80"/>
    <w:rsid w:val="00146221"/>
    <w:rsid w:val="001536FD"/>
    <w:rsid w:val="001638DF"/>
    <w:rsid w:val="00172394"/>
    <w:rsid w:val="001878A5"/>
    <w:rsid w:val="00191B0B"/>
    <w:rsid w:val="001A52D9"/>
    <w:rsid w:val="001A5A7D"/>
    <w:rsid w:val="001B25B0"/>
    <w:rsid w:val="001B2F7D"/>
    <w:rsid w:val="001B6B09"/>
    <w:rsid w:val="001D0A6C"/>
    <w:rsid w:val="001D38BA"/>
    <w:rsid w:val="001E1792"/>
    <w:rsid w:val="001E260C"/>
    <w:rsid w:val="001E4DD4"/>
    <w:rsid w:val="001E5FFF"/>
    <w:rsid w:val="001E7B88"/>
    <w:rsid w:val="001F16F2"/>
    <w:rsid w:val="001F2EC6"/>
    <w:rsid w:val="002105E1"/>
    <w:rsid w:val="00213E82"/>
    <w:rsid w:val="002142AD"/>
    <w:rsid w:val="00217842"/>
    <w:rsid w:val="0022618E"/>
    <w:rsid w:val="00227615"/>
    <w:rsid w:val="00231793"/>
    <w:rsid w:val="002331B0"/>
    <w:rsid w:val="002373DA"/>
    <w:rsid w:val="002608D8"/>
    <w:rsid w:val="002622FF"/>
    <w:rsid w:val="00266747"/>
    <w:rsid w:val="00267896"/>
    <w:rsid w:val="00271CD5"/>
    <w:rsid w:val="002726B7"/>
    <w:rsid w:val="002733EC"/>
    <w:rsid w:val="00296C30"/>
    <w:rsid w:val="002A30B4"/>
    <w:rsid w:val="002A4B74"/>
    <w:rsid w:val="002A7192"/>
    <w:rsid w:val="002B6F35"/>
    <w:rsid w:val="002B7B39"/>
    <w:rsid w:val="002C348C"/>
    <w:rsid w:val="002F43FD"/>
    <w:rsid w:val="002F4823"/>
    <w:rsid w:val="002F692F"/>
    <w:rsid w:val="002F6E7F"/>
    <w:rsid w:val="00301C4A"/>
    <w:rsid w:val="00303871"/>
    <w:rsid w:val="00304028"/>
    <w:rsid w:val="00305E98"/>
    <w:rsid w:val="003212AF"/>
    <w:rsid w:val="00322D89"/>
    <w:rsid w:val="00323254"/>
    <w:rsid w:val="00325921"/>
    <w:rsid w:val="003362FB"/>
    <w:rsid w:val="00351719"/>
    <w:rsid w:val="00366A12"/>
    <w:rsid w:val="00366E3B"/>
    <w:rsid w:val="00371AB9"/>
    <w:rsid w:val="00385F83"/>
    <w:rsid w:val="00395B71"/>
    <w:rsid w:val="003A09A6"/>
    <w:rsid w:val="003A2DC3"/>
    <w:rsid w:val="003A500B"/>
    <w:rsid w:val="003A5978"/>
    <w:rsid w:val="003B7BCC"/>
    <w:rsid w:val="003D162B"/>
    <w:rsid w:val="003D3F39"/>
    <w:rsid w:val="003D50FD"/>
    <w:rsid w:val="003F0BCC"/>
    <w:rsid w:val="00405976"/>
    <w:rsid w:val="00407A4C"/>
    <w:rsid w:val="00407BF1"/>
    <w:rsid w:val="004168FF"/>
    <w:rsid w:val="00421218"/>
    <w:rsid w:val="00423759"/>
    <w:rsid w:val="00424218"/>
    <w:rsid w:val="004247F6"/>
    <w:rsid w:val="004274E2"/>
    <w:rsid w:val="004353E8"/>
    <w:rsid w:val="00436386"/>
    <w:rsid w:val="00441226"/>
    <w:rsid w:val="0044177D"/>
    <w:rsid w:val="00443D8B"/>
    <w:rsid w:val="0044588F"/>
    <w:rsid w:val="004569E6"/>
    <w:rsid w:val="00457B5F"/>
    <w:rsid w:val="004761C5"/>
    <w:rsid w:val="00482696"/>
    <w:rsid w:val="0048524C"/>
    <w:rsid w:val="0049092E"/>
    <w:rsid w:val="004A257B"/>
    <w:rsid w:val="004A42A8"/>
    <w:rsid w:val="004A5C56"/>
    <w:rsid w:val="004D5EEC"/>
    <w:rsid w:val="004E2FEE"/>
    <w:rsid w:val="004E31B1"/>
    <w:rsid w:val="00501F2B"/>
    <w:rsid w:val="00505FB0"/>
    <w:rsid w:val="005104A4"/>
    <w:rsid w:val="0051498C"/>
    <w:rsid w:val="00516A72"/>
    <w:rsid w:val="005263CC"/>
    <w:rsid w:val="005344E9"/>
    <w:rsid w:val="00537904"/>
    <w:rsid w:val="005416B5"/>
    <w:rsid w:val="00553AED"/>
    <w:rsid w:val="005579CC"/>
    <w:rsid w:val="00566D23"/>
    <w:rsid w:val="0056786F"/>
    <w:rsid w:val="0057286E"/>
    <w:rsid w:val="00582F80"/>
    <w:rsid w:val="005A0AE2"/>
    <w:rsid w:val="005A1705"/>
    <w:rsid w:val="005A4E97"/>
    <w:rsid w:val="005B440F"/>
    <w:rsid w:val="005C14B9"/>
    <w:rsid w:val="005C492A"/>
    <w:rsid w:val="005D0ADF"/>
    <w:rsid w:val="005D35F4"/>
    <w:rsid w:val="005D5CD3"/>
    <w:rsid w:val="005E1C1E"/>
    <w:rsid w:val="005E20BF"/>
    <w:rsid w:val="005E21A4"/>
    <w:rsid w:val="005E55E5"/>
    <w:rsid w:val="005E6899"/>
    <w:rsid w:val="005F34BE"/>
    <w:rsid w:val="00602C82"/>
    <w:rsid w:val="00604B7F"/>
    <w:rsid w:val="00605F4E"/>
    <w:rsid w:val="006067D1"/>
    <w:rsid w:val="00622FDE"/>
    <w:rsid w:val="00631813"/>
    <w:rsid w:val="00643200"/>
    <w:rsid w:val="0064697B"/>
    <w:rsid w:val="00670AD4"/>
    <w:rsid w:val="006748F2"/>
    <w:rsid w:val="006774BD"/>
    <w:rsid w:val="00692AFE"/>
    <w:rsid w:val="006A7E31"/>
    <w:rsid w:val="006B1831"/>
    <w:rsid w:val="006B32C4"/>
    <w:rsid w:val="006B458C"/>
    <w:rsid w:val="006C2AFC"/>
    <w:rsid w:val="006C56B1"/>
    <w:rsid w:val="006D0D93"/>
    <w:rsid w:val="006E0F6A"/>
    <w:rsid w:val="00734455"/>
    <w:rsid w:val="007365F5"/>
    <w:rsid w:val="00741FA4"/>
    <w:rsid w:val="00752117"/>
    <w:rsid w:val="00756981"/>
    <w:rsid w:val="0076513F"/>
    <w:rsid w:val="0076606E"/>
    <w:rsid w:val="007725F1"/>
    <w:rsid w:val="007740F4"/>
    <w:rsid w:val="00785373"/>
    <w:rsid w:val="007861F8"/>
    <w:rsid w:val="0079063C"/>
    <w:rsid w:val="00791D9A"/>
    <w:rsid w:val="007A110A"/>
    <w:rsid w:val="007E3AD0"/>
    <w:rsid w:val="007F511B"/>
    <w:rsid w:val="00800DC6"/>
    <w:rsid w:val="00806029"/>
    <w:rsid w:val="00826F41"/>
    <w:rsid w:val="0082751E"/>
    <w:rsid w:val="00851EDE"/>
    <w:rsid w:val="00852744"/>
    <w:rsid w:val="00853AA5"/>
    <w:rsid w:val="008627DC"/>
    <w:rsid w:val="00875E15"/>
    <w:rsid w:val="00883234"/>
    <w:rsid w:val="008850AB"/>
    <w:rsid w:val="0088576E"/>
    <w:rsid w:val="00892757"/>
    <w:rsid w:val="00894947"/>
    <w:rsid w:val="008953CC"/>
    <w:rsid w:val="00897E59"/>
    <w:rsid w:val="008A30EF"/>
    <w:rsid w:val="008A4753"/>
    <w:rsid w:val="008A687B"/>
    <w:rsid w:val="008B2320"/>
    <w:rsid w:val="008B5E3A"/>
    <w:rsid w:val="008B7386"/>
    <w:rsid w:val="008C3D16"/>
    <w:rsid w:val="008D547F"/>
    <w:rsid w:val="008D751A"/>
    <w:rsid w:val="008F4962"/>
    <w:rsid w:val="00901757"/>
    <w:rsid w:val="009017FF"/>
    <w:rsid w:val="0090350D"/>
    <w:rsid w:val="00907FF7"/>
    <w:rsid w:val="00913550"/>
    <w:rsid w:val="0091570E"/>
    <w:rsid w:val="009222D4"/>
    <w:rsid w:val="009241F2"/>
    <w:rsid w:val="009362CB"/>
    <w:rsid w:val="00943AA1"/>
    <w:rsid w:val="00951787"/>
    <w:rsid w:val="00953D67"/>
    <w:rsid w:val="009612E5"/>
    <w:rsid w:val="00961AF7"/>
    <w:rsid w:val="00975AD1"/>
    <w:rsid w:val="00991F96"/>
    <w:rsid w:val="009A2F1E"/>
    <w:rsid w:val="009A594D"/>
    <w:rsid w:val="009B6457"/>
    <w:rsid w:val="009B6D1E"/>
    <w:rsid w:val="009C4244"/>
    <w:rsid w:val="009D1521"/>
    <w:rsid w:val="009D1BC7"/>
    <w:rsid w:val="009D46EF"/>
    <w:rsid w:val="009E5F3D"/>
    <w:rsid w:val="009E7543"/>
    <w:rsid w:val="009F0446"/>
    <w:rsid w:val="009F5825"/>
    <w:rsid w:val="009F6014"/>
    <w:rsid w:val="00A1714B"/>
    <w:rsid w:val="00A2645C"/>
    <w:rsid w:val="00A4022A"/>
    <w:rsid w:val="00A50E05"/>
    <w:rsid w:val="00A61F00"/>
    <w:rsid w:val="00A66375"/>
    <w:rsid w:val="00A66D18"/>
    <w:rsid w:val="00A70B89"/>
    <w:rsid w:val="00A74B96"/>
    <w:rsid w:val="00A8055D"/>
    <w:rsid w:val="00A91B36"/>
    <w:rsid w:val="00A94D00"/>
    <w:rsid w:val="00AA321F"/>
    <w:rsid w:val="00AB7BDF"/>
    <w:rsid w:val="00AC1B47"/>
    <w:rsid w:val="00AC46D9"/>
    <w:rsid w:val="00AD0BAB"/>
    <w:rsid w:val="00AD5496"/>
    <w:rsid w:val="00AE39A6"/>
    <w:rsid w:val="00AE3F1A"/>
    <w:rsid w:val="00B11DD8"/>
    <w:rsid w:val="00B2577D"/>
    <w:rsid w:val="00B32AD2"/>
    <w:rsid w:val="00B55BCC"/>
    <w:rsid w:val="00B57765"/>
    <w:rsid w:val="00B7269B"/>
    <w:rsid w:val="00B7678F"/>
    <w:rsid w:val="00B82A49"/>
    <w:rsid w:val="00B90BD9"/>
    <w:rsid w:val="00BA3710"/>
    <w:rsid w:val="00BB400B"/>
    <w:rsid w:val="00BD66B1"/>
    <w:rsid w:val="00BE0D9B"/>
    <w:rsid w:val="00BE6F91"/>
    <w:rsid w:val="00BF3B14"/>
    <w:rsid w:val="00C01C23"/>
    <w:rsid w:val="00C04826"/>
    <w:rsid w:val="00C1EB4A"/>
    <w:rsid w:val="00C2189F"/>
    <w:rsid w:val="00C33DCE"/>
    <w:rsid w:val="00C3752A"/>
    <w:rsid w:val="00C41B2A"/>
    <w:rsid w:val="00C41FCD"/>
    <w:rsid w:val="00C43F4A"/>
    <w:rsid w:val="00C46164"/>
    <w:rsid w:val="00C523D6"/>
    <w:rsid w:val="00C57164"/>
    <w:rsid w:val="00C808C0"/>
    <w:rsid w:val="00C82662"/>
    <w:rsid w:val="00C930A3"/>
    <w:rsid w:val="00CB3CCE"/>
    <w:rsid w:val="00CB6B64"/>
    <w:rsid w:val="00CC00D1"/>
    <w:rsid w:val="00CC3A22"/>
    <w:rsid w:val="00CD4CE6"/>
    <w:rsid w:val="00CE1757"/>
    <w:rsid w:val="00CE35B2"/>
    <w:rsid w:val="00CE7235"/>
    <w:rsid w:val="00D00E38"/>
    <w:rsid w:val="00D132DD"/>
    <w:rsid w:val="00D228D5"/>
    <w:rsid w:val="00D35E37"/>
    <w:rsid w:val="00D4395F"/>
    <w:rsid w:val="00D71940"/>
    <w:rsid w:val="00D72843"/>
    <w:rsid w:val="00D83EE2"/>
    <w:rsid w:val="00D936DD"/>
    <w:rsid w:val="00D97AE5"/>
    <w:rsid w:val="00DA1416"/>
    <w:rsid w:val="00DA2A01"/>
    <w:rsid w:val="00DA6F0B"/>
    <w:rsid w:val="00DB470F"/>
    <w:rsid w:val="00DC3384"/>
    <w:rsid w:val="00DC3B49"/>
    <w:rsid w:val="00DC41AE"/>
    <w:rsid w:val="00DD2477"/>
    <w:rsid w:val="00DD3AA1"/>
    <w:rsid w:val="00DD538C"/>
    <w:rsid w:val="00DD589C"/>
    <w:rsid w:val="00DD7CE3"/>
    <w:rsid w:val="00DE0513"/>
    <w:rsid w:val="00DE4CA8"/>
    <w:rsid w:val="00DF1E92"/>
    <w:rsid w:val="00E017F3"/>
    <w:rsid w:val="00E24BC8"/>
    <w:rsid w:val="00E32215"/>
    <w:rsid w:val="00E35297"/>
    <w:rsid w:val="00E37E81"/>
    <w:rsid w:val="00E4512E"/>
    <w:rsid w:val="00E45D5B"/>
    <w:rsid w:val="00E604C9"/>
    <w:rsid w:val="00E65271"/>
    <w:rsid w:val="00E70E19"/>
    <w:rsid w:val="00E725DA"/>
    <w:rsid w:val="00E7262E"/>
    <w:rsid w:val="00E8520A"/>
    <w:rsid w:val="00E91896"/>
    <w:rsid w:val="00E919E9"/>
    <w:rsid w:val="00ED004D"/>
    <w:rsid w:val="00EE0B78"/>
    <w:rsid w:val="00EE51EC"/>
    <w:rsid w:val="00EE666F"/>
    <w:rsid w:val="00EF2558"/>
    <w:rsid w:val="00F0416B"/>
    <w:rsid w:val="00F2634E"/>
    <w:rsid w:val="00F33784"/>
    <w:rsid w:val="00F42382"/>
    <w:rsid w:val="00F50641"/>
    <w:rsid w:val="00F5087C"/>
    <w:rsid w:val="00F525F0"/>
    <w:rsid w:val="00F53E6C"/>
    <w:rsid w:val="00F62390"/>
    <w:rsid w:val="00F62A0B"/>
    <w:rsid w:val="00F71B1E"/>
    <w:rsid w:val="00F74834"/>
    <w:rsid w:val="00F81225"/>
    <w:rsid w:val="00F86E83"/>
    <w:rsid w:val="00F913A7"/>
    <w:rsid w:val="00FA3DED"/>
    <w:rsid w:val="00FB0547"/>
    <w:rsid w:val="00FB3BD6"/>
    <w:rsid w:val="00FB4C39"/>
    <w:rsid w:val="00FC1B85"/>
    <w:rsid w:val="00FD41A6"/>
    <w:rsid w:val="00FD46BA"/>
    <w:rsid w:val="00FD548B"/>
    <w:rsid w:val="00FE0E6E"/>
    <w:rsid w:val="00FE6D9F"/>
    <w:rsid w:val="00FF1F91"/>
    <w:rsid w:val="00FF384B"/>
    <w:rsid w:val="0699675B"/>
    <w:rsid w:val="08BC7CAE"/>
    <w:rsid w:val="0B7FEA90"/>
    <w:rsid w:val="110F1E7E"/>
    <w:rsid w:val="111E3E0C"/>
    <w:rsid w:val="1936E1C7"/>
    <w:rsid w:val="2B8C7EFD"/>
    <w:rsid w:val="2DE81D2D"/>
    <w:rsid w:val="36B1A256"/>
    <w:rsid w:val="3E427D23"/>
    <w:rsid w:val="43BD832A"/>
    <w:rsid w:val="4A0BBB59"/>
    <w:rsid w:val="4BD7775E"/>
    <w:rsid w:val="4C675989"/>
    <w:rsid w:val="516F62AC"/>
    <w:rsid w:val="59FCF649"/>
    <w:rsid w:val="6AE695E5"/>
    <w:rsid w:val="75DA4BB5"/>
    <w:rsid w:val="786215F9"/>
    <w:rsid w:val="7A43EA91"/>
    <w:rsid w:val="7E3786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DAE46"/>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link w:val="TextoindependienteCar"/>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character" w:customStyle="1" w:styleId="TextonotapieCar">
    <w:name w:val="Texto nota pie Car"/>
    <w:basedOn w:val="Fuentedeprrafopredeter"/>
    <w:link w:val="Textonotapie"/>
    <w:uiPriority w:val="99"/>
    <w:semiHidden/>
    <w:rsid w:val="00F62A0B"/>
    <w:rPr>
      <w:lang w:val="es-ES" w:eastAsia="es-ES"/>
    </w:rPr>
  </w:style>
  <w:style w:type="paragraph" w:styleId="Asuntodelcomentario">
    <w:name w:val="annotation subject"/>
    <w:basedOn w:val="Textocomentario"/>
    <w:next w:val="Textocomentario"/>
    <w:link w:val="AsuntodelcomentarioCar"/>
    <w:rsid w:val="00266747"/>
    <w:rPr>
      <w:b/>
      <w:bCs/>
    </w:rPr>
  </w:style>
  <w:style w:type="character" w:customStyle="1" w:styleId="AsuntodelcomentarioCar">
    <w:name w:val="Asunto del comentario Car"/>
    <w:basedOn w:val="TextocomentarioCar"/>
    <w:link w:val="Asuntodelcomentario"/>
    <w:rsid w:val="00266747"/>
    <w:rPr>
      <w:b/>
      <w:bCs/>
      <w:lang w:val="es-ES" w:eastAsia="es-ES"/>
    </w:rPr>
  </w:style>
  <w:style w:type="character" w:customStyle="1" w:styleId="TextoindependienteCar">
    <w:name w:val="Texto independiente Car"/>
    <w:basedOn w:val="Fuentedeprrafopredeter"/>
    <w:link w:val="Textoindependiente"/>
    <w:rsid w:val="00BF3B14"/>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1770">
      <w:bodyDiv w:val="1"/>
      <w:marLeft w:val="0"/>
      <w:marRight w:val="0"/>
      <w:marTop w:val="0"/>
      <w:marBottom w:val="0"/>
      <w:divBdr>
        <w:top w:val="none" w:sz="0" w:space="0" w:color="auto"/>
        <w:left w:val="none" w:sz="0" w:space="0" w:color="auto"/>
        <w:bottom w:val="none" w:sz="0" w:space="0" w:color="auto"/>
        <w:right w:val="none" w:sz="0" w:space="0" w:color="auto"/>
      </w:divBdr>
    </w:div>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6ADC8BE1-4C06-434B-AC15-9170E7753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4.xml><?xml version="1.0" encoding="utf-8"?>
<ds:datastoreItem xmlns:ds="http://schemas.openxmlformats.org/officeDocument/2006/customXml" ds:itemID="{55AA0110-13E5-445B-ADD0-C6CF7A32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2178</Words>
  <Characters>11982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7</cp:revision>
  <cp:lastPrinted>2011-07-28T20:53:00Z</cp:lastPrinted>
  <dcterms:created xsi:type="dcterms:W3CDTF">2022-11-18T20:56:00Z</dcterms:created>
  <dcterms:modified xsi:type="dcterms:W3CDTF">2023-01-22T17:02:00Z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57081200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