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3B" w:rsidRPr="00C4083B" w:rsidRDefault="00C4083B" w:rsidP="00C4083B">
      <w:pPr>
        <w:jc w:val="both"/>
        <w:rPr>
          <w:rFonts w:ascii="Arial" w:hAnsi="Arial" w:cs="Arial"/>
          <w:b/>
          <w:bCs/>
          <w:i/>
          <w:szCs w:val="24"/>
          <w:lang w:val="es-CO"/>
        </w:rPr>
      </w:pPr>
      <w:bookmarkStart w:id="0" w:name="_GoBack"/>
      <w:bookmarkEnd w:id="0"/>
      <w:r w:rsidRPr="00C4083B">
        <w:rPr>
          <w:rFonts w:ascii="Arial" w:hAnsi="Arial" w:cs="Arial"/>
          <w:i/>
          <w:szCs w:val="24"/>
        </w:rPr>
        <w:t>Radicación:</w:t>
      </w:r>
      <w:r>
        <w:rPr>
          <w:rFonts w:ascii="Arial" w:hAnsi="Arial" w:cs="Arial"/>
          <w:i/>
          <w:szCs w:val="24"/>
        </w:rPr>
        <w:tab/>
      </w:r>
      <w:r w:rsidRPr="00C4083B">
        <w:rPr>
          <w:rFonts w:ascii="Arial" w:hAnsi="Arial" w:cs="Arial"/>
          <w:i/>
          <w:szCs w:val="24"/>
        </w:rPr>
        <w:t>66001-31-05-004-2018-00141-01</w:t>
      </w:r>
      <w:r w:rsidRPr="00C4083B">
        <w:rPr>
          <w:rFonts w:ascii="Arial" w:hAnsi="Arial" w:cs="Arial"/>
          <w:b/>
          <w:bCs/>
          <w:i/>
          <w:szCs w:val="24"/>
          <w:lang w:val="es-CO"/>
        </w:rPr>
        <w:t> </w:t>
      </w:r>
    </w:p>
    <w:p w:rsidR="00C4083B" w:rsidRPr="00C4083B" w:rsidRDefault="00C4083B" w:rsidP="00C4083B">
      <w:pPr>
        <w:jc w:val="both"/>
        <w:rPr>
          <w:rFonts w:ascii="Arial" w:hAnsi="Arial" w:cs="Arial"/>
          <w:b/>
          <w:bCs/>
          <w:i/>
          <w:szCs w:val="24"/>
          <w:lang w:val="es-CO"/>
        </w:rPr>
      </w:pPr>
      <w:r w:rsidRPr="00C4083B">
        <w:rPr>
          <w:rFonts w:ascii="Arial" w:hAnsi="Arial" w:cs="Arial"/>
          <w:i/>
          <w:szCs w:val="24"/>
        </w:rPr>
        <w:t>Proceso:</w:t>
      </w:r>
      <w:r>
        <w:rPr>
          <w:rFonts w:ascii="Arial" w:hAnsi="Arial" w:cs="Arial"/>
          <w:i/>
          <w:szCs w:val="24"/>
        </w:rPr>
        <w:tab/>
      </w:r>
      <w:r w:rsidRPr="00C4083B">
        <w:rPr>
          <w:rFonts w:ascii="Arial" w:hAnsi="Arial" w:cs="Arial"/>
          <w:i/>
          <w:szCs w:val="24"/>
        </w:rPr>
        <w:t>Ordinario</w:t>
      </w:r>
      <w:r w:rsidRPr="00C4083B">
        <w:rPr>
          <w:rFonts w:ascii="Arial" w:hAnsi="Arial" w:cs="Arial"/>
          <w:b/>
          <w:bCs/>
          <w:i/>
          <w:szCs w:val="24"/>
          <w:lang w:val="es-CO"/>
        </w:rPr>
        <w:t> </w:t>
      </w:r>
    </w:p>
    <w:p w:rsidR="00C4083B" w:rsidRPr="00C4083B" w:rsidRDefault="00C4083B" w:rsidP="00C4083B">
      <w:pPr>
        <w:jc w:val="both"/>
        <w:rPr>
          <w:rFonts w:ascii="Arial" w:hAnsi="Arial" w:cs="Arial"/>
          <w:b/>
          <w:bCs/>
          <w:i/>
          <w:szCs w:val="24"/>
          <w:lang w:val="es-CO"/>
        </w:rPr>
      </w:pPr>
      <w:r w:rsidRPr="00C4083B">
        <w:rPr>
          <w:rFonts w:ascii="Arial" w:hAnsi="Arial" w:cs="Arial"/>
          <w:i/>
          <w:szCs w:val="24"/>
        </w:rPr>
        <w:t>Demandante:</w:t>
      </w:r>
      <w:r>
        <w:rPr>
          <w:rFonts w:ascii="Arial" w:hAnsi="Arial" w:cs="Arial"/>
          <w:i/>
          <w:szCs w:val="24"/>
        </w:rPr>
        <w:tab/>
      </w:r>
      <w:r w:rsidRPr="00C4083B">
        <w:rPr>
          <w:rFonts w:ascii="Arial" w:hAnsi="Arial" w:cs="Arial"/>
          <w:i/>
          <w:szCs w:val="24"/>
        </w:rPr>
        <w:t>Cristóbal Daza Cardona</w:t>
      </w:r>
      <w:r w:rsidRPr="00C4083B">
        <w:rPr>
          <w:rFonts w:ascii="Arial" w:hAnsi="Arial" w:cs="Arial"/>
          <w:b/>
          <w:bCs/>
          <w:i/>
          <w:szCs w:val="24"/>
          <w:lang w:val="es-CO"/>
        </w:rPr>
        <w:t> </w:t>
      </w:r>
    </w:p>
    <w:p w:rsidR="00C4083B" w:rsidRPr="00C4083B" w:rsidRDefault="00C4083B" w:rsidP="00C4083B">
      <w:pPr>
        <w:jc w:val="both"/>
        <w:rPr>
          <w:rFonts w:ascii="Arial" w:hAnsi="Arial" w:cs="Arial"/>
          <w:b/>
          <w:bCs/>
          <w:i/>
          <w:szCs w:val="24"/>
          <w:lang w:val="es-CO"/>
        </w:rPr>
      </w:pPr>
      <w:r w:rsidRPr="00C4083B">
        <w:rPr>
          <w:rFonts w:ascii="Arial" w:hAnsi="Arial" w:cs="Arial"/>
          <w:i/>
          <w:szCs w:val="24"/>
        </w:rPr>
        <w:t>Demandado:</w:t>
      </w:r>
      <w:r>
        <w:rPr>
          <w:rFonts w:ascii="Arial" w:hAnsi="Arial" w:cs="Arial"/>
          <w:i/>
          <w:szCs w:val="24"/>
        </w:rPr>
        <w:tab/>
      </w:r>
      <w:r w:rsidRPr="00C4083B">
        <w:rPr>
          <w:rFonts w:ascii="Arial" w:hAnsi="Arial" w:cs="Arial"/>
          <w:i/>
          <w:szCs w:val="24"/>
          <w:lang w:val="es-CO"/>
        </w:rPr>
        <w:t>Colpensiones y otros</w:t>
      </w:r>
      <w:r w:rsidRPr="00C4083B">
        <w:rPr>
          <w:rFonts w:ascii="Arial" w:hAnsi="Arial" w:cs="Arial"/>
          <w:b/>
          <w:bCs/>
          <w:i/>
          <w:szCs w:val="24"/>
          <w:lang w:val="es-CO"/>
        </w:rPr>
        <w:t> </w:t>
      </w:r>
    </w:p>
    <w:p w:rsidR="00C4083B" w:rsidRPr="00C4083B" w:rsidRDefault="00C4083B" w:rsidP="00C4083B">
      <w:pPr>
        <w:rPr>
          <w:rFonts w:ascii="Arial" w:hAnsi="Arial" w:cs="Arial"/>
          <w:szCs w:val="24"/>
        </w:rPr>
      </w:pPr>
    </w:p>
    <w:p w:rsidR="00460562" w:rsidRPr="00C4083B" w:rsidRDefault="00460562" w:rsidP="00C4083B">
      <w:pPr>
        <w:jc w:val="both"/>
        <w:rPr>
          <w:rFonts w:ascii="Arial" w:hAnsi="Arial" w:cs="Arial"/>
          <w:szCs w:val="24"/>
        </w:rPr>
      </w:pPr>
    </w:p>
    <w:p w:rsidR="00C4083B" w:rsidRPr="00C4083B" w:rsidRDefault="00C4083B" w:rsidP="00C4083B">
      <w:pPr>
        <w:jc w:val="both"/>
        <w:rPr>
          <w:rFonts w:ascii="Arial" w:hAnsi="Arial" w:cs="Arial"/>
          <w:szCs w:val="24"/>
        </w:rPr>
      </w:pPr>
    </w:p>
    <w:p w:rsidR="00F93C8E" w:rsidRPr="00C4083B" w:rsidRDefault="00F93C8E" w:rsidP="00C4083B">
      <w:pPr>
        <w:spacing w:line="276" w:lineRule="auto"/>
        <w:jc w:val="center"/>
        <w:rPr>
          <w:rFonts w:ascii="Arial" w:hAnsi="Arial" w:cs="Arial"/>
          <w:b/>
          <w:sz w:val="24"/>
          <w:szCs w:val="24"/>
        </w:rPr>
      </w:pPr>
      <w:r w:rsidRPr="00C4083B">
        <w:rPr>
          <w:rFonts w:ascii="Arial" w:hAnsi="Arial" w:cs="Arial"/>
          <w:sz w:val="24"/>
          <w:szCs w:val="24"/>
        </w:rPr>
        <w:t xml:space="preserve">MAGISTRADO: </w:t>
      </w:r>
      <w:r w:rsidRPr="00C4083B">
        <w:rPr>
          <w:rFonts w:ascii="Arial" w:hAnsi="Arial" w:cs="Arial"/>
          <w:b/>
          <w:sz w:val="24"/>
          <w:szCs w:val="24"/>
        </w:rPr>
        <w:t>JULIO CÉSAR SALAZAR MUÑOZ</w:t>
      </w:r>
    </w:p>
    <w:p w:rsidR="00460562" w:rsidRPr="00C4083B" w:rsidRDefault="00460562" w:rsidP="00C4083B">
      <w:pPr>
        <w:spacing w:line="276" w:lineRule="auto"/>
        <w:rPr>
          <w:rFonts w:ascii="Arial" w:hAnsi="Arial" w:cs="Arial"/>
          <w:b/>
          <w:sz w:val="24"/>
          <w:szCs w:val="24"/>
        </w:rPr>
      </w:pPr>
    </w:p>
    <w:p w:rsidR="00F93C8E" w:rsidRPr="00C4083B" w:rsidRDefault="00F93C8E" w:rsidP="00C4083B">
      <w:pPr>
        <w:spacing w:line="276" w:lineRule="auto"/>
        <w:jc w:val="center"/>
        <w:rPr>
          <w:rFonts w:ascii="Arial" w:hAnsi="Arial" w:cs="Arial"/>
          <w:sz w:val="24"/>
          <w:szCs w:val="24"/>
        </w:rPr>
      </w:pPr>
      <w:r w:rsidRPr="00C4083B">
        <w:rPr>
          <w:rFonts w:ascii="Arial" w:hAnsi="Arial" w:cs="Arial"/>
          <w:sz w:val="24"/>
          <w:szCs w:val="24"/>
        </w:rPr>
        <w:t xml:space="preserve">Pereira, </w:t>
      </w:r>
      <w:r w:rsidR="00AC78C9" w:rsidRPr="00C4083B">
        <w:rPr>
          <w:rFonts w:ascii="Arial" w:hAnsi="Arial" w:cs="Arial"/>
          <w:sz w:val="24"/>
          <w:szCs w:val="24"/>
        </w:rPr>
        <w:t>veinti</w:t>
      </w:r>
      <w:r w:rsidR="002E296E" w:rsidRPr="00C4083B">
        <w:rPr>
          <w:rFonts w:ascii="Arial" w:hAnsi="Arial" w:cs="Arial"/>
          <w:sz w:val="24"/>
          <w:szCs w:val="24"/>
        </w:rPr>
        <w:t>trés</w:t>
      </w:r>
      <w:r w:rsidRPr="00C4083B">
        <w:rPr>
          <w:rFonts w:ascii="Arial" w:hAnsi="Arial" w:cs="Arial"/>
          <w:sz w:val="24"/>
          <w:szCs w:val="24"/>
        </w:rPr>
        <w:t xml:space="preserve"> [</w:t>
      </w:r>
      <w:r w:rsidR="00AC78C9" w:rsidRPr="00C4083B">
        <w:rPr>
          <w:rFonts w:ascii="Arial" w:hAnsi="Arial" w:cs="Arial"/>
          <w:sz w:val="24"/>
          <w:szCs w:val="24"/>
        </w:rPr>
        <w:t>2</w:t>
      </w:r>
      <w:r w:rsidR="002E296E" w:rsidRPr="00C4083B">
        <w:rPr>
          <w:rFonts w:ascii="Arial" w:hAnsi="Arial" w:cs="Arial"/>
          <w:sz w:val="24"/>
          <w:szCs w:val="24"/>
        </w:rPr>
        <w:t>3</w:t>
      </w:r>
      <w:r w:rsidRPr="00C4083B">
        <w:rPr>
          <w:rFonts w:ascii="Arial" w:hAnsi="Arial" w:cs="Arial"/>
          <w:sz w:val="24"/>
          <w:szCs w:val="24"/>
        </w:rPr>
        <w:t xml:space="preserve">] de </w:t>
      </w:r>
      <w:r w:rsidR="009473CF" w:rsidRPr="00C4083B">
        <w:rPr>
          <w:rFonts w:ascii="Arial" w:hAnsi="Arial" w:cs="Arial"/>
          <w:sz w:val="24"/>
          <w:szCs w:val="24"/>
        </w:rPr>
        <w:t>febr</w:t>
      </w:r>
      <w:r w:rsidR="00BB7A85" w:rsidRPr="00C4083B">
        <w:rPr>
          <w:rFonts w:ascii="Arial" w:hAnsi="Arial" w:cs="Arial"/>
          <w:sz w:val="24"/>
          <w:szCs w:val="24"/>
        </w:rPr>
        <w:t>ero</w:t>
      </w:r>
      <w:r w:rsidRPr="00C4083B">
        <w:rPr>
          <w:rFonts w:ascii="Arial" w:hAnsi="Arial" w:cs="Arial"/>
          <w:sz w:val="24"/>
          <w:szCs w:val="24"/>
        </w:rPr>
        <w:t xml:space="preserve"> de dos mil </w:t>
      </w:r>
      <w:r w:rsidR="00C857D6" w:rsidRPr="00C4083B">
        <w:rPr>
          <w:rFonts w:ascii="Arial" w:hAnsi="Arial" w:cs="Arial"/>
          <w:sz w:val="24"/>
          <w:szCs w:val="24"/>
        </w:rPr>
        <w:t>veintidós</w:t>
      </w:r>
      <w:r w:rsidRPr="00C4083B">
        <w:rPr>
          <w:rFonts w:ascii="Arial" w:hAnsi="Arial" w:cs="Arial"/>
          <w:sz w:val="24"/>
          <w:szCs w:val="24"/>
        </w:rPr>
        <w:t xml:space="preserve"> [20</w:t>
      </w:r>
      <w:r w:rsidR="006D3DE4" w:rsidRPr="00C4083B">
        <w:rPr>
          <w:rFonts w:ascii="Arial" w:hAnsi="Arial" w:cs="Arial"/>
          <w:sz w:val="24"/>
          <w:szCs w:val="24"/>
        </w:rPr>
        <w:t>2</w:t>
      </w:r>
      <w:r w:rsidR="00BB7A85" w:rsidRPr="00C4083B">
        <w:rPr>
          <w:rFonts w:ascii="Arial" w:hAnsi="Arial" w:cs="Arial"/>
          <w:sz w:val="24"/>
          <w:szCs w:val="24"/>
        </w:rPr>
        <w:t>2</w:t>
      </w:r>
      <w:r w:rsidRPr="00C4083B">
        <w:rPr>
          <w:rFonts w:ascii="Arial" w:hAnsi="Arial" w:cs="Arial"/>
          <w:sz w:val="24"/>
          <w:szCs w:val="24"/>
        </w:rPr>
        <w:t>]</w:t>
      </w:r>
    </w:p>
    <w:p w:rsidR="00460562" w:rsidRPr="00C4083B" w:rsidRDefault="005941FB" w:rsidP="00C4083B">
      <w:pPr>
        <w:tabs>
          <w:tab w:val="left" w:pos="1440"/>
        </w:tabs>
        <w:spacing w:line="276" w:lineRule="auto"/>
        <w:jc w:val="both"/>
        <w:rPr>
          <w:rFonts w:ascii="Arial" w:hAnsi="Arial" w:cs="Arial"/>
          <w:snapToGrid w:val="0"/>
          <w:sz w:val="24"/>
          <w:szCs w:val="24"/>
        </w:rPr>
      </w:pPr>
      <w:r w:rsidRPr="00C4083B">
        <w:rPr>
          <w:rFonts w:ascii="Arial" w:hAnsi="Arial" w:cs="Arial"/>
          <w:snapToGrid w:val="0"/>
          <w:sz w:val="24"/>
          <w:szCs w:val="24"/>
        </w:rPr>
        <w:tab/>
      </w:r>
    </w:p>
    <w:p w:rsidR="00C4083B" w:rsidRPr="00C4083B" w:rsidRDefault="00C4083B" w:rsidP="00C4083B">
      <w:pPr>
        <w:tabs>
          <w:tab w:val="left" w:pos="1440"/>
        </w:tabs>
        <w:spacing w:line="276" w:lineRule="auto"/>
        <w:jc w:val="both"/>
        <w:rPr>
          <w:rFonts w:ascii="Arial" w:hAnsi="Arial" w:cs="Arial"/>
          <w:snapToGrid w:val="0"/>
          <w:sz w:val="24"/>
          <w:szCs w:val="24"/>
        </w:rPr>
      </w:pPr>
    </w:p>
    <w:p w:rsidR="00F93C8E" w:rsidRPr="00C4083B" w:rsidRDefault="00F93C8E" w:rsidP="00C4083B">
      <w:pPr>
        <w:spacing w:line="276" w:lineRule="auto"/>
        <w:jc w:val="center"/>
        <w:rPr>
          <w:rFonts w:ascii="Arial" w:hAnsi="Arial" w:cs="Arial"/>
          <w:b/>
          <w:sz w:val="24"/>
          <w:szCs w:val="24"/>
          <w:u w:val="single"/>
        </w:rPr>
      </w:pPr>
      <w:r w:rsidRPr="00C4083B">
        <w:rPr>
          <w:rFonts w:ascii="Arial" w:hAnsi="Arial" w:cs="Arial"/>
          <w:b/>
          <w:sz w:val="24"/>
          <w:szCs w:val="24"/>
          <w:u w:val="single"/>
        </w:rPr>
        <w:t xml:space="preserve">SALVAMENTO </w:t>
      </w:r>
      <w:r w:rsidR="009473CF" w:rsidRPr="00C4083B">
        <w:rPr>
          <w:rFonts w:ascii="Arial" w:hAnsi="Arial" w:cs="Arial"/>
          <w:b/>
          <w:sz w:val="24"/>
          <w:szCs w:val="24"/>
          <w:u w:val="single"/>
        </w:rPr>
        <w:t xml:space="preserve">PARCIAL </w:t>
      </w:r>
      <w:r w:rsidRPr="00C4083B">
        <w:rPr>
          <w:rFonts w:ascii="Arial" w:hAnsi="Arial" w:cs="Arial"/>
          <w:b/>
          <w:sz w:val="24"/>
          <w:szCs w:val="24"/>
          <w:u w:val="single"/>
        </w:rPr>
        <w:t>DE VOTO</w:t>
      </w:r>
    </w:p>
    <w:p w:rsidR="00F93C8E" w:rsidRPr="00C4083B" w:rsidRDefault="00F93C8E" w:rsidP="00C4083B">
      <w:pPr>
        <w:pStyle w:val="Textoindependiente"/>
        <w:spacing w:line="276" w:lineRule="auto"/>
        <w:rPr>
          <w:sz w:val="24"/>
          <w:szCs w:val="24"/>
        </w:rPr>
      </w:pPr>
    </w:p>
    <w:p w:rsidR="00043B07" w:rsidRPr="00C4083B" w:rsidRDefault="00043B07" w:rsidP="00C4083B">
      <w:pPr>
        <w:spacing w:line="276" w:lineRule="auto"/>
        <w:jc w:val="both"/>
        <w:rPr>
          <w:rFonts w:ascii="Arial" w:hAnsi="Arial" w:cs="Arial"/>
          <w:b/>
          <w:sz w:val="24"/>
          <w:szCs w:val="24"/>
        </w:rPr>
      </w:pPr>
    </w:p>
    <w:p w:rsidR="00C44ADF" w:rsidRPr="00C4083B" w:rsidRDefault="00231BBC" w:rsidP="00C4083B">
      <w:pPr>
        <w:spacing w:line="276" w:lineRule="auto"/>
        <w:jc w:val="both"/>
        <w:rPr>
          <w:rFonts w:ascii="Arial" w:eastAsia="Arial" w:hAnsi="Arial" w:cs="Arial"/>
          <w:sz w:val="24"/>
          <w:szCs w:val="24"/>
        </w:rPr>
      </w:pPr>
      <w:r w:rsidRPr="00C4083B">
        <w:rPr>
          <w:rFonts w:ascii="Arial" w:eastAsia="Arial" w:hAnsi="Arial" w:cs="Arial"/>
          <w:sz w:val="24"/>
          <w:szCs w:val="24"/>
        </w:rPr>
        <w:t xml:space="preserve">Si bien </w:t>
      </w:r>
      <w:r w:rsidR="00AC78C9" w:rsidRPr="00C4083B">
        <w:rPr>
          <w:rFonts w:ascii="Arial" w:eastAsia="Arial" w:hAnsi="Arial" w:cs="Arial"/>
          <w:sz w:val="24"/>
          <w:szCs w:val="24"/>
        </w:rPr>
        <w:t>coincido</w:t>
      </w:r>
      <w:r w:rsidRPr="00C4083B">
        <w:rPr>
          <w:rFonts w:ascii="Arial" w:eastAsia="Arial" w:hAnsi="Arial" w:cs="Arial"/>
          <w:sz w:val="24"/>
          <w:szCs w:val="24"/>
        </w:rPr>
        <w:t xml:space="preserve"> </w:t>
      </w:r>
      <w:r w:rsidR="00C44ADF" w:rsidRPr="00C4083B">
        <w:rPr>
          <w:rFonts w:ascii="Arial" w:eastAsia="Arial" w:hAnsi="Arial" w:cs="Arial"/>
          <w:sz w:val="24"/>
          <w:szCs w:val="24"/>
        </w:rPr>
        <w:t>en cuanto</w:t>
      </w:r>
      <w:r w:rsidRPr="00C4083B">
        <w:rPr>
          <w:rFonts w:ascii="Arial" w:eastAsia="Arial" w:hAnsi="Arial" w:cs="Arial"/>
          <w:sz w:val="24"/>
          <w:szCs w:val="24"/>
        </w:rPr>
        <w:t xml:space="preserve"> al derecho que tiene el demandante al reconocimiento de su pensión, correspond</w:t>
      </w:r>
      <w:r w:rsidR="00C44ADF" w:rsidRPr="00C4083B">
        <w:rPr>
          <w:rFonts w:ascii="Arial" w:eastAsia="Arial" w:hAnsi="Arial" w:cs="Arial"/>
          <w:sz w:val="24"/>
          <w:szCs w:val="24"/>
        </w:rPr>
        <w:t>ía</w:t>
      </w:r>
      <w:r w:rsidRPr="00C4083B">
        <w:rPr>
          <w:rFonts w:ascii="Arial" w:eastAsia="Arial" w:hAnsi="Arial" w:cs="Arial"/>
          <w:sz w:val="24"/>
          <w:szCs w:val="24"/>
        </w:rPr>
        <w:t xml:space="preserve"> definir quién o quiénes y desde que momento están en la obligación de</w:t>
      </w:r>
      <w:r w:rsidR="00C44ADF" w:rsidRPr="00C4083B">
        <w:rPr>
          <w:rFonts w:ascii="Arial" w:eastAsia="Arial" w:hAnsi="Arial" w:cs="Arial"/>
          <w:sz w:val="24"/>
          <w:szCs w:val="24"/>
        </w:rPr>
        <w:t xml:space="preserve"> cubrir las mesadas pensionales. </w:t>
      </w:r>
      <w:r w:rsidR="00AC78C9" w:rsidRPr="00C4083B">
        <w:rPr>
          <w:rFonts w:ascii="Arial" w:eastAsia="Arial" w:hAnsi="Arial" w:cs="Arial"/>
          <w:sz w:val="24"/>
          <w:szCs w:val="24"/>
        </w:rPr>
        <w:t>La mayoría optó por imponer toda la carga a Colpensiones desde el momento en que nació el derecho pensional a favor del demandante, conclusión con la que no estoy de acuerdo, por las razones que paso a explicar:</w:t>
      </w:r>
    </w:p>
    <w:p w:rsidR="00AC78C9" w:rsidRPr="00C4083B" w:rsidRDefault="00AC78C9" w:rsidP="00C4083B">
      <w:pPr>
        <w:spacing w:line="276" w:lineRule="auto"/>
        <w:jc w:val="both"/>
        <w:rPr>
          <w:rFonts w:ascii="Arial" w:hAnsi="Arial" w:cs="Arial"/>
          <w:sz w:val="24"/>
          <w:szCs w:val="24"/>
        </w:rPr>
      </w:pP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b/>
          <w:bCs/>
          <w:lang w:val="es-MX"/>
        </w:rPr>
        <w:t>RESPONSABILIDAD DE LA ADMINISTRADORA COLOMBIANA DE PENSIONES ANTE LA OMISIÓN EN LA AFILIACIÓN POR PARTE DE LOS EMPLEADORES.</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Para analizar este tema, lo primero que se debe recuperar es la verdadera concepción que tuvo el legislador en el año 1993 al organizar el Régimen de Prima Media.</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Al respecto, a mi juicio, erróneamente, parece entenderse en la actualidad que la ley 100 de 1993 es el punto de partida y origen de la organización del Sistema. Nada más alejado de la realidad. Basta mirar y aplicar el inciso segundo del artículo 31 de dicha ley para darse cuenta que ella se limitó, en este aspecto, a modificar, adicionar y excepcionar puntualmente, aspectos contenidos en las normas vigentes para los Seguros de Invalidez, Vejez y muerte a cargo del Instituto de Seguros Sociales. En efecto, dice textualmente el artículo citado:</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190F32" w:rsidRDefault="00AC78C9" w:rsidP="00190F32">
      <w:pPr>
        <w:pStyle w:val="paragraph"/>
        <w:spacing w:before="0" w:beforeAutospacing="0" w:after="0" w:afterAutospacing="0"/>
        <w:ind w:left="426" w:right="420"/>
        <w:jc w:val="both"/>
        <w:textAlignment w:val="baseline"/>
        <w:rPr>
          <w:rFonts w:ascii="Arial" w:hAnsi="Arial" w:cs="Arial"/>
          <w:sz w:val="22"/>
        </w:rPr>
      </w:pPr>
      <w:r w:rsidRPr="00190F32">
        <w:rPr>
          <w:rStyle w:val="normaltextrun"/>
          <w:rFonts w:ascii="Arial" w:hAnsi="Arial" w:cs="Arial"/>
          <w:b/>
          <w:bCs/>
          <w:sz w:val="22"/>
          <w:lang w:val="es-MX"/>
        </w:rPr>
        <w:t>“ARTÍCULO 31. CONCEPTO.</w:t>
      </w:r>
      <w:r w:rsidRPr="00190F32">
        <w:rPr>
          <w:rStyle w:val="normaltextrun"/>
          <w:rFonts w:ascii="Arial" w:hAnsi="Arial" w:cs="Arial"/>
          <w:sz w:val="22"/>
          <w:lang w:val="es-MX"/>
        </w:rPr>
        <w:t xml:space="preserve"> El régimen de Prima Media con Prestación Definida es aquel mediante el cual los afiliados o sus beneficiarios obtienen una pensión de vejez, de invalidez o de sobrevivientes, o una indemnización, previamente definidas, de acuerdo con lo previsto en el presente Título.</w:t>
      </w:r>
      <w:r w:rsidRPr="00190F32">
        <w:rPr>
          <w:rStyle w:val="eop"/>
          <w:rFonts w:ascii="Arial" w:hAnsi="Arial" w:cs="Arial"/>
          <w:sz w:val="22"/>
        </w:rPr>
        <w:t> </w:t>
      </w:r>
    </w:p>
    <w:p w:rsidR="00AC78C9" w:rsidRPr="00190F32" w:rsidRDefault="00AC78C9" w:rsidP="00190F32">
      <w:pPr>
        <w:pStyle w:val="paragraph"/>
        <w:spacing w:before="0" w:beforeAutospacing="0" w:after="0" w:afterAutospacing="0"/>
        <w:ind w:left="426" w:right="420"/>
        <w:jc w:val="both"/>
        <w:textAlignment w:val="baseline"/>
        <w:rPr>
          <w:rFonts w:ascii="Arial" w:hAnsi="Arial" w:cs="Arial"/>
          <w:sz w:val="22"/>
        </w:rPr>
      </w:pPr>
      <w:r w:rsidRPr="00190F32">
        <w:rPr>
          <w:rStyle w:val="eop"/>
          <w:rFonts w:ascii="Arial" w:hAnsi="Arial" w:cs="Arial"/>
          <w:sz w:val="22"/>
        </w:rPr>
        <w:t> </w:t>
      </w:r>
    </w:p>
    <w:p w:rsidR="00AC78C9" w:rsidRPr="00190F32" w:rsidRDefault="00AC78C9" w:rsidP="00190F32">
      <w:pPr>
        <w:pStyle w:val="paragraph"/>
        <w:spacing w:before="0" w:beforeAutospacing="0" w:after="0" w:afterAutospacing="0"/>
        <w:ind w:left="426" w:right="420"/>
        <w:jc w:val="both"/>
        <w:textAlignment w:val="baseline"/>
        <w:rPr>
          <w:rFonts w:ascii="Arial" w:hAnsi="Arial" w:cs="Arial"/>
          <w:sz w:val="22"/>
        </w:rPr>
      </w:pPr>
      <w:r w:rsidRPr="00190F32">
        <w:rPr>
          <w:rStyle w:val="normaltextrun"/>
          <w:rFonts w:ascii="Arial" w:hAnsi="Arial" w:cs="Arial"/>
          <w:b/>
          <w:bCs/>
          <w:sz w:val="22"/>
          <w:lang w:val="es-MX"/>
        </w:rPr>
        <w:t>Serán aplicables a este régimen las disposiciones vigentes para los seguros de invalidez, vejez y muerte a cargo del Instituto de Seguros Sociales, con las adiciones, modificaciones y excepciones contenidas en esta ley.</w:t>
      </w:r>
      <w:r w:rsidRPr="00190F32">
        <w:rPr>
          <w:rStyle w:val="normaltextrun"/>
          <w:rFonts w:ascii="Arial" w:hAnsi="Arial" w:cs="Arial"/>
          <w:sz w:val="22"/>
          <w:lang w:val="es-MX"/>
        </w:rPr>
        <w:t>”</w:t>
      </w:r>
      <w:r w:rsidRPr="00190F32">
        <w:rPr>
          <w:rStyle w:val="eop"/>
          <w:rFonts w:ascii="Arial" w:hAnsi="Arial" w:cs="Arial"/>
          <w:sz w:val="22"/>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0239D1"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 xml:space="preserve">Pues bien, incorporado en el capítulo VI </w:t>
      </w:r>
      <w:r w:rsidRPr="00C4083B">
        <w:rPr>
          <w:rStyle w:val="normaltextrun"/>
          <w:rFonts w:ascii="Arial" w:hAnsi="Arial" w:cs="Arial"/>
          <w:b/>
          <w:bCs/>
          <w:lang w:val="es-MX"/>
        </w:rPr>
        <w:t>“Disposiciones comunes a las prestaciones”</w:t>
      </w:r>
      <w:r w:rsidRPr="00C4083B">
        <w:rPr>
          <w:rStyle w:val="normaltextrun"/>
          <w:rFonts w:ascii="Arial" w:hAnsi="Arial" w:cs="Arial"/>
          <w:lang w:val="es-MX"/>
        </w:rPr>
        <w:t xml:space="preserve">, el artículo 41 del Acuerdo 049 de 1990 -disposición vigente para los seguros de Invalidez, Vejez y Muerte del entonces Instituto de Seguros Sociales- establece que </w:t>
      </w:r>
      <w:r w:rsidRPr="00C4083B">
        <w:rPr>
          <w:rStyle w:val="normaltextrun"/>
          <w:rFonts w:ascii="Arial" w:hAnsi="Arial" w:cs="Arial"/>
          <w:iCs/>
          <w:lang w:val="es-MX"/>
        </w:rPr>
        <w:t xml:space="preserve">“El Instituto será responsable de las prestaciones de que trata el </w:t>
      </w:r>
      <w:r w:rsidRPr="00C4083B">
        <w:rPr>
          <w:rStyle w:val="normaltextrun"/>
          <w:rFonts w:ascii="Arial" w:hAnsi="Arial" w:cs="Arial"/>
          <w:b/>
          <w:bCs/>
          <w:iCs/>
          <w:lang w:val="es-MX"/>
        </w:rPr>
        <w:t xml:space="preserve">Seguro de Invalidez, </w:t>
      </w:r>
      <w:r w:rsidRPr="00C4083B">
        <w:rPr>
          <w:rStyle w:val="normaltextrun"/>
          <w:rFonts w:ascii="Arial" w:hAnsi="Arial" w:cs="Arial"/>
          <w:b/>
          <w:bCs/>
          <w:iCs/>
          <w:u w:val="single"/>
          <w:lang w:val="es-MX"/>
        </w:rPr>
        <w:t>Vejez</w:t>
      </w:r>
      <w:r w:rsidRPr="00C4083B">
        <w:rPr>
          <w:rStyle w:val="normaltextrun"/>
          <w:rFonts w:ascii="Arial" w:hAnsi="Arial" w:cs="Arial"/>
          <w:b/>
          <w:bCs/>
          <w:iCs/>
          <w:lang w:val="es-MX"/>
        </w:rPr>
        <w:t xml:space="preserve"> y Muerte a partir </w:t>
      </w:r>
      <w:r w:rsidRPr="00C4083B">
        <w:rPr>
          <w:rStyle w:val="normaltextrun"/>
          <w:rFonts w:ascii="Arial" w:hAnsi="Arial" w:cs="Arial"/>
          <w:b/>
          <w:bCs/>
          <w:iCs/>
          <w:u w:val="single"/>
          <w:lang w:val="es-MX"/>
        </w:rPr>
        <w:t>de la afiliación</w:t>
      </w:r>
      <w:r w:rsidRPr="00C4083B">
        <w:rPr>
          <w:rStyle w:val="normaltextrun"/>
          <w:rFonts w:ascii="Arial" w:hAnsi="Arial" w:cs="Arial"/>
          <w:b/>
          <w:bCs/>
          <w:iCs/>
          <w:lang w:val="es-MX"/>
        </w:rPr>
        <w:t>, en los términos contemplados en el presente Reglamento.”</w:t>
      </w:r>
      <w:r w:rsidRPr="00C4083B">
        <w:rPr>
          <w:rStyle w:val="normaltextrun"/>
          <w:rFonts w:ascii="Arial" w:hAnsi="Arial" w:cs="Arial"/>
          <w:lang w:val="es-MX"/>
        </w:rPr>
        <w:t xml:space="preserve">, y a continuación determina que </w:t>
      </w:r>
      <w:r w:rsidRPr="00C4083B">
        <w:rPr>
          <w:rStyle w:val="normaltextrun"/>
          <w:rFonts w:ascii="Arial" w:hAnsi="Arial" w:cs="Arial"/>
          <w:iCs/>
          <w:lang w:val="es-MX"/>
        </w:rPr>
        <w:lastRenderedPageBreak/>
        <w:t>“</w:t>
      </w:r>
      <w:r w:rsidRPr="000239D1">
        <w:rPr>
          <w:rStyle w:val="normaltextrun"/>
          <w:rFonts w:ascii="Arial" w:hAnsi="Arial" w:cs="Arial"/>
          <w:iCs/>
          <w:sz w:val="22"/>
          <w:lang w:val="es-MX"/>
        </w:rPr>
        <w:t xml:space="preserve">Cuando el patrono no afilie a un trabajador </w:t>
      </w:r>
      <w:r w:rsidRPr="000239D1">
        <w:rPr>
          <w:rStyle w:val="normaltextrun"/>
          <w:rFonts w:ascii="Arial" w:hAnsi="Arial" w:cs="Arial"/>
          <w:b/>
          <w:bCs/>
          <w:iCs/>
          <w:sz w:val="22"/>
          <w:lang w:val="es-MX"/>
        </w:rPr>
        <w:t>deberá otorgarle las prestaciones que le hubiere cubierto el ISS en el caso de que lo hubiere afiliado</w:t>
      </w:r>
      <w:r w:rsidRPr="000239D1">
        <w:rPr>
          <w:rStyle w:val="normaltextrun"/>
          <w:rFonts w:ascii="Arial" w:hAnsi="Arial" w:cs="Arial"/>
          <w:bCs/>
          <w:lang w:val="es-MX"/>
        </w:rPr>
        <w:t>”</w:t>
      </w:r>
      <w:r w:rsidRPr="000239D1">
        <w:rPr>
          <w:rStyle w:val="normaltextrun"/>
          <w:rFonts w:ascii="Arial" w:hAnsi="Arial" w:cs="Arial"/>
          <w:lang w:val="es-MX"/>
        </w:rPr>
        <w:t>.</w:t>
      </w:r>
      <w:r w:rsidRPr="000239D1">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Disposición que es apenas obvia, si en cuenta se tiene que la entidad de Seguridad Social solo debe responder por las prestaciones de sus afiliados, mientras que los empleadores tienen la obligación precisamente de afiliarlos, para evitar que estas sigan a su cargo. Esa es la idea central de un sistema de Seguridad Social. </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 xml:space="preserve">Ahora bien, conocida es la postura actual de la Sala de Casación Laboral de la Corte Suprema de Justicia consistente en que las consecuencias de la no afiliación o afiliación tardía por parte del empleador al sistema general de pensiones, cuando la prestación económica ha de causarse en vigencia de las leyes 100 de 1993 y 797 de 2003, se resuelve ordenando </w:t>
      </w:r>
      <w:r w:rsidRPr="00C4083B">
        <w:rPr>
          <w:rStyle w:val="normaltextrun"/>
          <w:rFonts w:ascii="Arial" w:hAnsi="Arial" w:cs="Arial"/>
          <w:b/>
          <w:bCs/>
          <w:lang w:val="es-MX"/>
        </w:rPr>
        <w:t xml:space="preserve">el reconocimiento de la pensión de vejez por parte de la entidad de la seguridad social a la que esté vinculado el afiliado, correspondiéndole al empleador omisivo cancelar el correspondiente cálculo actuarial. </w:t>
      </w:r>
      <w:r w:rsidRPr="00C4083B">
        <w:rPr>
          <w:rStyle w:val="normaltextrun"/>
          <w:rFonts w:ascii="Arial" w:hAnsi="Arial" w:cs="Arial"/>
          <w:lang w:val="es-MX"/>
        </w:rPr>
        <w:t>Lo cual no pugna con lo hasta acá dicho, si se entiende –como es debido- que, pagado el cálculo actuarial, a la entidad de Seguridad Social, dado que para ese momento se llenan los requisitos de ley para acceder a la prestación de vejez, le corresponda, a partir de entonces y en lo sucesivo, pagar las prestaciones a que haya lugar, pero no de cualquier manera, sino en los términos establecidos en el artículo 41 del Acuerdo 049 de 1990. </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FA69BF"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 xml:space="preserve">Es así entonces que, teniendo en cuenta que el empleador omisivo no cumplió oportunamente con la obligación de afiliar al trabajador al régimen de prima media con prestación definida, claro resulta que esa omisión se corrige únicamente en el momento en el que realiza el pago del correspondiente cálculo actuarial, es decir, </w:t>
      </w:r>
      <w:r w:rsidRPr="00C4083B">
        <w:rPr>
          <w:rStyle w:val="normaltextrun"/>
          <w:rFonts w:ascii="Arial" w:hAnsi="Arial" w:cs="Arial"/>
          <w:b/>
          <w:bCs/>
          <w:lang w:val="es-MX"/>
        </w:rPr>
        <w:t>que es entonces cuando realmente se produce la afiliación del trabajador</w:t>
      </w:r>
      <w:r w:rsidRPr="00C4083B">
        <w:rPr>
          <w:rStyle w:val="normaltextrun"/>
          <w:rFonts w:ascii="Arial" w:hAnsi="Arial" w:cs="Arial"/>
          <w:lang w:val="es-MX"/>
        </w:rPr>
        <w:t xml:space="preserve"> al Régimen de Prima Media, </w:t>
      </w:r>
      <w:r w:rsidRPr="00C4083B">
        <w:rPr>
          <w:rStyle w:val="normaltextrun"/>
          <w:rFonts w:ascii="Arial" w:hAnsi="Arial" w:cs="Arial"/>
          <w:b/>
          <w:bCs/>
          <w:lang w:val="es-MX"/>
        </w:rPr>
        <w:t>y es solo a partir de ese instante cuando se concreta la responsabilidad a cargo de Colpensiones</w:t>
      </w:r>
      <w:r w:rsidRPr="00C4083B">
        <w:rPr>
          <w:rStyle w:val="normaltextrun"/>
          <w:rFonts w:ascii="Arial" w:hAnsi="Arial" w:cs="Arial"/>
          <w:lang w:val="es-MX"/>
        </w:rPr>
        <w:t xml:space="preserve">, pues nótese que la norma bajo estudio refiere contundentemente que el Instituto de Seguros Sociales hoy Administradora Colombiana de Pensiones </w:t>
      </w:r>
      <w:r w:rsidRPr="00C4083B">
        <w:rPr>
          <w:rStyle w:val="normaltextrun"/>
          <w:rFonts w:ascii="Arial" w:hAnsi="Arial" w:cs="Arial"/>
          <w:iCs/>
          <w:lang w:val="es-MX"/>
        </w:rPr>
        <w:t>“</w:t>
      </w:r>
      <w:r w:rsidRPr="00FA69BF">
        <w:rPr>
          <w:rStyle w:val="normaltextrun"/>
          <w:rFonts w:ascii="Arial" w:hAnsi="Arial" w:cs="Arial"/>
          <w:b/>
          <w:bCs/>
          <w:iCs/>
          <w:sz w:val="22"/>
          <w:lang w:val="es-MX"/>
        </w:rPr>
        <w:t xml:space="preserve">será responsable de las prestaciones de que trata el Seguro de Invalidez, </w:t>
      </w:r>
      <w:r w:rsidRPr="00FA69BF">
        <w:rPr>
          <w:rStyle w:val="normaltextrun"/>
          <w:rFonts w:ascii="Arial" w:hAnsi="Arial" w:cs="Arial"/>
          <w:b/>
          <w:bCs/>
          <w:iCs/>
          <w:sz w:val="22"/>
          <w:u w:val="single"/>
          <w:lang w:val="es-MX"/>
        </w:rPr>
        <w:t>Vejez</w:t>
      </w:r>
      <w:r w:rsidRPr="00FA69BF">
        <w:rPr>
          <w:rStyle w:val="normaltextrun"/>
          <w:rFonts w:ascii="Arial" w:hAnsi="Arial" w:cs="Arial"/>
          <w:b/>
          <w:bCs/>
          <w:iCs/>
          <w:sz w:val="22"/>
          <w:lang w:val="es-MX"/>
        </w:rPr>
        <w:t xml:space="preserve"> y Muerte </w:t>
      </w:r>
      <w:r w:rsidRPr="00FA69BF">
        <w:rPr>
          <w:rStyle w:val="normaltextrun"/>
          <w:rFonts w:ascii="Arial" w:hAnsi="Arial" w:cs="Arial"/>
          <w:b/>
          <w:bCs/>
          <w:iCs/>
          <w:sz w:val="22"/>
          <w:u w:val="single"/>
          <w:lang w:val="es-MX"/>
        </w:rPr>
        <w:t>a partir de la afiliación</w:t>
      </w:r>
      <w:r w:rsidRPr="00FA69BF">
        <w:rPr>
          <w:rStyle w:val="normaltextrun"/>
          <w:rFonts w:ascii="Arial" w:hAnsi="Arial" w:cs="Arial"/>
          <w:b/>
          <w:bCs/>
          <w:iCs/>
          <w:sz w:val="22"/>
          <w:lang w:val="es-MX"/>
        </w:rPr>
        <w:t>…</w:t>
      </w:r>
      <w:r w:rsidRPr="00FA69BF">
        <w:rPr>
          <w:rStyle w:val="normaltextrun"/>
          <w:rFonts w:ascii="Arial" w:hAnsi="Arial" w:cs="Arial"/>
          <w:bCs/>
          <w:iCs/>
          <w:lang w:val="es-MX"/>
        </w:rPr>
        <w:t>”.</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Todo lo anterior conlleva a concluir que dicha entidad solo está llamada a reconocer y pagar la prestación económica a partir de la fecha en que se produce el pago del cálculo actuarial por parte del empleador omisivo, pues se itera, es solo en ese momento que se entiende cumplida la obligación de afiliación al RPM y por ende, a cargo de la administradora pensional, la responsabilidad de asumir el pago de la pensión.</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Lo expuesto denota que, en caso de solicitarse el reconocimiento de mesadas pensionales anteriores al momento en el que se configura la responsabilidad de Colpensiones, las mismas no están a su cargo, lo que no significa que el afiliado haya de perderlas, sino que el obligado al cumplimiento de aquellas es su ex</w:t>
      </w:r>
      <w:r w:rsidR="00FA69BF">
        <w:rPr>
          <w:rStyle w:val="normaltextrun"/>
          <w:rFonts w:ascii="Arial" w:hAnsi="Arial" w:cs="Arial"/>
          <w:lang w:val="es-MX"/>
        </w:rPr>
        <w:t xml:space="preserve"> </w:t>
      </w:r>
      <w:r w:rsidRPr="00C4083B">
        <w:rPr>
          <w:rStyle w:val="normaltextrun"/>
          <w:rFonts w:ascii="Arial" w:hAnsi="Arial" w:cs="Arial"/>
          <w:lang w:val="es-MX"/>
        </w:rPr>
        <w:t>empleador y no Colpensiones. </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FA69BF"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En este sentido, también hay norma clara y vigente. En efecto, el inciso 2° del artículo 41 del Acuerdo 049 de 1990 prevé que “</w:t>
      </w:r>
      <w:r w:rsidRPr="00FA69BF">
        <w:rPr>
          <w:rStyle w:val="normaltextrun"/>
          <w:rFonts w:ascii="Arial" w:hAnsi="Arial" w:cs="Arial"/>
          <w:iCs/>
          <w:sz w:val="22"/>
          <w:lang w:val="es-MX"/>
        </w:rPr>
        <w:t xml:space="preserve">Cuando el patrono no afilie a un </w:t>
      </w:r>
      <w:r w:rsidRPr="00FA69BF">
        <w:rPr>
          <w:rStyle w:val="normaltextrun"/>
          <w:rFonts w:ascii="Arial" w:hAnsi="Arial" w:cs="Arial"/>
          <w:iCs/>
          <w:sz w:val="22"/>
          <w:lang w:val="es-MX"/>
        </w:rPr>
        <w:lastRenderedPageBreak/>
        <w:t xml:space="preserve">trabajador </w:t>
      </w:r>
      <w:r w:rsidRPr="00FA69BF">
        <w:rPr>
          <w:rStyle w:val="normaltextrun"/>
          <w:rFonts w:ascii="Arial" w:hAnsi="Arial" w:cs="Arial"/>
          <w:b/>
          <w:bCs/>
          <w:iCs/>
          <w:sz w:val="22"/>
          <w:lang w:val="es-MX"/>
        </w:rPr>
        <w:t>deberá otorgarle las prestaciones que le hubiere cubierto el ISS en el caso de que lo hubiere afiliado</w:t>
      </w:r>
      <w:r w:rsidRPr="00FA69BF">
        <w:rPr>
          <w:rStyle w:val="normaltextrun"/>
          <w:rFonts w:ascii="Arial" w:hAnsi="Arial" w:cs="Arial"/>
          <w:bCs/>
          <w:lang w:val="es-MX"/>
        </w:rPr>
        <w:t>”</w:t>
      </w:r>
      <w:r w:rsidRPr="00FA69BF">
        <w:rPr>
          <w:rStyle w:val="normaltextrun"/>
          <w:rFonts w:ascii="Arial" w:hAnsi="Arial" w:cs="Arial"/>
          <w:lang w:val="es-MX"/>
        </w:rPr>
        <w:t>.</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Las disposiciones citadas para sostener lo dicho son reglas de simple lógica jurídica: 1- Nadie tiene porque cumplir con obligaciones que no ha adquirido. 2- Quien incumple las disposiciones legales se responsabiliza de las consecuencias jurídicas. 3- Quien con sus actos o con sus omisiones causa un perjuicio es quien debe indemnizarlo. </w:t>
      </w: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eop"/>
          <w:rFonts w:ascii="Arial" w:hAnsi="Arial" w:cs="Arial"/>
        </w:rPr>
        <w:t> </w:t>
      </w:r>
    </w:p>
    <w:p w:rsidR="00AC78C9" w:rsidRPr="00C4083B" w:rsidRDefault="00AC78C9" w:rsidP="00C4083B">
      <w:pPr>
        <w:pStyle w:val="paragraph"/>
        <w:spacing w:before="0" w:beforeAutospacing="0" w:after="0" w:afterAutospacing="0" w:line="276" w:lineRule="auto"/>
        <w:jc w:val="both"/>
        <w:textAlignment w:val="baseline"/>
        <w:rPr>
          <w:rFonts w:ascii="Arial" w:hAnsi="Arial" w:cs="Arial"/>
        </w:rPr>
      </w:pPr>
      <w:r w:rsidRPr="00C4083B">
        <w:rPr>
          <w:rStyle w:val="normaltextrun"/>
          <w:rFonts w:ascii="Arial" w:hAnsi="Arial" w:cs="Arial"/>
          <w:lang w:val="es-MX"/>
        </w:rPr>
        <w:t>La situación entonces en estos casos es muy clara y acompasa con la posición actual de la Corte: 1- Probada la falta de afiliación por un empleador a él le corresponde pagar el cálculo actuarial. 2- Recibido el pago por Colpensiones, si con ello se reúnen los requisitos de ley, esa entidad debe reconocer y empezar a pagar la prestación y, 3- Si el -así afiliado tardíamente- le asistiere el derecho a reclamar mesadas anteriores a la fecha en que Colpensiones le reconoce su prestación, estas deben exigirse del empleador incumplido.  </w:t>
      </w:r>
      <w:r w:rsidRPr="00C4083B">
        <w:rPr>
          <w:rStyle w:val="eop"/>
          <w:rFonts w:ascii="Arial" w:hAnsi="Arial" w:cs="Arial"/>
        </w:rPr>
        <w:t> </w:t>
      </w:r>
    </w:p>
    <w:p w:rsidR="00AC78C9" w:rsidRPr="00C4083B" w:rsidRDefault="00AC78C9" w:rsidP="00C4083B">
      <w:pPr>
        <w:spacing w:line="276" w:lineRule="auto"/>
        <w:jc w:val="both"/>
        <w:rPr>
          <w:rFonts w:ascii="Arial" w:hAnsi="Arial" w:cs="Arial"/>
          <w:sz w:val="24"/>
          <w:szCs w:val="24"/>
        </w:rPr>
      </w:pPr>
    </w:p>
    <w:p w:rsidR="006C7FDB" w:rsidRPr="00C4083B" w:rsidRDefault="006C7FDB" w:rsidP="00C4083B">
      <w:pPr>
        <w:pStyle w:val="Textoindependiente3"/>
        <w:spacing w:line="276" w:lineRule="auto"/>
        <w:rPr>
          <w:rFonts w:eastAsia="Arial"/>
        </w:rPr>
      </w:pPr>
      <w:r w:rsidRPr="00C4083B">
        <w:rPr>
          <w:rFonts w:eastAsia="Arial"/>
        </w:rPr>
        <w:t xml:space="preserve">Decisiones como la que acá se tomó y se vienen tomando en general, so pretexto de una integral protección del derecho a la seguridad social, en mi entender, van en contravía de nuestro sistema jurídico, desconocen el origen, evolución, principios y actualidad de la seguridad social colombiana y olvidan las reglas básicas de sostenibilidad financiera del sistema. </w:t>
      </w:r>
    </w:p>
    <w:p w:rsidR="006C7FDB" w:rsidRPr="00C4083B" w:rsidRDefault="006C7FDB" w:rsidP="00C4083B">
      <w:pPr>
        <w:pStyle w:val="Textoindependiente3"/>
        <w:spacing w:line="276" w:lineRule="auto"/>
        <w:rPr>
          <w:rFonts w:eastAsia="Arial"/>
        </w:rPr>
      </w:pPr>
    </w:p>
    <w:p w:rsidR="00196707" w:rsidRPr="00C4083B" w:rsidRDefault="006C7FDB" w:rsidP="00C4083B">
      <w:pPr>
        <w:pStyle w:val="Textoindependiente3"/>
        <w:spacing w:line="276" w:lineRule="auto"/>
        <w:rPr>
          <w:rFonts w:eastAsia="Arial"/>
        </w:rPr>
      </w:pPr>
      <w:r w:rsidRPr="00C4083B">
        <w:rPr>
          <w:rFonts w:eastAsia="Arial"/>
        </w:rPr>
        <w:t xml:space="preserve">Es que, como puede </w:t>
      </w:r>
      <w:r w:rsidR="00CB7359" w:rsidRPr="00C4083B">
        <w:rPr>
          <w:rFonts w:eastAsia="Arial"/>
        </w:rPr>
        <w:t>aceptarse</w:t>
      </w:r>
      <w:r w:rsidRPr="00C4083B">
        <w:rPr>
          <w:rFonts w:eastAsia="Arial"/>
        </w:rPr>
        <w:t xml:space="preserve"> que, Colpensiones -entidad que parece entenderse como la Caja Menor del sistema- deba asumir prestaciones </w:t>
      </w:r>
      <w:r w:rsidR="00196707" w:rsidRPr="00C4083B">
        <w:rPr>
          <w:rFonts w:eastAsia="Arial"/>
        </w:rPr>
        <w:t>retroactivas con dineros que no le fueron puestos a su disposición en los momentos que correspondía; mientras que</w:t>
      </w:r>
      <w:r w:rsidR="00CB7359" w:rsidRPr="00C4083B">
        <w:rPr>
          <w:rFonts w:eastAsia="Arial"/>
        </w:rPr>
        <w:t>,</w:t>
      </w:r>
      <w:r w:rsidR="00196707" w:rsidRPr="00C4083B">
        <w:rPr>
          <w:rFonts w:eastAsia="Arial"/>
        </w:rPr>
        <w:t xml:space="preserve"> por el contrario, </w:t>
      </w:r>
      <w:r w:rsidR="00CB7359" w:rsidRPr="00C4083B">
        <w:rPr>
          <w:rFonts w:eastAsia="Arial"/>
        </w:rPr>
        <w:t>se premie el incumplimiento de las obligaciones de Seguridad Social de los empleadores.</w:t>
      </w:r>
    </w:p>
    <w:p w:rsidR="00196707" w:rsidRPr="00C4083B" w:rsidRDefault="00196707" w:rsidP="00C4083B">
      <w:pPr>
        <w:pStyle w:val="Textoindependiente3"/>
        <w:spacing w:line="276" w:lineRule="auto"/>
        <w:rPr>
          <w:rFonts w:eastAsia="Arial"/>
        </w:rPr>
      </w:pPr>
    </w:p>
    <w:p w:rsidR="00CB7359" w:rsidRPr="00C4083B" w:rsidRDefault="00CB7359" w:rsidP="00C4083B">
      <w:pPr>
        <w:pStyle w:val="Textoindependiente3"/>
        <w:spacing w:line="276" w:lineRule="auto"/>
        <w:rPr>
          <w:rFonts w:eastAsia="Arial"/>
        </w:rPr>
      </w:pPr>
      <w:r w:rsidRPr="00C4083B">
        <w:rPr>
          <w:rFonts w:eastAsia="Arial"/>
        </w:rPr>
        <w:t>En realidad, esta clase de decisiones incentivan la defraudación del Sistema, pues basta con adelantar procesos como este, para acceder al pago de retroactivos a cargo de Colpensiones, con los que sencillamente se cubre el cálculo actuarial que confiesan deber los empleadores, se accede al derecho y se obtienen beneficios económicos inexistentes.</w:t>
      </w:r>
    </w:p>
    <w:p w:rsidR="00C44ADF" w:rsidRPr="00C4083B" w:rsidRDefault="00196707" w:rsidP="00C4083B">
      <w:pPr>
        <w:pStyle w:val="Textoindependiente3"/>
        <w:spacing w:line="276" w:lineRule="auto"/>
      </w:pPr>
      <w:r w:rsidRPr="00C4083B">
        <w:rPr>
          <w:rFonts w:eastAsia="Arial"/>
        </w:rPr>
        <w:t xml:space="preserve"> </w:t>
      </w:r>
      <w:r w:rsidR="00C44ADF" w:rsidRPr="00C4083B">
        <w:rPr>
          <w:rFonts w:eastAsia="Arial"/>
        </w:rPr>
        <w:t xml:space="preserve"> </w:t>
      </w:r>
    </w:p>
    <w:p w:rsidR="001E7D12" w:rsidRPr="00C4083B" w:rsidRDefault="002E2869" w:rsidP="00C4083B">
      <w:pPr>
        <w:pStyle w:val="Textoindependiente3"/>
        <w:spacing w:line="276" w:lineRule="auto"/>
      </w:pPr>
      <w:r w:rsidRPr="00C4083B">
        <w:t xml:space="preserve">Como puede verse mi posición </w:t>
      </w:r>
      <w:r w:rsidR="00196707" w:rsidRPr="00C4083B">
        <w:t xml:space="preserve">en este aspecto </w:t>
      </w:r>
      <w:r w:rsidRPr="00C4083B">
        <w:t xml:space="preserve">difiere </w:t>
      </w:r>
      <w:r w:rsidR="00196707" w:rsidRPr="00C4083B">
        <w:t>de lo considerado</w:t>
      </w:r>
      <w:r w:rsidRPr="00C4083B">
        <w:t xml:space="preserve"> por la mayoría y es por eso que </w:t>
      </w:r>
      <w:r w:rsidR="00460562" w:rsidRPr="00C4083B">
        <w:t>salv</w:t>
      </w:r>
      <w:r w:rsidRPr="00C4083B">
        <w:t>ó</w:t>
      </w:r>
      <w:r w:rsidR="00460562" w:rsidRPr="00C4083B">
        <w:t xml:space="preserve"> </w:t>
      </w:r>
      <w:r w:rsidR="004D71B2" w:rsidRPr="00C4083B">
        <w:t>mi voto</w:t>
      </w:r>
      <w:r w:rsidR="00196707" w:rsidRPr="00C4083B">
        <w:t xml:space="preserve"> parcialmente</w:t>
      </w:r>
      <w:r w:rsidRPr="00C4083B">
        <w:t>, como acá queda hecho.</w:t>
      </w:r>
      <w:r w:rsidR="004D71B2" w:rsidRPr="00C4083B">
        <w:t xml:space="preserve"> </w:t>
      </w:r>
    </w:p>
    <w:p w:rsidR="00815D3A" w:rsidRDefault="00815D3A" w:rsidP="00C4083B">
      <w:pPr>
        <w:tabs>
          <w:tab w:val="left" w:pos="7185"/>
        </w:tabs>
        <w:spacing w:line="276" w:lineRule="auto"/>
        <w:jc w:val="both"/>
        <w:rPr>
          <w:rFonts w:ascii="Arial" w:hAnsi="Arial" w:cs="Arial"/>
          <w:iCs/>
          <w:sz w:val="24"/>
          <w:szCs w:val="24"/>
        </w:rPr>
      </w:pPr>
    </w:p>
    <w:p w:rsidR="00C4083B" w:rsidRDefault="00C4083B" w:rsidP="00C4083B">
      <w:pPr>
        <w:tabs>
          <w:tab w:val="left" w:pos="7185"/>
        </w:tabs>
        <w:spacing w:line="276" w:lineRule="auto"/>
        <w:jc w:val="both"/>
        <w:rPr>
          <w:rFonts w:ascii="Arial" w:hAnsi="Arial" w:cs="Arial"/>
          <w:iCs/>
          <w:sz w:val="24"/>
          <w:szCs w:val="24"/>
        </w:rPr>
      </w:pPr>
    </w:p>
    <w:p w:rsidR="005F5624" w:rsidRDefault="005F5624" w:rsidP="00C4083B">
      <w:pPr>
        <w:tabs>
          <w:tab w:val="left" w:pos="7185"/>
        </w:tabs>
        <w:spacing w:line="276" w:lineRule="auto"/>
        <w:jc w:val="both"/>
        <w:rPr>
          <w:rFonts w:ascii="Arial" w:hAnsi="Arial" w:cs="Arial"/>
          <w:iCs/>
          <w:sz w:val="24"/>
          <w:szCs w:val="24"/>
        </w:rPr>
      </w:pPr>
    </w:p>
    <w:p w:rsidR="00C4083B" w:rsidRPr="00C4083B" w:rsidRDefault="00C4083B" w:rsidP="00C4083B">
      <w:pPr>
        <w:tabs>
          <w:tab w:val="left" w:pos="7185"/>
        </w:tabs>
        <w:spacing w:line="276" w:lineRule="auto"/>
        <w:jc w:val="both"/>
        <w:rPr>
          <w:rFonts w:ascii="Arial" w:hAnsi="Arial" w:cs="Arial"/>
          <w:iCs/>
          <w:sz w:val="24"/>
          <w:szCs w:val="24"/>
        </w:rPr>
      </w:pPr>
    </w:p>
    <w:p w:rsidR="00F93C8E" w:rsidRPr="00C4083B" w:rsidRDefault="00F93C8E" w:rsidP="00C4083B">
      <w:pPr>
        <w:spacing w:line="276" w:lineRule="auto"/>
        <w:jc w:val="center"/>
        <w:rPr>
          <w:rFonts w:ascii="Arial" w:hAnsi="Arial" w:cs="Arial"/>
          <w:b/>
          <w:sz w:val="24"/>
          <w:szCs w:val="24"/>
        </w:rPr>
      </w:pPr>
      <w:r w:rsidRPr="00C4083B">
        <w:rPr>
          <w:rFonts w:ascii="Arial" w:hAnsi="Arial" w:cs="Arial"/>
          <w:b/>
          <w:sz w:val="24"/>
          <w:szCs w:val="24"/>
        </w:rPr>
        <w:t>JULIO CÉSAR SALAZAR MUÑOZ</w:t>
      </w:r>
    </w:p>
    <w:p w:rsidR="00F93C8E" w:rsidRPr="00C4083B" w:rsidRDefault="00F93C8E" w:rsidP="00C4083B">
      <w:pPr>
        <w:spacing w:line="276" w:lineRule="auto"/>
        <w:jc w:val="center"/>
        <w:rPr>
          <w:rFonts w:ascii="Arial" w:hAnsi="Arial" w:cs="Arial"/>
          <w:sz w:val="24"/>
          <w:szCs w:val="24"/>
        </w:rPr>
      </w:pPr>
      <w:r w:rsidRPr="00C4083B">
        <w:rPr>
          <w:rFonts w:ascii="Arial" w:hAnsi="Arial" w:cs="Arial"/>
          <w:sz w:val="24"/>
          <w:szCs w:val="24"/>
        </w:rPr>
        <w:t>Magistrado</w:t>
      </w:r>
    </w:p>
    <w:sectPr w:rsidR="00F93C8E" w:rsidRPr="00C4083B" w:rsidSect="00C4083B">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A3" w:rsidRDefault="00314BA3">
      <w:r>
        <w:separator/>
      </w:r>
    </w:p>
  </w:endnote>
  <w:endnote w:type="continuationSeparator" w:id="0">
    <w:p w:rsidR="00314BA3" w:rsidRDefault="0031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A3" w:rsidRDefault="00314BA3">
      <w:r>
        <w:separator/>
      </w:r>
    </w:p>
  </w:footnote>
  <w:footnote w:type="continuationSeparator" w:id="0">
    <w:p w:rsidR="00314BA3" w:rsidRDefault="0031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8E" w:rsidRDefault="00F93C8E">
    <w:pPr>
      <w:tabs>
        <w:tab w:val="left" w:pos="-720"/>
      </w:tabs>
      <w:suppressAutoHyphens/>
      <w:jc w:val="both"/>
      <w:rPr>
        <w:rFonts w:ascii="Arial" w:hAnsi="Arial"/>
        <w:b/>
        <w:spacing w:val="-3"/>
        <w:sz w:val="16"/>
      </w:rPr>
    </w:pPr>
  </w:p>
  <w:p w:rsidR="00F93C8E" w:rsidRDefault="00F93C8E">
    <w:pPr>
      <w:tabs>
        <w:tab w:val="left" w:pos="-720"/>
      </w:tabs>
      <w:suppressAutoHyphens/>
      <w:jc w:val="both"/>
      <w:rPr>
        <w:rFonts w:ascii="Arial" w:hAnsi="Arial"/>
        <w:b/>
        <w:spacing w:val="-3"/>
        <w:sz w:val="16"/>
      </w:rPr>
    </w:pPr>
  </w:p>
  <w:p w:rsidR="00F93C8E" w:rsidRDefault="00F93C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39D1"/>
    <w:rsid w:val="00040B7C"/>
    <w:rsid w:val="00043B07"/>
    <w:rsid w:val="00097493"/>
    <w:rsid w:val="000A4F95"/>
    <w:rsid w:val="000C2D3C"/>
    <w:rsid w:val="00190F32"/>
    <w:rsid w:val="00196707"/>
    <w:rsid w:val="001E7D12"/>
    <w:rsid w:val="00231BBC"/>
    <w:rsid w:val="0023751B"/>
    <w:rsid w:val="0024083A"/>
    <w:rsid w:val="002B7F85"/>
    <w:rsid w:val="002D4FB4"/>
    <w:rsid w:val="002E2869"/>
    <w:rsid w:val="002E296E"/>
    <w:rsid w:val="00314BA3"/>
    <w:rsid w:val="003269FC"/>
    <w:rsid w:val="0033341D"/>
    <w:rsid w:val="003602D8"/>
    <w:rsid w:val="00377A7D"/>
    <w:rsid w:val="003A0A3A"/>
    <w:rsid w:val="003C6690"/>
    <w:rsid w:val="003D16E8"/>
    <w:rsid w:val="0044582C"/>
    <w:rsid w:val="00457920"/>
    <w:rsid w:val="00460562"/>
    <w:rsid w:val="004A123B"/>
    <w:rsid w:val="004C7987"/>
    <w:rsid w:val="004D71B2"/>
    <w:rsid w:val="004E2551"/>
    <w:rsid w:val="004E2E48"/>
    <w:rsid w:val="00561D44"/>
    <w:rsid w:val="005941FB"/>
    <w:rsid w:val="005C3200"/>
    <w:rsid w:val="005E66EB"/>
    <w:rsid w:val="005F5624"/>
    <w:rsid w:val="00601230"/>
    <w:rsid w:val="006317AA"/>
    <w:rsid w:val="00633013"/>
    <w:rsid w:val="00681C62"/>
    <w:rsid w:val="006C7FDB"/>
    <w:rsid w:val="006D3DE4"/>
    <w:rsid w:val="007222A6"/>
    <w:rsid w:val="007F45EC"/>
    <w:rsid w:val="00815D3A"/>
    <w:rsid w:val="00820095"/>
    <w:rsid w:val="00865D57"/>
    <w:rsid w:val="008C1CCF"/>
    <w:rsid w:val="00932F24"/>
    <w:rsid w:val="009473CF"/>
    <w:rsid w:val="00951131"/>
    <w:rsid w:val="00961FE9"/>
    <w:rsid w:val="009648B4"/>
    <w:rsid w:val="009706A9"/>
    <w:rsid w:val="009A6D7D"/>
    <w:rsid w:val="00A418C3"/>
    <w:rsid w:val="00A54E72"/>
    <w:rsid w:val="00A60BF5"/>
    <w:rsid w:val="00A85604"/>
    <w:rsid w:val="00AA54E1"/>
    <w:rsid w:val="00AC78C9"/>
    <w:rsid w:val="00AD1098"/>
    <w:rsid w:val="00AE62C6"/>
    <w:rsid w:val="00B23175"/>
    <w:rsid w:val="00B823F6"/>
    <w:rsid w:val="00BB7A85"/>
    <w:rsid w:val="00BC2998"/>
    <w:rsid w:val="00BC7D37"/>
    <w:rsid w:val="00BE3E41"/>
    <w:rsid w:val="00C4083B"/>
    <w:rsid w:val="00C4490E"/>
    <w:rsid w:val="00C44ADF"/>
    <w:rsid w:val="00C46C95"/>
    <w:rsid w:val="00C65A99"/>
    <w:rsid w:val="00C857D6"/>
    <w:rsid w:val="00CB7359"/>
    <w:rsid w:val="00D6498D"/>
    <w:rsid w:val="00D71A6D"/>
    <w:rsid w:val="00D87D30"/>
    <w:rsid w:val="00D94D3E"/>
    <w:rsid w:val="00DD60DF"/>
    <w:rsid w:val="00E712DB"/>
    <w:rsid w:val="00E75A2E"/>
    <w:rsid w:val="00F019D5"/>
    <w:rsid w:val="00F262DD"/>
    <w:rsid w:val="00F26FDE"/>
    <w:rsid w:val="00F3531A"/>
    <w:rsid w:val="00F41C88"/>
    <w:rsid w:val="00F82A15"/>
    <w:rsid w:val="00F93C8E"/>
    <w:rsid w:val="00FA69BF"/>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0CE7E"/>
  <w15:docId w15:val="{04892810-14F1-45AB-9F6D-CB0D5AD8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D8"/>
    <w:rPr>
      <w:lang w:val="es-ES" w:eastAsia="es-ES"/>
    </w:rPr>
  </w:style>
  <w:style w:type="paragraph" w:styleId="Ttulo1">
    <w:name w:val="heading 1"/>
    <w:basedOn w:val="Normal"/>
    <w:next w:val="Normal"/>
    <w:qFormat/>
    <w:rsid w:val="003602D8"/>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3602D8"/>
    <w:pPr>
      <w:keepNext/>
      <w:spacing w:line="360" w:lineRule="auto"/>
      <w:jc w:val="both"/>
      <w:outlineLvl w:val="1"/>
    </w:pPr>
    <w:rPr>
      <w:rFonts w:ascii="Arial" w:hAnsi="Arial" w:cs="Arial"/>
      <w:sz w:val="24"/>
    </w:rPr>
  </w:style>
  <w:style w:type="paragraph" w:styleId="Ttulo3">
    <w:name w:val="heading 3"/>
    <w:basedOn w:val="Normal"/>
    <w:next w:val="Normal"/>
    <w:qFormat/>
    <w:rsid w:val="003602D8"/>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602D8"/>
    <w:pPr>
      <w:tabs>
        <w:tab w:val="center" w:pos="4252"/>
        <w:tab w:val="right" w:pos="8504"/>
      </w:tabs>
    </w:pPr>
  </w:style>
  <w:style w:type="paragraph" w:styleId="Piedepgina">
    <w:name w:val="footer"/>
    <w:basedOn w:val="Normal"/>
    <w:semiHidden/>
    <w:rsid w:val="003602D8"/>
    <w:pPr>
      <w:tabs>
        <w:tab w:val="center" w:pos="4252"/>
        <w:tab w:val="right" w:pos="8504"/>
      </w:tabs>
    </w:pPr>
  </w:style>
  <w:style w:type="paragraph" w:styleId="Textodeglobo">
    <w:name w:val="Balloon Text"/>
    <w:basedOn w:val="Normal"/>
    <w:semiHidden/>
    <w:rsid w:val="003602D8"/>
    <w:rPr>
      <w:rFonts w:ascii="Tahoma" w:hAnsi="Tahoma" w:cs="Tahoma"/>
      <w:sz w:val="16"/>
      <w:szCs w:val="16"/>
    </w:rPr>
  </w:style>
  <w:style w:type="paragraph" w:styleId="Textoindependiente">
    <w:name w:val="Body Text"/>
    <w:basedOn w:val="Normal"/>
    <w:semiHidden/>
    <w:rsid w:val="003602D8"/>
    <w:pPr>
      <w:spacing w:line="360" w:lineRule="auto"/>
      <w:jc w:val="both"/>
    </w:pPr>
    <w:rPr>
      <w:rFonts w:ascii="Arial" w:hAnsi="Arial" w:cs="Arial"/>
      <w:iCs/>
      <w:sz w:val="26"/>
      <w:szCs w:val="26"/>
    </w:rPr>
  </w:style>
  <w:style w:type="paragraph" w:styleId="Textoindependiente2">
    <w:name w:val="Body Text 2"/>
    <w:basedOn w:val="Normal"/>
    <w:semiHidden/>
    <w:rsid w:val="003602D8"/>
    <w:pPr>
      <w:spacing w:line="360" w:lineRule="auto"/>
      <w:jc w:val="both"/>
    </w:pPr>
    <w:rPr>
      <w:rFonts w:ascii="Arial" w:hAnsi="Arial" w:cs="Arial"/>
      <w:iCs/>
      <w:sz w:val="22"/>
      <w:szCs w:val="26"/>
    </w:rPr>
  </w:style>
  <w:style w:type="paragraph" w:styleId="Textoindependiente3">
    <w:name w:val="Body Text 3"/>
    <w:basedOn w:val="Normal"/>
    <w:semiHidden/>
    <w:rsid w:val="003602D8"/>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3602D8"/>
  </w:style>
  <w:style w:type="character" w:styleId="Hipervnculo">
    <w:name w:val="Hyperlink"/>
    <w:semiHidden/>
    <w:rsid w:val="003602D8"/>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customStyle="1" w:styleId="paragraph">
    <w:name w:val="paragraph"/>
    <w:basedOn w:val="Normal"/>
    <w:rsid w:val="00AC78C9"/>
    <w:pPr>
      <w:spacing w:before="100" w:beforeAutospacing="1" w:after="100" w:afterAutospacing="1"/>
    </w:pPr>
    <w:rPr>
      <w:sz w:val="24"/>
      <w:szCs w:val="24"/>
      <w:lang w:val="es-CO" w:eastAsia="es-CO"/>
    </w:rPr>
  </w:style>
  <w:style w:type="character" w:customStyle="1" w:styleId="normaltextrun">
    <w:name w:val="normaltextrun"/>
    <w:rsid w:val="00AC78C9"/>
  </w:style>
  <w:style w:type="character" w:customStyle="1" w:styleId="eop">
    <w:name w:val="eop"/>
    <w:rsid w:val="00AC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2267162">
      <w:bodyDiv w:val="1"/>
      <w:marLeft w:val="0"/>
      <w:marRight w:val="0"/>
      <w:marTop w:val="0"/>
      <w:marBottom w:val="0"/>
      <w:divBdr>
        <w:top w:val="none" w:sz="0" w:space="0" w:color="auto"/>
        <w:left w:val="none" w:sz="0" w:space="0" w:color="auto"/>
        <w:bottom w:val="none" w:sz="0" w:space="0" w:color="auto"/>
        <w:right w:val="none" w:sz="0" w:space="0" w:color="auto"/>
      </w:divBdr>
      <w:divsChild>
        <w:div w:id="1419211152">
          <w:marLeft w:val="0"/>
          <w:marRight w:val="0"/>
          <w:marTop w:val="0"/>
          <w:marBottom w:val="0"/>
          <w:divBdr>
            <w:top w:val="none" w:sz="0" w:space="0" w:color="auto"/>
            <w:left w:val="none" w:sz="0" w:space="0" w:color="auto"/>
            <w:bottom w:val="none" w:sz="0" w:space="0" w:color="auto"/>
            <w:right w:val="none" w:sz="0" w:space="0" w:color="auto"/>
          </w:divBdr>
        </w:div>
        <w:div w:id="1042443133">
          <w:marLeft w:val="0"/>
          <w:marRight w:val="0"/>
          <w:marTop w:val="0"/>
          <w:marBottom w:val="0"/>
          <w:divBdr>
            <w:top w:val="none" w:sz="0" w:space="0" w:color="auto"/>
            <w:left w:val="none" w:sz="0" w:space="0" w:color="auto"/>
            <w:bottom w:val="none" w:sz="0" w:space="0" w:color="auto"/>
            <w:right w:val="none" w:sz="0" w:space="0" w:color="auto"/>
          </w:divBdr>
        </w:div>
        <w:div w:id="1047411118">
          <w:marLeft w:val="0"/>
          <w:marRight w:val="0"/>
          <w:marTop w:val="0"/>
          <w:marBottom w:val="0"/>
          <w:divBdr>
            <w:top w:val="none" w:sz="0" w:space="0" w:color="auto"/>
            <w:left w:val="none" w:sz="0" w:space="0" w:color="auto"/>
            <w:bottom w:val="none" w:sz="0" w:space="0" w:color="auto"/>
            <w:right w:val="none" w:sz="0" w:space="0" w:color="auto"/>
          </w:divBdr>
        </w:div>
        <w:div w:id="1866627107">
          <w:marLeft w:val="0"/>
          <w:marRight w:val="0"/>
          <w:marTop w:val="0"/>
          <w:marBottom w:val="0"/>
          <w:divBdr>
            <w:top w:val="none" w:sz="0" w:space="0" w:color="auto"/>
            <w:left w:val="none" w:sz="0" w:space="0" w:color="auto"/>
            <w:bottom w:val="none" w:sz="0" w:space="0" w:color="auto"/>
            <w:right w:val="none" w:sz="0" w:space="0" w:color="auto"/>
          </w:divBdr>
        </w:div>
        <w:div w:id="1903252281">
          <w:marLeft w:val="0"/>
          <w:marRight w:val="0"/>
          <w:marTop w:val="0"/>
          <w:marBottom w:val="0"/>
          <w:divBdr>
            <w:top w:val="none" w:sz="0" w:space="0" w:color="auto"/>
            <w:left w:val="none" w:sz="0" w:space="0" w:color="auto"/>
            <w:bottom w:val="none" w:sz="0" w:space="0" w:color="auto"/>
            <w:right w:val="none" w:sz="0" w:space="0" w:color="auto"/>
          </w:divBdr>
        </w:div>
        <w:div w:id="1555384185">
          <w:marLeft w:val="0"/>
          <w:marRight w:val="0"/>
          <w:marTop w:val="0"/>
          <w:marBottom w:val="0"/>
          <w:divBdr>
            <w:top w:val="none" w:sz="0" w:space="0" w:color="auto"/>
            <w:left w:val="none" w:sz="0" w:space="0" w:color="auto"/>
            <w:bottom w:val="none" w:sz="0" w:space="0" w:color="auto"/>
            <w:right w:val="none" w:sz="0" w:space="0" w:color="auto"/>
          </w:divBdr>
        </w:div>
        <w:div w:id="233590148">
          <w:marLeft w:val="0"/>
          <w:marRight w:val="0"/>
          <w:marTop w:val="0"/>
          <w:marBottom w:val="0"/>
          <w:divBdr>
            <w:top w:val="none" w:sz="0" w:space="0" w:color="auto"/>
            <w:left w:val="none" w:sz="0" w:space="0" w:color="auto"/>
            <w:bottom w:val="none" w:sz="0" w:space="0" w:color="auto"/>
            <w:right w:val="none" w:sz="0" w:space="0" w:color="auto"/>
          </w:divBdr>
        </w:div>
        <w:div w:id="1677609505">
          <w:marLeft w:val="0"/>
          <w:marRight w:val="0"/>
          <w:marTop w:val="0"/>
          <w:marBottom w:val="0"/>
          <w:divBdr>
            <w:top w:val="none" w:sz="0" w:space="0" w:color="auto"/>
            <w:left w:val="none" w:sz="0" w:space="0" w:color="auto"/>
            <w:bottom w:val="none" w:sz="0" w:space="0" w:color="auto"/>
            <w:right w:val="none" w:sz="0" w:space="0" w:color="auto"/>
          </w:divBdr>
        </w:div>
        <w:div w:id="1806001120">
          <w:marLeft w:val="0"/>
          <w:marRight w:val="0"/>
          <w:marTop w:val="0"/>
          <w:marBottom w:val="0"/>
          <w:divBdr>
            <w:top w:val="none" w:sz="0" w:space="0" w:color="auto"/>
            <w:left w:val="none" w:sz="0" w:space="0" w:color="auto"/>
            <w:bottom w:val="none" w:sz="0" w:space="0" w:color="auto"/>
            <w:right w:val="none" w:sz="0" w:space="0" w:color="auto"/>
          </w:divBdr>
        </w:div>
        <w:div w:id="496846805">
          <w:marLeft w:val="0"/>
          <w:marRight w:val="0"/>
          <w:marTop w:val="0"/>
          <w:marBottom w:val="0"/>
          <w:divBdr>
            <w:top w:val="none" w:sz="0" w:space="0" w:color="auto"/>
            <w:left w:val="none" w:sz="0" w:space="0" w:color="auto"/>
            <w:bottom w:val="none" w:sz="0" w:space="0" w:color="auto"/>
            <w:right w:val="none" w:sz="0" w:space="0" w:color="auto"/>
          </w:divBdr>
        </w:div>
        <w:div w:id="1109087178">
          <w:marLeft w:val="0"/>
          <w:marRight w:val="0"/>
          <w:marTop w:val="0"/>
          <w:marBottom w:val="0"/>
          <w:divBdr>
            <w:top w:val="none" w:sz="0" w:space="0" w:color="auto"/>
            <w:left w:val="none" w:sz="0" w:space="0" w:color="auto"/>
            <w:bottom w:val="none" w:sz="0" w:space="0" w:color="auto"/>
            <w:right w:val="none" w:sz="0" w:space="0" w:color="auto"/>
          </w:divBdr>
        </w:div>
        <w:div w:id="221983529">
          <w:marLeft w:val="0"/>
          <w:marRight w:val="0"/>
          <w:marTop w:val="0"/>
          <w:marBottom w:val="0"/>
          <w:divBdr>
            <w:top w:val="none" w:sz="0" w:space="0" w:color="auto"/>
            <w:left w:val="none" w:sz="0" w:space="0" w:color="auto"/>
            <w:bottom w:val="none" w:sz="0" w:space="0" w:color="auto"/>
            <w:right w:val="none" w:sz="0" w:space="0" w:color="auto"/>
          </w:divBdr>
        </w:div>
        <w:div w:id="1441492050">
          <w:marLeft w:val="0"/>
          <w:marRight w:val="0"/>
          <w:marTop w:val="0"/>
          <w:marBottom w:val="0"/>
          <w:divBdr>
            <w:top w:val="none" w:sz="0" w:space="0" w:color="auto"/>
            <w:left w:val="none" w:sz="0" w:space="0" w:color="auto"/>
            <w:bottom w:val="none" w:sz="0" w:space="0" w:color="auto"/>
            <w:right w:val="none" w:sz="0" w:space="0" w:color="auto"/>
          </w:divBdr>
        </w:div>
        <w:div w:id="913198762">
          <w:marLeft w:val="0"/>
          <w:marRight w:val="0"/>
          <w:marTop w:val="0"/>
          <w:marBottom w:val="0"/>
          <w:divBdr>
            <w:top w:val="none" w:sz="0" w:space="0" w:color="auto"/>
            <w:left w:val="none" w:sz="0" w:space="0" w:color="auto"/>
            <w:bottom w:val="none" w:sz="0" w:space="0" w:color="auto"/>
            <w:right w:val="none" w:sz="0" w:space="0" w:color="auto"/>
          </w:divBdr>
        </w:div>
        <w:div w:id="1716545400">
          <w:marLeft w:val="0"/>
          <w:marRight w:val="0"/>
          <w:marTop w:val="0"/>
          <w:marBottom w:val="0"/>
          <w:divBdr>
            <w:top w:val="none" w:sz="0" w:space="0" w:color="auto"/>
            <w:left w:val="none" w:sz="0" w:space="0" w:color="auto"/>
            <w:bottom w:val="none" w:sz="0" w:space="0" w:color="auto"/>
            <w:right w:val="none" w:sz="0" w:space="0" w:color="auto"/>
          </w:divBdr>
        </w:div>
        <w:div w:id="296644344">
          <w:marLeft w:val="0"/>
          <w:marRight w:val="0"/>
          <w:marTop w:val="0"/>
          <w:marBottom w:val="0"/>
          <w:divBdr>
            <w:top w:val="none" w:sz="0" w:space="0" w:color="auto"/>
            <w:left w:val="none" w:sz="0" w:space="0" w:color="auto"/>
            <w:bottom w:val="none" w:sz="0" w:space="0" w:color="auto"/>
            <w:right w:val="none" w:sz="0" w:space="0" w:color="auto"/>
          </w:divBdr>
        </w:div>
        <w:div w:id="1243491722">
          <w:marLeft w:val="0"/>
          <w:marRight w:val="0"/>
          <w:marTop w:val="0"/>
          <w:marBottom w:val="0"/>
          <w:divBdr>
            <w:top w:val="none" w:sz="0" w:space="0" w:color="auto"/>
            <w:left w:val="none" w:sz="0" w:space="0" w:color="auto"/>
            <w:bottom w:val="none" w:sz="0" w:space="0" w:color="auto"/>
            <w:right w:val="none" w:sz="0" w:space="0" w:color="auto"/>
          </w:divBdr>
        </w:div>
        <w:div w:id="745497893">
          <w:marLeft w:val="0"/>
          <w:marRight w:val="0"/>
          <w:marTop w:val="0"/>
          <w:marBottom w:val="0"/>
          <w:divBdr>
            <w:top w:val="none" w:sz="0" w:space="0" w:color="auto"/>
            <w:left w:val="none" w:sz="0" w:space="0" w:color="auto"/>
            <w:bottom w:val="none" w:sz="0" w:space="0" w:color="auto"/>
            <w:right w:val="none" w:sz="0" w:space="0" w:color="auto"/>
          </w:divBdr>
        </w:div>
        <w:div w:id="1954902430">
          <w:marLeft w:val="0"/>
          <w:marRight w:val="0"/>
          <w:marTop w:val="0"/>
          <w:marBottom w:val="0"/>
          <w:divBdr>
            <w:top w:val="none" w:sz="0" w:space="0" w:color="auto"/>
            <w:left w:val="none" w:sz="0" w:space="0" w:color="auto"/>
            <w:bottom w:val="none" w:sz="0" w:space="0" w:color="auto"/>
            <w:right w:val="none" w:sz="0" w:space="0" w:color="auto"/>
          </w:divBdr>
        </w:div>
        <w:div w:id="1784955606">
          <w:marLeft w:val="0"/>
          <w:marRight w:val="0"/>
          <w:marTop w:val="0"/>
          <w:marBottom w:val="0"/>
          <w:divBdr>
            <w:top w:val="none" w:sz="0" w:space="0" w:color="auto"/>
            <w:left w:val="none" w:sz="0" w:space="0" w:color="auto"/>
            <w:bottom w:val="none" w:sz="0" w:space="0" w:color="auto"/>
            <w:right w:val="none" w:sz="0" w:space="0" w:color="auto"/>
          </w:divBdr>
        </w:div>
        <w:div w:id="771172792">
          <w:marLeft w:val="0"/>
          <w:marRight w:val="0"/>
          <w:marTop w:val="0"/>
          <w:marBottom w:val="0"/>
          <w:divBdr>
            <w:top w:val="none" w:sz="0" w:space="0" w:color="auto"/>
            <w:left w:val="none" w:sz="0" w:space="0" w:color="auto"/>
            <w:bottom w:val="none" w:sz="0" w:space="0" w:color="auto"/>
            <w:right w:val="none" w:sz="0" w:space="0" w:color="auto"/>
          </w:divBdr>
        </w:div>
        <w:div w:id="357976728">
          <w:marLeft w:val="0"/>
          <w:marRight w:val="0"/>
          <w:marTop w:val="0"/>
          <w:marBottom w:val="0"/>
          <w:divBdr>
            <w:top w:val="none" w:sz="0" w:space="0" w:color="auto"/>
            <w:left w:val="none" w:sz="0" w:space="0" w:color="auto"/>
            <w:bottom w:val="none" w:sz="0" w:space="0" w:color="auto"/>
            <w:right w:val="none" w:sz="0" w:space="0" w:color="auto"/>
          </w:divBdr>
        </w:div>
        <w:div w:id="1333679170">
          <w:marLeft w:val="0"/>
          <w:marRight w:val="0"/>
          <w:marTop w:val="0"/>
          <w:marBottom w:val="0"/>
          <w:divBdr>
            <w:top w:val="none" w:sz="0" w:space="0" w:color="auto"/>
            <w:left w:val="none" w:sz="0" w:space="0" w:color="auto"/>
            <w:bottom w:val="none" w:sz="0" w:space="0" w:color="auto"/>
            <w:right w:val="none" w:sz="0" w:space="0" w:color="auto"/>
          </w:divBdr>
        </w:div>
        <w:div w:id="252906464">
          <w:marLeft w:val="0"/>
          <w:marRight w:val="0"/>
          <w:marTop w:val="0"/>
          <w:marBottom w:val="0"/>
          <w:divBdr>
            <w:top w:val="none" w:sz="0" w:space="0" w:color="auto"/>
            <w:left w:val="none" w:sz="0" w:space="0" w:color="auto"/>
            <w:bottom w:val="none" w:sz="0" w:space="0" w:color="auto"/>
            <w:right w:val="none" w:sz="0" w:space="0" w:color="auto"/>
          </w:divBdr>
        </w:div>
        <w:div w:id="636644556">
          <w:marLeft w:val="0"/>
          <w:marRight w:val="0"/>
          <w:marTop w:val="0"/>
          <w:marBottom w:val="0"/>
          <w:divBdr>
            <w:top w:val="none" w:sz="0" w:space="0" w:color="auto"/>
            <w:left w:val="none" w:sz="0" w:space="0" w:color="auto"/>
            <w:bottom w:val="none" w:sz="0" w:space="0" w:color="auto"/>
            <w:right w:val="none" w:sz="0" w:space="0" w:color="auto"/>
          </w:divBdr>
        </w:div>
        <w:div w:id="2093744729">
          <w:marLeft w:val="0"/>
          <w:marRight w:val="0"/>
          <w:marTop w:val="0"/>
          <w:marBottom w:val="0"/>
          <w:divBdr>
            <w:top w:val="none" w:sz="0" w:space="0" w:color="auto"/>
            <w:left w:val="none" w:sz="0" w:space="0" w:color="auto"/>
            <w:bottom w:val="none" w:sz="0" w:space="0" w:color="auto"/>
            <w:right w:val="none" w:sz="0" w:space="0" w:color="auto"/>
          </w:divBdr>
        </w:div>
        <w:div w:id="159391100">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7BC99419-AC1A-4485-A9CE-F124F03E9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2022-02-22T17:29:00Z</dcterms:created>
  <dcterms:modified xsi:type="dcterms:W3CDTF">2022-04-01T20:40:00Z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