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28C5D" w14:textId="77777777" w:rsidR="00805308" w:rsidRPr="00805308" w:rsidRDefault="00805308" w:rsidP="009B22D3">
      <w:pPr>
        <w:jc w:val="both"/>
        <w:rPr>
          <w:rFonts w:ascii="Arial" w:hAnsi="Arial" w:cs="Arial"/>
          <w:szCs w:val="26"/>
        </w:rPr>
      </w:pPr>
      <w:bookmarkStart w:id="0" w:name="_GoBack"/>
      <w:bookmarkEnd w:id="0"/>
      <w:r w:rsidRPr="00805308">
        <w:rPr>
          <w:rFonts w:ascii="Arial" w:hAnsi="Arial" w:cs="Arial"/>
          <w:szCs w:val="26"/>
        </w:rPr>
        <w:t xml:space="preserve">Radicación: 66001-31-05-005-2019-00292-01 </w:t>
      </w:r>
    </w:p>
    <w:p w14:paraId="74DF9476" w14:textId="77777777" w:rsidR="00805308" w:rsidRPr="00805308" w:rsidRDefault="00805308" w:rsidP="009B22D3">
      <w:pPr>
        <w:jc w:val="both"/>
        <w:rPr>
          <w:rFonts w:ascii="Arial" w:hAnsi="Arial" w:cs="Arial"/>
          <w:szCs w:val="26"/>
        </w:rPr>
      </w:pPr>
      <w:r w:rsidRPr="00805308">
        <w:rPr>
          <w:rFonts w:ascii="Arial" w:hAnsi="Arial" w:cs="Arial"/>
          <w:szCs w:val="26"/>
        </w:rPr>
        <w:t xml:space="preserve">Proceso: Ordinario </w:t>
      </w:r>
    </w:p>
    <w:p w14:paraId="404F7A6A" w14:textId="77777777" w:rsidR="00805308" w:rsidRPr="00805308" w:rsidRDefault="00805308" w:rsidP="009B22D3">
      <w:pPr>
        <w:jc w:val="both"/>
        <w:rPr>
          <w:rFonts w:ascii="Arial" w:hAnsi="Arial" w:cs="Arial"/>
          <w:szCs w:val="26"/>
        </w:rPr>
      </w:pPr>
      <w:r w:rsidRPr="00805308">
        <w:rPr>
          <w:rFonts w:ascii="Arial" w:hAnsi="Arial" w:cs="Arial"/>
          <w:szCs w:val="26"/>
        </w:rPr>
        <w:t xml:space="preserve">Demandante: Bertha Betancourt López </w:t>
      </w:r>
    </w:p>
    <w:p w14:paraId="5AC914C6" w14:textId="678F9929" w:rsidR="00460562" w:rsidRPr="00805308" w:rsidRDefault="00805308" w:rsidP="009B22D3">
      <w:pPr>
        <w:jc w:val="both"/>
        <w:rPr>
          <w:rFonts w:ascii="Arial" w:hAnsi="Arial" w:cs="Arial"/>
          <w:szCs w:val="26"/>
        </w:rPr>
      </w:pPr>
      <w:r w:rsidRPr="00805308">
        <w:rPr>
          <w:rFonts w:ascii="Arial" w:hAnsi="Arial" w:cs="Arial"/>
          <w:szCs w:val="26"/>
        </w:rPr>
        <w:t>Demandado: Porvenir S.A.</w:t>
      </w:r>
    </w:p>
    <w:p w14:paraId="0AF3A8B8" w14:textId="7DA0F54F" w:rsidR="00805308" w:rsidRDefault="00805308" w:rsidP="009B22D3">
      <w:pPr>
        <w:jc w:val="both"/>
        <w:rPr>
          <w:rFonts w:ascii="Arial" w:hAnsi="Arial" w:cs="Arial"/>
          <w:szCs w:val="26"/>
        </w:rPr>
      </w:pPr>
    </w:p>
    <w:p w14:paraId="22EFD189" w14:textId="77777777" w:rsidR="00525FBC" w:rsidRPr="00805308" w:rsidRDefault="00525FBC" w:rsidP="009B22D3">
      <w:pPr>
        <w:jc w:val="both"/>
        <w:rPr>
          <w:rFonts w:ascii="Arial" w:hAnsi="Arial" w:cs="Arial"/>
          <w:szCs w:val="26"/>
        </w:rPr>
      </w:pPr>
    </w:p>
    <w:p w14:paraId="456D28DE" w14:textId="07C5B70D" w:rsidR="00805308" w:rsidRPr="00805308" w:rsidRDefault="00805308" w:rsidP="009B22D3">
      <w:pPr>
        <w:jc w:val="both"/>
        <w:rPr>
          <w:rFonts w:ascii="Arial" w:hAnsi="Arial" w:cs="Arial"/>
          <w:szCs w:val="26"/>
        </w:rPr>
      </w:pPr>
    </w:p>
    <w:p w14:paraId="470C1E80" w14:textId="77777777" w:rsidR="00805308" w:rsidRPr="00805308" w:rsidRDefault="00805308" w:rsidP="009B22D3">
      <w:pPr>
        <w:jc w:val="both"/>
        <w:rPr>
          <w:rFonts w:ascii="Arial" w:hAnsi="Arial" w:cs="Arial"/>
          <w:szCs w:val="26"/>
        </w:rPr>
      </w:pPr>
    </w:p>
    <w:p w14:paraId="7AEAEED3" w14:textId="77777777" w:rsidR="00805308" w:rsidRPr="00805308" w:rsidRDefault="00805308" w:rsidP="009B22D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05308">
        <w:rPr>
          <w:rFonts w:ascii="Arial" w:hAnsi="Arial" w:cs="Arial"/>
          <w:b/>
          <w:sz w:val="24"/>
          <w:szCs w:val="24"/>
        </w:rPr>
        <w:t>TRIBUNAL SUPERIOR DEL DISTRITO JUDICIAL</w:t>
      </w:r>
    </w:p>
    <w:p w14:paraId="6B339FA8" w14:textId="77777777" w:rsidR="00805308" w:rsidRPr="00805308" w:rsidRDefault="00805308" w:rsidP="009B22D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05308">
        <w:rPr>
          <w:rFonts w:ascii="Arial" w:hAnsi="Arial" w:cs="Arial"/>
          <w:b/>
          <w:sz w:val="24"/>
          <w:szCs w:val="24"/>
        </w:rPr>
        <w:t>SALA LABORAL</w:t>
      </w:r>
    </w:p>
    <w:p w14:paraId="6F2ED082" w14:textId="48DD41D7" w:rsidR="00F93C8E" w:rsidRPr="00805308" w:rsidRDefault="00F93C8E" w:rsidP="009B22D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05308">
        <w:rPr>
          <w:rFonts w:ascii="Arial" w:hAnsi="Arial" w:cs="Arial"/>
          <w:b/>
          <w:sz w:val="24"/>
          <w:szCs w:val="24"/>
        </w:rPr>
        <w:t>MAGISTRADO: JULIO CÉSAR SALAZAR MUÑOZ</w:t>
      </w:r>
    </w:p>
    <w:p w14:paraId="72021099" w14:textId="77777777" w:rsidR="00460562" w:rsidRPr="00805308" w:rsidRDefault="00460562" w:rsidP="009B22D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5443A3B5" w14:textId="5DBE5627" w:rsidR="00F93C8E" w:rsidRPr="00805308" w:rsidRDefault="00F93C8E" w:rsidP="009B22D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05308">
        <w:rPr>
          <w:rFonts w:ascii="Arial" w:hAnsi="Arial" w:cs="Arial"/>
          <w:sz w:val="24"/>
          <w:szCs w:val="24"/>
        </w:rPr>
        <w:t xml:space="preserve">Pereira, </w:t>
      </w:r>
      <w:r w:rsidR="00B61912" w:rsidRPr="00805308">
        <w:rPr>
          <w:rFonts w:ascii="Arial" w:hAnsi="Arial" w:cs="Arial"/>
          <w:sz w:val="24"/>
          <w:szCs w:val="24"/>
        </w:rPr>
        <w:t xml:space="preserve">veintitrés </w:t>
      </w:r>
      <w:r w:rsidRPr="00805308">
        <w:rPr>
          <w:rFonts w:ascii="Arial" w:hAnsi="Arial" w:cs="Arial"/>
          <w:sz w:val="24"/>
          <w:szCs w:val="24"/>
        </w:rPr>
        <w:t>[</w:t>
      </w:r>
      <w:r w:rsidR="00B61912" w:rsidRPr="00805308">
        <w:rPr>
          <w:rFonts w:ascii="Arial" w:hAnsi="Arial" w:cs="Arial"/>
          <w:sz w:val="24"/>
          <w:szCs w:val="24"/>
        </w:rPr>
        <w:t>23</w:t>
      </w:r>
      <w:r w:rsidRPr="00805308">
        <w:rPr>
          <w:rFonts w:ascii="Arial" w:hAnsi="Arial" w:cs="Arial"/>
          <w:sz w:val="24"/>
          <w:szCs w:val="24"/>
        </w:rPr>
        <w:t xml:space="preserve">] de </w:t>
      </w:r>
      <w:r w:rsidR="00316FC4" w:rsidRPr="00805308">
        <w:rPr>
          <w:rFonts w:ascii="Arial" w:hAnsi="Arial" w:cs="Arial"/>
          <w:sz w:val="24"/>
          <w:szCs w:val="24"/>
        </w:rPr>
        <w:t>septiembre</w:t>
      </w:r>
      <w:r w:rsidRPr="00805308">
        <w:rPr>
          <w:rFonts w:ascii="Arial" w:hAnsi="Arial" w:cs="Arial"/>
          <w:sz w:val="24"/>
          <w:szCs w:val="24"/>
        </w:rPr>
        <w:t xml:space="preserve"> de dos mil </w:t>
      </w:r>
      <w:r w:rsidR="00C857D6" w:rsidRPr="00805308">
        <w:rPr>
          <w:rFonts w:ascii="Arial" w:hAnsi="Arial" w:cs="Arial"/>
          <w:sz w:val="24"/>
          <w:szCs w:val="24"/>
        </w:rPr>
        <w:t>veintidós</w:t>
      </w:r>
      <w:r w:rsidRPr="00805308">
        <w:rPr>
          <w:rFonts w:ascii="Arial" w:hAnsi="Arial" w:cs="Arial"/>
          <w:sz w:val="24"/>
          <w:szCs w:val="24"/>
        </w:rPr>
        <w:t xml:space="preserve"> [20</w:t>
      </w:r>
      <w:r w:rsidR="006D3DE4" w:rsidRPr="00805308">
        <w:rPr>
          <w:rFonts w:ascii="Arial" w:hAnsi="Arial" w:cs="Arial"/>
          <w:sz w:val="24"/>
          <w:szCs w:val="24"/>
        </w:rPr>
        <w:t>2</w:t>
      </w:r>
      <w:r w:rsidR="00BB7A85" w:rsidRPr="00805308">
        <w:rPr>
          <w:rFonts w:ascii="Arial" w:hAnsi="Arial" w:cs="Arial"/>
          <w:sz w:val="24"/>
          <w:szCs w:val="24"/>
        </w:rPr>
        <w:t>2</w:t>
      </w:r>
      <w:r w:rsidRPr="00805308">
        <w:rPr>
          <w:rFonts w:ascii="Arial" w:hAnsi="Arial" w:cs="Arial"/>
          <w:sz w:val="24"/>
          <w:szCs w:val="24"/>
        </w:rPr>
        <w:t>].</w:t>
      </w:r>
    </w:p>
    <w:p w14:paraId="41EC46C6" w14:textId="77777777" w:rsidR="00460562" w:rsidRPr="00805308" w:rsidRDefault="005941FB" w:rsidP="009B22D3">
      <w:pPr>
        <w:tabs>
          <w:tab w:val="left" w:pos="1440"/>
        </w:tabs>
        <w:spacing w:line="276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805308">
        <w:rPr>
          <w:rFonts w:ascii="Arial" w:hAnsi="Arial" w:cs="Arial"/>
          <w:snapToGrid w:val="0"/>
          <w:sz w:val="24"/>
          <w:szCs w:val="24"/>
        </w:rPr>
        <w:tab/>
      </w:r>
    </w:p>
    <w:p w14:paraId="7DF27B17" w14:textId="77777777" w:rsidR="00827F95" w:rsidRPr="00805308" w:rsidRDefault="00827F95" w:rsidP="009B22D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063E29D" w14:textId="3680E5F8" w:rsidR="00F93C8E" w:rsidRPr="00805308" w:rsidRDefault="00F93C8E" w:rsidP="009B22D3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05308">
        <w:rPr>
          <w:rFonts w:ascii="Arial" w:hAnsi="Arial" w:cs="Arial"/>
          <w:b/>
          <w:sz w:val="24"/>
          <w:szCs w:val="24"/>
          <w:u w:val="single"/>
        </w:rPr>
        <w:t>SALVAMENTO DE VOTO</w:t>
      </w:r>
    </w:p>
    <w:p w14:paraId="32F95BDB" w14:textId="77777777" w:rsidR="00F93C8E" w:rsidRPr="00805308" w:rsidRDefault="00F93C8E" w:rsidP="009B22D3">
      <w:pPr>
        <w:pStyle w:val="Textoindependiente"/>
        <w:spacing w:line="276" w:lineRule="auto"/>
        <w:rPr>
          <w:sz w:val="24"/>
          <w:szCs w:val="24"/>
        </w:rPr>
      </w:pPr>
    </w:p>
    <w:p w14:paraId="7A010D96" w14:textId="77777777" w:rsidR="00827F95" w:rsidRPr="00805308" w:rsidRDefault="00827F95" w:rsidP="009B22D3">
      <w:pPr>
        <w:pStyle w:val="Textoindependiente3"/>
        <w:spacing w:line="276" w:lineRule="auto"/>
      </w:pPr>
    </w:p>
    <w:p w14:paraId="77989EE9" w14:textId="2F62BD33" w:rsidR="00002D75" w:rsidRPr="00805308" w:rsidRDefault="00316FC4" w:rsidP="009B22D3">
      <w:pPr>
        <w:pStyle w:val="Textoindependiente3"/>
        <w:spacing w:line="276" w:lineRule="auto"/>
      </w:pPr>
      <w:r w:rsidRPr="00805308">
        <w:t>La señora Bertha Betancourt López no estaba cobijada por el régimen de docentes exceptuado que otorgaba a estos la posibilidad de acceder a prestaciones en ambos regímenes</w:t>
      </w:r>
      <w:r w:rsidR="00002D75" w:rsidRPr="00805308">
        <w:t>. Por el contrario, su situación de seguridad social se rige por lo dispuesto en la ley 100 de 1993, solo que los trámites y otorgamientos de las mismas están a cargo del Fondo Nacional de Prestaciones Sociales del Magisterio.</w:t>
      </w:r>
    </w:p>
    <w:p w14:paraId="0B2DA4CA" w14:textId="77777777" w:rsidR="00002D75" w:rsidRPr="00805308" w:rsidRDefault="00002D75" w:rsidP="009B22D3">
      <w:pPr>
        <w:pStyle w:val="Textoindependiente3"/>
        <w:spacing w:line="276" w:lineRule="auto"/>
      </w:pPr>
    </w:p>
    <w:p w14:paraId="16288D10" w14:textId="5CDCF4D8" w:rsidR="00C3273C" w:rsidRPr="00805308" w:rsidRDefault="00002D75" w:rsidP="009B22D3">
      <w:pPr>
        <w:pStyle w:val="Textoindependiente3"/>
        <w:spacing w:line="276" w:lineRule="auto"/>
      </w:pPr>
      <w:r w:rsidRPr="00805308">
        <w:t xml:space="preserve">Pues bien, al estar cobijada por las disposiciones contenidas en la ley 100 de 1993, tenía todo el derecho a que, </w:t>
      </w:r>
      <w:r w:rsidR="009A5D9D" w:rsidRPr="00805308">
        <w:t xml:space="preserve">a su favor se aplicaran todas las disposiciones contenidas en esa normatividad. Y ese beneficio fue el que, a mi juicio, precisamente se le cercenó con la sentencia mayoritaria como pasa a explicarse.  </w:t>
      </w:r>
    </w:p>
    <w:p w14:paraId="39995464" w14:textId="23A9DF02" w:rsidR="00C3273C" w:rsidRPr="00805308" w:rsidRDefault="00C3273C" w:rsidP="009B22D3">
      <w:pPr>
        <w:pStyle w:val="Textoindependiente3"/>
        <w:spacing w:line="276" w:lineRule="auto"/>
      </w:pPr>
    </w:p>
    <w:p w14:paraId="46DD0FB7" w14:textId="25643675" w:rsidR="009A5D9D" w:rsidRDefault="009A5D9D" w:rsidP="009B22D3">
      <w:pPr>
        <w:pStyle w:val="Textoindependiente3"/>
        <w:spacing w:line="276" w:lineRule="auto"/>
      </w:pPr>
      <w:r w:rsidRPr="00805308">
        <w:t>Tiene previsto el artículo 15 de la ley 776 de 2002 (Que hace parte del sistema de Riesgos Profesionales contemplado en la ley 100 de 1993) que:</w:t>
      </w:r>
    </w:p>
    <w:p w14:paraId="1089EC6A" w14:textId="77777777" w:rsidR="009B22D3" w:rsidRPr="00805308" w:rsidRDefault="009B22D3" w:rsidP="009B22D3">
      <w:pPr>
        <w:pStyle w:val="Textoindependiente3"/>
        <w:spacing w:line="276" w:lineRule="auto"/>
      </w:pPr>
    </w:p>
    <w:p w14:paraId="7298E303" w14:textId="2F7BCA6F" w:rsidR="009A5D9D" w:rsidRPr="009B22D3" w:rsidRDefault="009A5D9D" w:rsidP="009B22D3">
      <w:pPr>
        <w:pStyle w:val="NormalWeb"/>
        <w:spacing w:before="0" w:beforeAutospacing="0" w:after="0" w:afterAutospacing="0"/>
        <w:ind w:left="426" w:right="420"/>
        <w:jc w:val="both"/>
        <w:rPr>
          <w:rFonts w:ascii="Arial" w:hAnsi="Arial" w:cs="Arial"/>
          <w:sz w:val="22"/>
        </w:rPr>
      </w:pPr>
      <w:r w:rsidRPr="009B22D3">
        <w:rPr>
          <w:rFonts w:ascii="Arial" w:hAnsi="Arial" w:cs="Arial"/>
          <w:sz w:val="22"/>
        </w:rPr>
        <w:t>“Cuando un afiliado al Sistema General de Riesgos Profesionales se invalide o muera como consecuencia de un accidente de trabajo o de una enfermedad profesional, además de la pensión de invalidez o de sobrevivientes que deberá, reconocerse de conformidad con la presente ley, se entregará al afiliado o a los beneficiarios:</w:t>
      </w:r>
    </w:p>
    <w:p w14:paraId="18EDC30E" w14:textId="77777777" w:rsidR="009B22D3" w:rsidRPr="009B22D3" w:rsidRDefault="009B22D3" w:rsidP="009B22D3">
      <w:pPr>
        <w:pStyle w:val="NormalWeb"/>
        <w:spacing w:before="0" w:beforeAutospacing="0" w:after="0" w:afterAutospacing="0"/>
        <w:ind w:left="426" w:right="420"/>
        <w:jc w:val="both"/>
        <w:rPr>
          <w:rFonts w:ascii="Arial" w:hAnsi="Arial" w:cs="Arial"/>
          <w:sz w:val="22"/>
        </w:rPr>
      </w:pPr>
    </w:p>
    <w:p w14:paraId="6E49CBCB" w14:textId="163F640B" w:rsidR="009A5D9D" w:rsidRPr="009B22D3" w:rsidRDefault="009A5D9D" w:rsidP="009B22D3">
      <w:pPr>
        <w:pStyle w:val="NormalWeb"/>
        <w:spacing w:before="0" w:beforeAutospacing="0" w:after="0" w:afterAutospacing="0"/>
        <w:ind w:left="426" w:right="420"/>
        <w:jc w:val="both"/>
        <w:rPr>
          <w:rFonts w:ascii="Arial" w:hAnsi="Arial" w:cs="Arial"/>
          <w:sz w:val="22"/>
        </w:rPr>
      </w:pPr>
      <w:r w:rsidRPr="009B22D3">
        <w:rPr>
          <w:rFonts w:ascii="Arial" w:hAnsi="Arial" w:cs="Arial"/>
          <w:sz w:val="22"/>
        </w:rPr>
        <w:t>a) Si se encuentra afiliado al Régimen de Ahorro Individual con Solidaridad, la totalidad del saldo de su cuenta individual de ahorro pensional;</w:t>
      </w:r>
    </w:p>
    <w:p w14:paraId="3B023664" w14:textId="77777777" w:rsidR="009B22D3" w:rsidRPr="009B22D3" w:rsidRDefault="009B22D3" w:rsidP="009B22D3">
      <w:pPr>
        <w:pStyle w:val="NormalWeb"/>
        <w:spacing w:before="0" w:beforeAutospacing="0" w:after="0" w:afterAutospacing="0"/>
        <w:ind w:left="426" w:right="420"/>
        <w:jc w:val="both"/>
        <w:rPr>
          <w:rFonts w:ascii="Arial" w:hAnsi="Arial" w:cs="Arial"/>
          <w:sz w:val="22"/>
        </w:rPr>
      </w:pPr>
    </w:p>
    <w:p w14:paraId="201C258E" w14:textId="7460A761" w:rsidR="009A5D9D" w:rsidRPr="009B22D3" w:rsidRDefault="009A5D9D" w:rsidP="009B22D3">
      <w:pPr>
        <w:pStyle w:val="NormalWeb"/>
        <w:spacing w:before="0" w:beforeAutospacing="0" w:after="0" w:afterAutospacing="0"/>
        <w:ind w:left="426" w:right="420"/>
        <w:jc w:val="both"/>
        <w:rPr>
          <w:rFonts w:ascii="Arial" w:hAnsi="Arial" w:cs="Arial"/>
          <w:sz w:val="22"/>
        </w:rPr>
      </w:pPr>
      <w:r w:rsidRPr="009B22D3">
        <w:rPr>
          <w:rFonts w:ascii="Arial" w:hAnsi="Arial" w:cs="Arial"/>
          <w:sz w:val="22"/>
        </w:rPr>
        <w:t>b) Si se encuentra afiliado el Régimen Solidario de Prima Media con Prestación Definida la indemnización sustitutiva prevista en el artículo </w:t>
      </w:r>
      <w:hyperlink r:id="rId10" w:anchor="37" w:history="1">
        <w:r w:rsidRPr="009B22D3">
          <w:rPr>
            <w:rStyle w:val="Hipervnculo"/>
            <w:rFonts w:ascii="Arial" w:hAnsi="Arial" w:cs="Arial"/>
            <w:color w:val="auto"/>
            <w:sz w:val="22"/>
          </w:rPr>
          <w:t>37</w:t>
        </w:r>
      </w:hyperlink>
      <w:r w:rsidRPr="009B22D3">
        <w:rPr>
          <w:rFonts w:ascii="Arial" w:hAnsi="Arial" w:cs="Arial"/>
          <w:sz w:val="22"/>
        </w:rPr>
        <w:t> de la Ley 100 de 1993.</w:t>
      </w:r>
    </w:p>
    <w:p w14:paraId="53BFC7A0" w14:textId="77777777" w:rsidR="009B22D3" w:rsidRPr="009B22D3" w:rsidRDefault="009B22D3" w:rsidP="009B22D3">
      <w:pPr>
        <w:pStyle w:val="NormalWeb"/>
        <w:spacing w:before="0" w:beforeAutospacing="0" w:after="0" w:afterAutospacing="0"/>
        <w:ind w:left="426" w:right="420"/>
        <w:jc w:val="both"/>
        <w:rPr>
          <w:rStyle w:val="baj"/>
          <w:rFonts w:ascii="Arial" w:hAnsi="Arial" w:cs="Arial"/>
          <w:b/>
          <w:bCs/>
          <w:sz w:val="22"/>
        </w:rPr>
      </w:pPr>
    </w:p>
    <w:p w14:paraId="72D98755" w14:textId="5EED616F" w:rsidR="009A5D9D" w:rsidRPr="009B22D3" w:rsidRDefault="009A5D9D" w:rsidP="009B22D3">
      <w:pPr>
        <w:pStyle w:val="NormalWeb"/>
        <w:spacing w:before="0" w:beforeAutospacing="0" w:after="0" w:afterAutospacing="0"/>
        <w:ind w:left="426" w:right="420"/>
        <w:jc w:val="both"/>
        <w:rPr>
          <w:rFonts w:ascii="Arial" w:hAnsi="Arial" w:cs="Arial"/>
          <w:sz w:val="22"/>
        </w:rPr>
      </w:pPr>
      <w:r w:rsidRPr="009B22D3">
        <w:rPr>
          <w:rStyle w:val="baj"/>
          <w:rFonts w:ascii="Arial" w:hAnsi="Arial" w:cs="Arial"/>
          <w:b/>
          <w:bCs/>
          <w:sz w:val="22"/>
        </w:rPr>
        <w:t>PARÁGRAFO.</w:t>
      </w:r>
      <w:r w:rsidRPr="009B22D3">
        <w:rPr>
          <w:rFonts w:ascii="Arial" w:hAnsi="Arial" w:cs="Arial"/>
          <w:sz w:val="22"/>
        </w:rPr>
        <w:t> Para efectos del saldo de la cuenta de ahorro individual, los bonos pensionales, en desarrollo del artículo </w:t>
      </w:r>
      <w:hyperlink r:id="rId11" w:anchor="139" w:history="1">
        <w:r w:rsidRPr="009B22D3">
          <w:rPr>
            <w:rStyle w:val="Hipervnculo"/>
            <w:rFonts w:ascii="Arial" w:hAnsi="Arial" w:cs="Arial"/>
            <w:color w:val="auto"/>
            <w:sz w:val="22"/>
          </w:rPr>
          <w:t>139</w:t>
        </w:r>
      </w:hyperlink>
      <w:r w:rsidRPr="009B22D3">
        <w:rPr>
          <w:rFonts w:ascii="Arial" w:hAnsi="Arial" w:cs="Arial"/>
          <w:sz w:val="22"/>
        </w:rPr>
        <w:t>, numeral 5, de la Ley 100 de 1993, se redimirán anticipadamente a la fecha de la declaratoria de la invalidez o de la muerte de origen profesional.”</w:t>
      </w:r>
    </w:p>
    <w:p w14:paraId="3E7CC5C0" w14:textId="77777777" w:rsidR="009B22D3" w:rsidRDefault="009B22D3" w:rsidP="009B22D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69489B1F" w14:textId="7F5A18F7" w:rsidR="00846F91" w:rsidRPr="00805308" w:rsidRDefault="00846F91" w:rsidP="009B22D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805308">
        <w:rPr>
          <w:rFonts w:ascii="Arial" w:hAnsi="Arial" w:cs="Arial"/>
        </w:rPr>
        <w:t xml:space="preserve">La demandante, según dan cuenta las pruebas obrantes en el expediente, recibió una pensión de origen laboral, luego entonces, independientemente de que la </w:t>
      </w:r>
      <w:r w:rsidRPr="00805308">
        <w:rPr>
          <w:rFonts w:ascii="Arial" w:hAnsi="Arial" w:cs="Arial"/>
        </w:rPr>
        <w:lastRenderedPageBreak/>
        <w:t>prestación la otorgara el Fondo Nacional de Prestaciones Sociales del Magisterio, e incluso, con mayor razón dada esa circunstancia, tenía todo el derecho a que le fueran entregados los saldos que tuviera por aportes realizados al sistema general de pensiones.</w:t>
      </w:r>
    </w:p>
    <w:p w14:paraId="4CE27DF2" w14:textId="77777777" w:rsidR="009B22D3" w:rsidRDefault="009B22D3" w:rsidP="009B22D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04BD5CD6" w14:textId="15D95640" w:rsidR="00846F91" w:rsidRDefault="00846F91" w:rsidP="009B22D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805308">
        <w:rPr>
          <w:rFonts w:ascii="Arial" w:hAnsi="Arial" w:cs="Arial"/>
        </w:rPr>
        <w:t>Para el efecto basta tener en cuenta que el artículo 81 de la ley 812 de 2003 prevé:</w:t>
      </w:r>
    </w:p>
    <w:p w14:paraId="4DCE8F18" w14:textId="77777777" w:rsidR="009B22D3" w:rsidRPr="00805308" w:rsidRDefault="009B22D3" w:rsidP="009B22D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49FFA1B9" w14:textId="77777777" w:rsidR="00827F95" w:rsidRPr="009B22D3" w:rsidRDefault="00827F95" w:rsidP="009B22D3">
      <w:pPr>
        <w:pStyle w:val="NormalWeb"/>
        <w:spacing w:before="0" w:beforeAutospacing="0" w:after="0" w:afterAutospacing="0"/>
        <w:ind w:left="426" w:right="420"/>
        <w:jc w:val="both"/>
        <w:rPr>
          <w:rFonts w:ascii="Arial" w:hAnsi="Arial" w:cs="Arial"/>
          <w:sz w:val="22"/>
        </w:rPr>
      </w:pPr>
      <w:bookmarkStart w:id="1" w:name="81"/>
      <w:r w:rsidRPr="009B22D3">
        <w:rPr>
          <w:rFonts w:ascii="Arial" w:hAnsi="Arial" w:cs="Arial"/>
          <w:b/>
          <w:bCs/>
          <w:sz w:val="22"/>
        </w:rPr>
        <w:t>ARTÍCULO 81. RÉGIMEN PRESTACIONAL DE LOS DOCENTES OFICIALES.</w:t>
      </w:r>
      <w:bookmarkEnd w:id="1"/>
      <w:r w:rsidRPr="009B22D3">
        <w:rPr>
          <w:rFonts w:ascii="Arial" w:hAnsi="Arial" w:cs="Arial"/>
          <w:sz w:val="22"/>
        </w:rPr>
        <w:t> El régimen prestacional de los docentes nacionales, nacionalizados y territoriales, que se encuentren vinculados al servicio público educativo oficial, es el establecido para el Magisterio en las disposiciones vigentes con anterioridad a la entrada en vigencia de la presente ley.</w:t>
      </w:r>
    </w:p>
    <w:p w14:paraId="2A16619F" w14:textId="77777777" w:rsidR="009B22D3" w:rsidRPr="009B22D3" w:rsidRDefault="009B22D3" w:rsidP="009B22D3">
      <w:pPr>
        <w:pStyle w:val="NormalWeb"/>
        <w:spacing w:before="0" w:beforeAutospacing="0" w:after="0" w:afterAutospacing="0"/>
        <w:ind w:left="426" w:right="420"/>
        <w:jc w:val="both"/>
        <w:rPr>
          <w:rFonts w:ascii="Arial" w:hAnsi="Arial" w:cs="Arial"/>
          <w:sz w:val="22"/>
        </w:rPr>
      </w:pPr>
    </w:p>
    <w:p w14:paraId="17A7725D" w14:textId="08546E41" w:rsidR="00827F95" w:rsidRPr="009B22D3" w:rsidRDefault="00827F95" w:rsidP="009B22D3">
      <w:pPr>
        <w:pStyle w:val="NormalWeb"/>
        <w:spacing w:before="0" w:beforeAutospacing="0" w:after="0" w:afterAutospacing="0"/>
        <w:ind w:left="426" w:right="420"/>
        <w:jc w:val="both"/>
        <w:rPr>
          <w:rFonts w:ascii="Arial" w:hAnsi="Arial" w:cs="Arial"/>
          <w:sz w:val="22"/>
        </w:rPr>
      </w:pPr>
      <w:r w:rsidRPr="009B22D3">
        <w:rPr>
          <w:rFonts w:ascii="Arial" w:hAnsi="Arial" w:cs="Arial"/>
          <w:sz w:val="22"/>
        </w:rPr>
        <w:t xml:space="preserve">Los docentes que se vinculen a partir de la entrada en vigencia de la presente ley, serán afiliados al Fondo Nacional de Prestaciones Sociales del Magisterio y </w:t>
      </w:r>
      <w:r w:rsidRPr="009B22D3">
        <w:rPr>
          <w:rFonts w:ascii="Arial" w:hAnsi="Arial" w:cs="Arial"/>
          <w:b/>
          <w:sz w:val="22"/>
        </w:rPr>
        <w:t>tendrán los derechos pensionales del régimen pensional de prima media establecido en las Leyes </w:t>
      </w:r>
      <w:hyperlink r:id="rId12" w:anchor="1" w:history="1">
        <w:r w:rsidRPr="009B22D3">
          <w:rPr>
            <w:rStyle w:val="Hipervnculo"/>
            <w:rFonts w:ascii="Arial" w:hAnsi="Arial" w:cs="Arial"/>
            <w:b/>
            <w:color w:val="auto"/>
            <w:sz w:val="22"/>
          </w:rPr>
          <w:t>100</w:t>
        </w:r>
      </w:hyperlink>
      <w:r w:rsidRPr="009B22D3">
        <w:rPr>
          <w:rFonts w:ascii="Arial" w:hAnsi="Arial" w:cs="Arial"/>
          <w:b/>
          <w:sz w:val="22"/>
        </w:rPr>
        <w:t> de 1993 y </w:t>
      </w:r>
      <w:hyperlink r:id="rId13" w:anchor="1" w:history="1">
        <w:r w:rsidRPr="009B22D3">
          <w:rPr>
            <w:rStyle w:val="Hipervnculo"/>
            <w:rFonts w:ascii="Arial" w:hAnsi="Arial" w:cs="Arial"/>
            <w:b/>
            <w:color w:val="auto"/>
            <w:sz w:val="22"/>
          </w:rPr>
          <w:t>797</w:t>
        </w:r>
      </w:hyperlink>
      <w:r w:rsidRPr="009B22D3">
        <w:rPr>
          <w:rFonts w:ascii="Arial" w:hAnsi="Arial" w:cs="Arial"/>
          <w:b/>
          <w:sz w:val="22"/>
        </w:rPr>
        <w:t> de 2003, con los requisitos previstos en él</w:t>
      </w:r>
      <w:r w:rsidRPr="009B22D3">
        <w:rPr>
          <w:rFonts w:ascii="Arial" w:hAnsi="Arial" w:cs="Arial"/>
          <w:sz w:val="22"/>
        </w:rPr>
        <w:t>, con excepción de la edad de pensión de vejez que será de 57 años para hombres y mujeres.</w:t>
      </w:r>
    </w:p>
    <w:p w14:paraId="569C46EA" w14:textId="77777777" w:rsidR="009B22D3" w:rsidRDefault="009B22D3" w:rsidP="009B22D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6C38F5F7" w14:textId="37ABD878" w:rsidR="00827F95" w:rsidRPr="00805308" w:rsidRDefault="00827F95" w:rsidP="009B22D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805308">
        <w:rPr>
          <w:rFonts w:ascii="Arial" w:hAnsi="Arial" w:cs="Arial"/>
        </w:rPr>
        <w:t>En tal orden de ideas, si la demandante tenía los derechos del régimen pensional de prima media establecido en las leyes 100 de 1993 y 797 de 2003, dentro de los cuales se cuenta la devolución de saldos en los eventos en que el afiliado reciba una pensión derivada del sistema de Riesgos Laborales, a mi no me cabe duda que sus pretensiones debieron salir triunfantes y Porvenir debió ser condenado a devolverle las sumas que ella tenía en la cuenta de ahorro individual de su propiedad.</w:t>
      </w:r>
    </w:p>
    <w:p w14:paraId="7D77710E" w14:textId="77777777" w:rsidR="009B22D3" w:rsidRDefault="009B22D3" w:rsidP="009B22D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34764F7A" w14:textId="22F71F45" w:rsidR="00827F95" w:rsidRPr="00805308" w:rsidRDefault="00827F95" w:rsidP="009B22D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805308">
        <w:rPr>
          <w:rFonts w:ascii="Arial" w:hAnsi="Arial" w:cs="Arial"/>
        </w:rPr>
        <w:t>Esta es la razón que me lleva a salvar mi voto.</w:t>
      </w:r>
    </w:p>
    <w:p w14:paraId="2065309A" w14:textId="6A3921DD" w:rsidR="00815D3A" w:rsidRDefault="00815D3A" w:rsidP="009B22D3">
      <w:pPr>
        <w:tabs>
          <w:tab w:val="left" w:pos="7185"/>
        </w:tabs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</w:p>
    <w:p w14:paraId="2CD51E30" w14:textId="06F3D76E" w:rsidR="009B22D3" w:rsidRDefault="009B22D3" w:rsidP="009B22D3">
      <w:pPr>
        <w:tabs>
          <w:tab w:val="left" w:pos="7185"/>
        </w:tabs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</w:p>
    <w:p w14:paraId="539C4F15" w14:textId="77777777" w:rsidR="009B22D3" w:rsidRPr="00805308" w:rsidRDefault="009B22D3" w:rsidP="009B22D3">
      <w:pPr>
        <w:tabs>
          <w:tab w:val="left" w:pos="7185"/>
        </w:tabs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</w:p>
    <w:p w14:paraId="0EFAD205" w14:textId="77777777" w:rsidR="00F229A5" w:rsidRPr="00805308" w:rsidRDefault="00F229A5" w:rsidP="009B22D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5063B04" w14:textId="5BE22D90" w:rsidR="00F93C8E" w:rsidRPr="00805308" w:rsidRDefault="00F93C8E" w:rsidP="009B22D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05308">
        <w:rPr>
          <w:rFonts w:ascii="Arial" w:hAnsi="Arial" w:cs="Arial"/>
          <w:b/>
          <w:sz w:val="24"/>
          <w:szCs w:val="24"/>
        </w:rPr>
        <w:t>JULIO CÉSAR SALAZAR MUÑOZ</w:t>
      </w:r>
    </w:p>
    <w:p w14:paraId="3B12F5B3" w14:textId="77777777" w:rsidR="00F93C8E" w:rsidRPr="00805308" w:rsidRDefault="00F93C8E" w:rsidP="009B22D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05308">
        <w:rPr>
          <w:rFonts w:ascii="Arial" w:hAnsi="Arial" w:cs="Arial"/>
          <w:sz w:val="24"/>
          <w:szCs w:val="24"/>
        </w:rPr>
        <w:t>Magistrado</w:t>
      </w:r>
    </w:p>
    <w:sectPr w:rsidR="00F93C8E" w:rsidRPr="00805308" w:rsidSect="00F3759A">
      <w:headerReference w:type="default" r:id="rId14"/>
      <w:pgSz w:w="12242" w:h="18722" w:code="258"/>
      <w:pgMar w:top="1871" w:right="1304" w:bottom="1304" w:left="1871" w:header="567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02EC7" w14:textId="77777777" w:rsidR="00436695" w:rsidRDefault="00436695">
      <w:r>
        <w:separator/>
      </w:r>
    </w:p>
  </w:endnote>
  <w:endnote w:type="continuationSeparator" w:id="0">
    <w:p w14:paraId="27FFF748" w14:textId="77777777" w:rsidR="00436695" w:rsidRDefault="0043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 School Book">
    <w:altName w:val="Times New Roman"/>
    <w:panose1 w:val="00000000000000000000"/>
    <w:charset w:val="00"/>
    <w:family w:val="roman"/>
    <w:notTrueType/>
    <w:pitch w:val="default"/>
    <w:sig w:usb0="40000000" w:usb1="0062FE28" w:usb2="7F24142E" w:usb3="0049006E" w:csb0="005600D8" w:csb1="0062EF54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24233" w14:textId="77777777" w:rsidR="00436695" w:rsidRDefault="00436695">
      <w:r>
        <w:separator/>
      </w:r>
    </w:p>
  </w:footnote>
  <w:footnote w:type="continuationSeparator" w:id="0">
    <w:p w14:paraId="1157CFA8" w14:textId="77777777" w:rsidR="00436695" w:rsidRDefault="0043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DA63D" w14:textId="77777777" w:rsidR="00F93C8E" w:rsidRDefault="00F93C8E">
    <w:pPr>
      <w:tabs>
        <w:tab w:val="left" w:pos="-720"/>
      </w:tabs>
      <w:suppressAutoHyphens/>
      <w:jc w:val="both"/>
      <w:rPr>
        <w:rFonts w:ascii="Arial" w:hAnsi="Arial"/>
        <w:b/>
        <w:spacing w:val="-3"/>
        <w:sz w:val="16"/>
      </w:rPr>
    </w:pPr>
    <w:r>
      <w:rPr>
        <w:rFonts w:ascii="Arial" w:hAnsi="Arial"/>
        <w:b/>
        <w:spacing w:val="-3"/>
        <w:sz w:val="16"/>
      </w:rPr>
      <w:t xml:space="preserve">TRIBUNAL SUPERIOR DEL DISTRITO </w:t>
    </w:r>
    <w:r>
      <w:rPr>
        <w:rFonts w:ascii="Arial" w:hAnsi="Arial"/>
        <w:b/>
        <w:spacing w:val="-3"/>
        <w:sz w:val="16"/>
      </w:rPr>
      <w:tab/>
    </w:r>
  </w:p>
  <w:p w14:paraId="23AF3573" w14:textId="77777777" w:rsidR="00F93C8E" w:rsidRDefault="00F93C8E">
    <w:pPr>
      <w:tabs>
        <w:tab w:val="left" w:pos="-720"/>
      </w:tabs>
      <w:suppressAutoHyphens/>
      <w:jc w:val="both"/>
      <w:rPr>
        <w:rFonts w:ascii="Arial" w:hAnsi="Arial"/>
        <w:sz w:val="16"/>
      </w:rPr>
    </w:pPr>
    <w:r>
      <w:rPr>
        <w:rFonts w:ascii="Arial" w:hAnsi="Arial"/>
        <w:b/>
        <w:spacing w:val="-3"/>
        <w:sz w:val="16"/>
      </w:rPr>
      <w:tab/>
      <w:t xml:space="preserve">   </w:t>
    </w:r>
    <w:r>
      <w:rPr>
        <w:rFonts w:ascii="Arial" w:hAnsi="Arial"/>
        <w:b/>
        <w:spacing w:val="-3"/>
        <w:sz w:val="16"/>
      </w:rPr>
      <w:object w:dxaOrig="3090" w:dyaOrig="3285" w14:anchorId="118310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64.5pt" fillcolor="window">
          <v:imagedata r:id="rId1" o:title=""/>
        </v:shape>
        <o:OLEObject Type="Embed" ProgID="PBrush" ShapeID="_x0000_i1025" DrawAspect="Content" ObjectID="_1729417797" r:id="rId2"/>
      </w:object>
    </w:r>
    <w:r>
      <w:rPr>
        <w:rFonts w:ascii="Arial" w:hAnsi="Arial"/>
        <w:b/>
        <w:spacing w:val="-3"/>
        <w:sz w:val="16"/>
      </w:rPr>
      <w:tab/>
    </w:r>
    <w:r>
      <w:rPr>
        <w:rFonts w:ascii="Arial" w:hAnsi="Arial"/>
        <w:b/>
        <w:spacing w:val="-3"/>
        <w:sz w:val="16"/>
      </w:rPr>
      <w:tab/>
    </w:r>
    <w:r>
      <w:rPr>
        <w:rFonts w:ascii="Arial" w:hAnsi="Arial"/>
        <w:b/>
        <w:spacing w:val="-3"/>
        <w:sz w:val="16"/>
      </w:rPr>
      <w:tab/>
    </w:r>
    <w:r>
      <w:rPr>
        <w:rFonts w:ascii="Arial" w:hAnsi="Arial"/>
        <w:b/>
        <w:spacing w:val="-3"/>
        <w:sz w:val="16"/>
      </w:rPr>
      <w:tab/>
    </w:r>
    <w:r>
      <w:rPr>
        <w:rFonts w:ascii="Arial" w:hAnsi="Arial"/>
        <w:b/>
        <w:spacing w:val="-3"/>
        <w:sz w:val="16"/>
      </w:rPr>
      <w:tab/>
    </w:r>
  </w:p>
  <w:p w14:paraId="13A2349A" w14:textId="77777777" w:rsidR="00F93C8E" w:rsidRDefault="00F93C8E">
    <w:pPr>
      <w:pStyle w:val="Ttulo3"/>
    </w:pPr>
    <w:r>
      <w:tab/>
      <w:t xml:space="preserve">  SALA LABORAL</w:t>
    </w:r>
    <w:r>
      <w:tab/>
    </w:r>
    <w:r>
      <w:tab/>
    </w:r>
    <w:r>
      <w:tab/>
    </w:r>
    <w:r>
      <w:tab/>
    </w:r>
  </w:p>
  <w:p w14:paraId="04284C8B" w14:textId="77777777" w:rsidR="009B22D3" w:rsidRDefault="00F93C8E" w:rsidP="00805308">
    <w:pPr>
      <w:pStyle w:val="Ttulo1"/>
      <w:ind w:left="0" w:firstLine="0"/>
      <w:rPr>
        <w:rFonts w:ascii="Arial" w:hAnsi="Arial"/>
        <w:i w:val="0"/>
        <w:sz w:val="16"/>
      </w:rPr>
    </w:pPr>
    <w:r>
      <w:rPr>
        <w:rFonts w:ascii="Arial" w:hAnsi="Arial"/>
        <w:sz w:val="16"/>
      </w:rPr>
      <w:t xml:space="preserve">          </w:t>
    </w:r>
    <w:r>
      <w:rPr>
        <w:rFonts w:ascii="Arial" w:hAnsi="Arial"/>
        <w:i w:val="0"/>
        <w:sz w:val="16"/>
      </w:rPr>
      <w:t>PEREIRA – RISARALDA</w:t>
    </w:r>
  </w:p>
  <w:p w14:paraId="4DB355C8" w14:textId="7FCD5AFB" w:rsidR="00F93C8E" w:rsidRPr="00805308" w:rsidRDefault="00F93C8E" w:rsidP="00805308">
    <w:pPr>
      <w:pStyle w:val="Ttulo1"/>
      <w:ind w:left="0" w:firstLine="0"/>
      <w:rPr>
        <w:rFonts w:ascii="Arial" w:hAnsi="Arial"/>
        <w:i w:val="0"/>
        <w:sz w:val="16"/>
      </w:rPr>
    </w:pPr>
    <w:r>
      <w:rPr>
        <w:rFonts w:ascii="Arial" w:hAnsi="Arial"/>
        <w:i w:val="0"/>
        <w:sz w:val="16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96876"/>
    <w:multiLevelType w:val="multilevel"/>
    <w:tmpl w:val="9404E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2E"/>
    <w:rsid w:val="00002D75"/>
    <w:rsid w:val="00012266"/>
    <w:rsid w:val="000220CF"/>
    <w:rsid w:val="00040B7C"/>
    <w:rsid w:val="00043B07"/>
    <w:rsid w:val="00097493"/>
    <w:rsid w:val="000A4F95"/>
    <w:rsid w:val="000C2D3C"/>
    <w:rsid w:val="00171DFE"/>
    <w:rsid w:val="001A45AA"/>
    <w:rsid w:val="001E7D12"/>
    <w:rsid w:val="00213864"/>
    <w:rsid w:val="0023751B"/>
    <w:rsid w:val="0024083A"/>
    <w:rsid w:val="002B7F85"/>
    <w:rsid w:val="002D4FB4"/>
    <w:rsid w:val="002E2869"/>
    <w:rsid w:val="002E4275"/>
    <w:rsid w:val="00316FC4"/>
    <w:rsid w:val="003269FC"/>
    <w:rsid w:val="0033341D"/>
    <w:rsid w:val="00377A7D"/>
    <w:rsid w:val="003C11E2"/>
    <w:rsid w:val="003C6690"/>
    <w:rsid w:val="003D16E8"/>
    <w:rsid w:val="003D2663"/>
    <w:rsid w:val="00436695"/>
    <w:rsid w:val="0044582C"/>
    <w:rsid w:val="00457920"/>
    <w:rsid w:val="00460562"/>
    <w:rsid w:val="004A0363"/>
    <w:rsid w:val="004A123B"/>
    <w:rsid w:val="004C7987"/>
    <w:rsid w:val="004D3DD1"/>
    <w:rsid w:val="004D71B2"/>
    <w:rsid w:val="004E2551"/>
    <w:rsid w:val="004E2E48"/>
    <w:rsid w:val="00525FBC"/>
    <w:rsid w:val="00561D44"/>
    <w:rsid w:val="005941FB"/>
    <w:rsid w:val="00594F8C"/>
    <w:rsid w:val="005A0081"/>
    <w:rsid w:val="005B03E3"/>
    <w:rsid w:val="005C3200"/>
    <w:rsid w:val="005E66EB"/>
    <w:rsid w:val="00601230"/>
    <w:rsid w:val="006317AA"/>
    <w:rsid w:val="00633013"/>
    <w:rsid w:val="006666F1"/>
    <w:rsid w:val="00681C62"/>
    <w:rsid w:val="006C1678"/>
    <w:rsid w:val="006D3DE4"/>
    <w:rsid w:val="00710788"/>
    <w:rsid w:val="007222A6"/>
    <w:rsid w:val="007341D0"/>
    <w:rsid w:val="00782EBA"/>
    <w:rsid w:val="007A04E5"/>
    <w:rsid w:val="007F45EC"/>
    <w:rsid w:val="00805308"/>
    <w:rsid w:val="00815D3A"/>
    <w:rsid w:val="00820095"/>
    <w:rsid w:val="00827F95"/>
    <w:rsid w:val="00846F91"/>
    <w:rsid w:val="00864E66"/>
    <w:rsid w:val="00865D57"/>
    <w:rsid w:val="008C1CCF"/>
    <w:rsid w:val="009270AC"/>
    <w:rsid w:val="00951131"/>
    <w:rsid w:val="00961FE9"/>
    <w:rsid w:val="009648B4"/>
    <w:rsid w:val="009706A9"/>
    <w:rsid w:val="009A5D9D"/>
    <w:rsid w:val="009A6D7D"/>
    <w:rsid w:val="009B22D3"/>
    <w:rsid w:val="009E4549"/>
    <w:rsid w:val="00A418C3"/>
    <w:rsid w:val="00A54E72"/>
    <w:rsid w:val="00A60BF5"/>
    <w:rsid w:val="00A85604"/>
    <w:rsid w:val="00AA54E1"/>
    <w:rsid w:val="00AD1098"/>
    <w:rsid w:val="00AE62C6"/>
    <w:rsid w:val="00B23175"/>
    <w:rsid w:val="00B61912"/>
    <w:rsid w:val="00B823F6"/>
    <w:rsid w:val="00B84FC2"/>
    <w:rsid w:val="00BB1186"/>
    <w:rsid w:val="00BB7A85"/>
    <w:rsid w:val="00BC2998"/>
    <w:rsid w:val="00BC7D37"/>
    <w:rsid w:val="00BE3E41"/>
    <w:rsid w:val="00C3273C"/>
    <w:rsid w:val="00C4490E"/>
    <w:rsid w:val="00C46C95"/>
    <w:rsid w:val="00C65A99"/>
    <w:rsid w:val="00C857D6"/>
    <w:rsid w:val="00D22363"/>
    <w:rsid w:val="00D6498D"/>
    <w:rsid w:val="00D71A6D"/>
    <w:rsid w:val="00D87D30"/>
    <w:rsid w:val="00D94D3E"/>
    <w:rsid w:val="00DD60DF"/>
    <w:rsid w:val="00E712DB"/>
    <w:rsid w:val="00E75A2E"/>
    <w:rsid w:val="00ED3A86"/>
    <w:rsid w:val="00ED3DAE"/>
    <w:rsid w:val="00ED6D40"/>
    <w:rsid w:val="00F019D5"/>
    <w:rsid w:val="00F229A5"/>
    <w:rsid w:val="00F262DD"/>
    <w:rsid w:val="00F26FDE"/>
    <w:rsid w:val="00F3531A"/>
    <w:rsid w:val="00F3759A"/>
    <w:rsid w:val="00F41C88"/>
    <w:rsid w:val="00F82A15"/>
    <w:rsid w:val="00F93C8E"/>
    <w:rsid w:val="00FD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D32B20"/>
  <w15:chartTrackingRefBased/>
  <w15:docId w15:val="{4AAF5369-270A-471A-A7E2-6304CF55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ind w:left="2160" w:firstLine="720"/>
      <w:jc w:val="both"/>
      <w:outlineLvl w:val="0"/>
    </w:pPr>
    <w:rPr>
      <w:rFonts w:ascii="Century Gothic School Book" w:hAnsi="Century Gothic School Book"/>
      <w:b/>
      <w:i/>
      <w:snapToGrid w:val="0"/>
      <w:sz w:val="26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rFonts w:ascii="Arial" w:hAnsi="Arial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pPr>
      <w:spacing w:line="360" w:lineRule="auto"/>
      <w:jc w:val="both"/>
    </w:pPr>
    <w:rPr>
      <w:rFonts w:ascii="Arial" w:hAnsi="Arial" w:cs="Arial"/>
      <w:iCs/>
      <w:sz w:val="26"/>
      <w:szCs w:val="26"/>
    </w:rPr>
  </w:style>
  <w:style w:type="paragraph" w:styleId="Textoindependiente2">
    <w:name w:val="Body Text 2"/>
    <w:basedOn w:val="Normal"/>
    <w:semiHidden/>
    <w:pPr>
      <w:spacing w:line="360" w:lineRule="auto"/>
      <w:jc w:val="both"/>
    </w:pPr>
    <w:rPr>
      <w:rFonts w:ascii="Arial" w:hAnsi="Arial" w:cs="Arial"/>
      <w:iCs/>
      <w:sz w:val="22"/>
      <w:szCs w:val="26"/>
    </w:rPr>
  </w:style>
  <w:style w:type="paragraph" w:styleId="Textoindependiente3">
    <w:name w:val="Body Text 3"/>
    <w:basedOn w:val="Normal"/>
    <w:semiHidden/>
    <w:pPr>
      <w:tabs>
        <w:tab w:val="left" w:pos="7185"/>
      </w:tabs>
      <w:spacing w:line="360" w:lineRule="auto"/>
      <w:jc w:val="both"/>
    </w:pPr>
    <w:rPr>
      <w:rFonts w:ascii="Arial" w:hAnsi="Arial" w:cs="Arial"/>
      <w:iCs/>
      <w:sz w:val="24"/>
      <w:szCs w:val="24"/>
    </w:rPr>
  </w:style>
  <w:style w:type="character" w:customStyle="1" w:styleId="apple-converted-space">
    <w:name w:val="apple-converted-space"/>
    <w:basedOn w:val="Fuentedeprrafopredeter"/>
  </w:style>
  <w:style w:type="character" w:styleId="Hipervnculo">
    <w:name w:val="Hyperlink"/>
    <w:semiHidden/>
    <w:rPr>
      <w:color w:val="0000FF"/>
      <w:u w:val="single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706A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PuestoCar">
    <w:name w:val="Puesto Car"/>
    <w:link w:val="Puesto"/>
    <w:uiPriority w:val="10"/>
    <w:rsid w:val="009706A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Mencinsinresolver1">
    <w:name w:val="Mención sin resolver1"/>
    <w:uiPriority w:val="99"/>
    <w:semiHidden/>
    <w:unhideWhenUsed/>
    <w:rsid w:val="00A60BF5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3864"/>
    <w:pPr>
      <w:spacing w:after="200"/>
    </w:pPr>
    <w:rPr>
      <w:rFonts w:ascii="Calibri" w:eastAsia="Calibri" w:hAnsi="Calibri"/>
      <w:lang w:val="es-CO" w:eastAsia="en-US"/>
    </w:rPr>
  </w:style>
  <w:style w:type="character" w:customStyle="1" w:styleId="TextocomentarioCar">
    <w:name w:val="Texto comentario Car"/>
    <w:link w:val="Textocomentario"/>
    <w:uiPriority w:val="99"/>
    <w:semiHidden/>
    <w:rsid w:val="00213864"/>
    <w:rPr>
      <w:rFonts w:ascii="Calibri" w:eastAsia="Calibri" w:hAnsi="Calibri"/>
      <w:lang w:eastAsia="en-US"/>
    </w:rPr>
  </w:style>
  <w:style w:type="character" w:styleId="Refdecomentario">
    <w:name w:val="annotation reference"/>
    <w:uiPriority w:val="99"/>
    <w:semiHidden/>
    <w:unhideWhenUsed/>
    <w:rsid w:val="00213864"/>
    <w:rPr>
      <w:sz w:val="16"/>
      <w:szCs w:val="16"/>
    </w:rPr>
  </w:style>
  <w:style w:type="paragraph" w:customStyle="1" w:styleId="paragraph">
    <w:name w:val="paragraph"/>
    <w:basedOn w:val="Normal"/>
    <w:rsid w:val="007341D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normaltextrun">
    <w:name w:val="normaltextrun"/>
    <w:rsid w:val="007341D0"/>
  </w:style>
  <w:style w:type="character" w:customStyle="1" w:styleId="eop">
    <w:name w:val="eop"/>
    <w:rsid w:val="007341D0"/>
  </w:style>
  <w:style w:type="paragraph" w:styleId="NormalWeb">
    <w:name w:val="Normal (Web)"/>
    <w:basedOn w:val="Normal"/>
    <w:uiPriority w:val="99"/>
    <w:semiHidden/>
    <w:unhideWhenUsed/>
    <w:rsid w:val="009A5D9D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baj">
    <w:name w:val="b_aj"/>
    <w:rsid w:val="009A5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898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6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1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3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6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6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0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25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7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7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6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2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9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8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1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ecretariasenado.gov.co/senado/basedoc/ley_0797_2003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ecretariasenado.gov.co/senado/basedoc/ley_0100_1993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ecretariasenado.gov.co/senado/basedoc/ley_0100_1993_pr002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secretariasenado.gov.co/senado/basedoc/ley_0100_1993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60E13D9074E745A60DDE426959B826" ma:contentTypeVersion="13" ma:contentTypeDescription="Crear nuevo documento." ma:contentTypeScope="" ma:versionID="12d8b56eb73a9fb06864f8b2d99ea811">
  <xsd:schema xmlns:xsd="http://www.w3.org/2001/XMLSchema" xmlns:xs="http://www.w3.org/2001/XMLSchema" xmlns:p="http://schemas.microsoft.com/office/2006/metadata/properties" xmlns:ns2="dded84e4-001b-470d-a0e6-15ddd3924142" xmlns:ns3="b157412b-f7d0-435c-8dc3-c57cc9ba3390" targetNamespace="http://schemas.microsoft.com/office/2006/metadata/properties" ma:root="true" ma:fieldsID="05cc4007f712044cb2b687cfc7ab4b84" ns2:_="" ns3:_="">
    <xsd:import namespace="dded84e4-001b-470d-a0e6-15ddd3924142"/>
    <xsd:import namespace="b157412b-f7d0-435c-8dc3-c57cc9ba33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d84e4-001b-470d-a0e6-15ddd3924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e31b1466-370e-4680-8e95-6fcae1d3fa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7412b-f7d0-435c-8dc3-c57cc9ba339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87f95a5-db25-49e5-b763-290c44d81325}" ma:internalName="TaxCatchAll" ma:showField="CatchAllData" ma:web="b157412b-f7d0-435c-8dc3-c57cc9ba33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ed84e4-001b-470d-a0e6-15ddd3924142">
      <Terms xmlns="http://schemas.microsoft.com/office/infopath/2007/PartnerControls"/>
    </lcf76f155ced4ddcb4097134ff3c332f>
    <TaxCatchAll xmlns="b157412b-f7d0-435c-8dc3-c57cc9ba3390" xsi:nil="true"/>
  </documentManagement>
</p:properties>
</file>

<file path=customXml/itemProps1.xml><?xml version="1.0" encoding="utf-8"?>
<ds:datastoreItem xmlns:ds="http://schemas.openxmlformats.org/officeDocument/2006/customXml" ds:itemID="{B5C20E38-31DE-46D9-BDC0-FCEEEE7FC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ed84e4-001b-470d-a0e6-15ddd3924142"/>
    <ds:schemaRef ds:uri="b157412b-f7d0-435c-8dc3-c57cc9ba3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048D53-1AF3-441C-8114-EB4C0F583A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816A09-CA8C-4C36-A100-10535E38B615}">
  <ds:schemaRefs>
    <ds:schemaRef ds:uri="http://schemas.microsoft.com/office/2006/metadata/properties"/>
    <ds:schemaRef ds:uri="http://schemas.microsoft.com/office/infopath/2007/PartnerControls"/>
    <ds:schemaRef ds:uri="dded84e4-001b-470d-a0e6-15ddd3924142"/>
    <ds:schemaRef ds:uri="b157412b-f7d0-435c-8dc3-c57cc9ba33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Pereira, abril quince [15] de dos mil ocho [2008]</vt:lpstr>
    </vt:vector>
  </TitlesOfParts>
  <Company> 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Pereira, abril quince [15] de dos mil ocho [2008]</dc:title>
  <dc:subject/>
  <dc:creator>jtoroc</dc:creator>
  <cp:keywords/>
  <dc:description/>
  <cp:lastModifiedBy>Hermides Alonso Gaviria Ocampo</cp:lastModifiedBy>
  <cp:revision>2</cp:revision>
  <cp:lastPrinted>2016-04-18T20:28:00Z</cp:lastPrinted>
  <dcterms:created xsi:type="dcterms:W3CDTF">2022-11-08T18:03:00Z</dcterms:created>
  <dcterms:modified xsi:type="dcterms:W3CDTF">2022-11-08T18:03:00Z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0x0101000960E13D9074E745A60DDE426959B826</vt:lpwstr>
  </property>
  <property fmtid="{D5CDD505-2E9C-101B-9397-08002B2CF9AE}" pid="3" name="MediaServiceImageTags">
    <vt:lpwstr/>
  </property>
</Properties>
</file>