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C1F" w:rsidRPr="008A290B" w:rsidRDefault="003C2C1F" w:rsidP="003C2C1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r w:rsidRPr="008A290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C2C1F" w:rsidRDefault="003C2C1F" w:rsidP="003C2C1F">
      <w:pPr>
        <w:jc w:val="both"/>
        <w:rPr>
          <w:rFonts w:ascii="Arial" w:hAnsi="Arial" w:cs="Arial"/>
          <w:lang w:val="es-419"/>
        </w:rPr>
      </w:pPr>
    </w:p>
    <w:p w:rsidR="003C2C1F" w:rsidRPr="003C2C1F" w:rsidRDefault="003C2C1F" w:rsidP="003C2C1F">
      <w:pPr>
        <w:jc w:val="both"/>
        <w:rPr>
          <w:rFonts w:ascii="Arial" w:hAnsi="Arial" w:cs="Arial"/>
          <w:lang w:val="es-419"/>
        </w:rPr>
      </w:pPr>
      <w:r w:rsidRPr="003C2C1F">
        <w:rPr>
          <w:rFonts w:ascii="Arial" w:hAnsi="Arial" w:cs="Arial"/>
          <w:lang w:val="es-419"/>
        </w:rPr>
        <w:t>Providencia</w:t>
      </w:r>
      <w:r>
        <w:rPr>
          <w:rFonts w:ascii="Segoe UI Emoji" w:eastAsia="Segoe UI Emoji" w:hAnsi="Segoe UI Emoji" w:cs="Segoe UI Emoji"/>
          <w:lang w:val="es-419"/>
        </w:rPr>
        <w:t>:</w:t>
      </w:r>
      <w:r>
        <w:rPr>
          <w:rFonts w:ascii="Segoe UI Emoji" w:eastAsia="Segoe UI Emoji" w:hAnsi="Segoe UI Emoji" w:cs="Segoe UI Emoji"/>
          <w:lang w:val="es-419"/>
        </w:rPr>
        <w:tab/>
      </w:r>
      <w:r>
        <w:rPr>
          <w:rFonts w:ascii="Segoe UI Emoji" w:eastAsia="Segoe UI Emoji" w:hAnsi="Segoe UI Emoji" w:cs="Segoe UI Emoji"/>
          <w:lang w:val="es-419"/>
        </w:rPr>
        <w:tab/>
      </w:r>
      <w:r w:rsidRPr="003C2C1F">
        <w:rPr>
          <w:rFonts w:ascii="Arial" w:hAnsi="Arial" w:cs="Arial"/>
          <w:lang w:val="es-419"/>
        </w:rPr>
        <w:t xml:space="preserve">Providencia del 16 de febrero de 2021 </w:t>
      </w:r>
    </w:p>
    <w:p w:rsidR="003C2C1F" w:rsidRPr="003C2C1F" w:rsidRDefault="003C2C1F" w:rsidP="003C2C1F">
      <w:pPr>
        <w:jc w:val="both"/>
        <w:rPr>
          <w:rFonts w:ascii="Arial" w:hAnsi="Arial" w:cs="Arial"/>
          <w:lang w:val="es-419"/>
        </w:rPr>
      </w:pPr>
      <w:r w:rsidRPr="003C2C1F">
        <w:rPr>
          <w:rFonts w:ascii="Arial" w:hAnsi="Arial" w:cs="Arial"/>
          <w:lang w:val="es-419"/>
        </w:rPr>
        <w:t>Radicación Nro.:</w:t>
      </w:r>
      <w:r w:rsidRPr="003C2C1F">
        <w:rPr>
          <w:rFonts w:ascii="Arial" w:hAnsi="Arial" w:cs="Arial"/>
          <w:lang w:val="es-419"/>
        </w:rPr>
        <w:tab/>
        <w:t>66001-31-05-005-2016-00622-02</w:t>
      </w:r>
    </w:p>
    <w:p w:rsidR="003C2C1F" w:rsidRPr="003C2C1F" w:rsidRDefault="003C2C1F" w:rsidP="003C2C1F">
      <w:pPr>
        <w:jc w:val="both"/>
        <w:rPr>
          <w:rFonts w:ascii="Arial" w:hAnsi="Arial" w:cs="Arial"/>
          <w:lang w:val="es-419"/>
        </w:rPr>
      </w:pPr>
      <w:r w:rsidRPr="003C2C1F">
        <w:rPr>
          <w:rFonts w:ascii="Arial" w:hAnsi="Arial" w:cs="Arial"/>
          <w:lang w:val="es-419"/>
        </w:rPr>
        <w:t>Proceso:</w:t>
      </w:r>
      <w:r w:rsidRPr="003C2C1F">
        <w:rPr>
          <w:rFonts w:ascii="Arial" w:hAnsi="Arial" w:cs="Arial"/>
          <w:lang w:val="es-419"/>
        </w:rPr>
        <w:tab/>
      </w:r>
      <w:r w:rsidRPr="003C2C1F">
        <w:rPr>
          <w:rFonts w:ascii="Arial" w:hAnsi="Arial" w:cs="Arial"/>
          <w:lang w:val="es-419"/>
        </w:rPr>
        <w:tab/>
        <w:t>Ejecutivo</w:t>
      </w:r>
    </w:p>
    <w:p w:rsidR="003C2C1F" w:rsidRPr="003C2C1F" w:rsidRDefault="003C2C1F" w:rsidP="003C2C1F">
      <w:pPr>
        <w:jc w:val="both"/>
        <w:rPr>
          <w:rFonts w:ascii="Arial" w:hAnsi="Arial" w:cs="Arial"/>
          <w:lang w:val="es-419"/>
        </w:rPr>
      </w:pPr>
      <w:r w:rsidRPr="003C2C1F">
        <w:rPr>
          <w:rFonts w:ascii="Arial" w:hAnsi="Arial" w:cs="Arial"/>
          <w:lang w:val="es-419"/>
        </w:rPr>
        <w:t>Demandante:</w:t>
      </w:r>
      <w:r w:rsidRPr="003C2C1F">
        <w:rPr>
          <w:rFonts w:ascii="Arial" w:hAnsi="Arial" w:cs="Arial"/>
          <w:lang w:val="es-419"/>
        </w:rPr>
        <w:tab/>
      </w:r>
      <w:r w:rsidRPr="003C2C1F">
        <w:rPr>
          <w:rFonts w:ascii="Arial" w:hAnsi="Arial" w:cs="Arial"/>
          <w:lang w:val="es-419"/>
        </w:rPr>
        <w:tab/>
        <w:t>Megabus S.A.</w:t>
      </w:r>
    </w:p>
    <w:p w:rsidR="003C2C1F" w:rsidRPr="003C2C1F" w:rsidRDefault="003C2C1F" w:rsidP="003C2C1F">
      <w:pPr>
        <w:jc w:val="both"/>
        <w:rPr>
          <w:rFonts w:ascii="Arial" w:hAnsi="Arial" w:cs="Arial"/>
          <w:lang w:val="es-419"/>
        </w:rPr>
      </w:pPr>
      <w:r w:rsidRPr="003C2C1F">
        <w:rPr>
          <w:rFonts w:ascii="Arial" w:hAnsi="Arial" w:cs="Arial"/>
          <w:lang w:val="es-419"/>
        </w:rPr>
        <w:t>Demandado:</w:t>
      </w:r>
      <w:r>
        <w:rPr>
          <w:rFonts w:ascii="Arial" w:hAnsi="Arial" w:cs="Arial"/>
          <w:lang w:val="es-419"/>
        </w:rPr>
        <w:tab/>
      </w:r>
      <w:r>
        <w:rPr>
          <w:rFonts w:ascii="Arial" w:hAnsi="Arial" w:cs="Arial"/>
          <w:lang w:val="es-419"/>
        </w:rPr>
        <w:tab/>
      </w:r>
      <w:r w:rsidRPr="003C2C1F">
        <w:rPr>
          <w:rFonts w:ascii="Arial" w:hAnsi="Arial" w:cs="Arial"/>
          <w:lang w:val="es-419"/>
        </w:rPr>
        <w:t xml:space="preserve">Sistema Integrado de Transporte SI 99 S.A.     </w:t>
      </w:r>
    </w:p>
    <w:p w:rsidR="003C2C1F" w:rsidRPr="003C2C1F" w:rsidRDefault="003C2C1F" w:rsidP="003C2C1F">
      <w:pPr>
        <w:jc w:val="both"/>
        <w:rPr>
          <w:rFonts w:ascii="Arial" w:hAnsi="Arial" w:cs="Arial"/>
          <w:lang w:val="es-419"/>
        </w:rPr>
      </w:pPr>
      <w:r w:rsidRPr="003C2C1F">
        <w:rPr>
          <w:rFonts w:ascii="Arial" w:hAnsi="Arial" w:cs="Arial"/>
          <w:lang w:val="es-419"/>
        </w:rPr>
        <w:t>Juzgado de origen:</w:t>
      </w:r>
      <w:r w:rsidRPr="003C2C1F">
        <w:rPr>
          <w:rFonts w:ascii="Arial" w:hAnsi="Arial" w:cs="Arial"/>
          <w:lang w:val="es-419"/>
        </w:rPr>
        <w:tab/>
        <w:t xml:space="preserve">Juzgado Quinto Laboral del Circuito </w:t>
      </w:r>
    </w:p>
    <w:p w:rsidR="003C2C1F" w:rsidRDefault="003C2C1F" w:rsidP="003C2C1F">
      <w:pPr>
        <w:jc w:val="both"/>
        <w:rPr>
          <w:rFonts w:ascii="Arial" w:hAnsi="Arial" w:cs="Arial"/>
          <w:lang w:val="es-419"/>
        </w:rPr>
      </w:pPr>
      <w:r w:rsidRPr="003C2C1F">
        <w:rPr>
          <w:rFonts w:ascii="Arial" w:hAnsi="Arial" w:cs="Arial"/>
          <w:lang w:val="es-419"/>
        </w:rPr>
        <w:t>Magistrado Ponente:</w:t>
      </w:r>
      <w:r w:rsidRPr="003C2C1F">
        <w:rPr>
          <w:rFonts w:ascii="Arial" w:hAnsi="Arial" w:cs="Arial"/>
          <w:lang w:val="es-419"/>
        </w:rPr>
        <w:tab/>
        <w:t>Julio César Salazar Muñoz</w:t>
      </w:r>
    </w:p>
    <w:p w:rsidR="003C2C1F" w:rsidRDefault="003C2C1F" w:rsidP="003C2C1F">
      <w:pPr>
        <w:jc w:val="both"/>
        <w:rPr>
          <w:rFonts w:ascii="Arial" w:hAnsi="Arial" w:cs="Arial"/>
          <w:lang w:val="es-419"/>
        </w:rPr>
      </w:pPr>
    </w:p>
    <w:p w:rsidR="00EE5F5C" w:rsidRPr="00E10CAB" w:rsidRDefault="00EE5F5C" w:rsidP="00EE5F5C">
      <w:pPr>
        <w:pStyle w:val="Sinespaciado"/>
        <w:jc w:val="both"/>
        <w:rPr>
          <w:rFonts w:ascii="Arial" w:hAnsi="Arial" w:cs="Arial"/>
          <w:b/>
          <w:bCs/>
          <w:iCs/>
          <w:sz w:val="20"/>
          <w:szCs w:val="20"/>
          <w:lang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Pr>
          <w:rFonts w:ascii="Arial" w:hAnsi="Arial" w:cs="Arial"/>
          <w:b/>
          <w:bCs/>
          <w:iCs/>
          <w:sz w:val="20"/>
          <w:szCs w:val="20"/>
          <w:lang w:val="es-419" w:eastAsia="fr-FR"/>
        </w:rPr>
        <w:t xml:space="preserve">EJECUTIVO A CONTINUACIÓN DE PROCESO ORDINARIO </w:t>
      </w:r>
      <w:r w:rsidRPr="00E32969">
        <w:rPr>
          <w:rFonts w:ascii="Arial" w:hAnsi="Arial" w:cs="Arial"/>
          <w:b/>
          <w:bCs/>
          <w:iCs/>
          <w:sz w:val="20"/>
          <w:szCs w:val="20"/>
          <w:lang w:val="es-419" w:eastAsia="fr-FR"/>
        </w:rPr>
        <w:t xml:space="preserve">/ </w:t>
      </w:r>
      <w:r>
        <w:rPr>
          <w:rFonts w:ascii="Arial" w:hAnsi="Arial" w:cs="Arial"/>
          <w:b/>
          <w:bCs/>
          <w:iCs/>
          <w:sz w:val="20"/>
          <w:szCs w:val="20"/>
          <w:lang w:val="es-419" w:eastAsia="fr-FR"/>
        </w:rPr>
        <w:t>MEDIDAS CAUTELARES / PRESUPUESTOS / EMBARGO DE BIENES POSEÍDOS FIDUCIARIAMENTE / MANIFESTACIÓN BAJO JURAMENTO / REQUISITO INICIAL.</w:t>
      </w:r>
    </w:p>
    <w:p w:rsidR="00EE5F5C" w:rsidRDefault="00EE5F5C" w:rsidP="00EE5F5C">
      <w:pPr>
        <w:jc w:val="both"/>
        <w:rPr>
          <w:rFonts w:ascii="Arial" w:hAnsi="Arial" w:cs="Arial"/>
          <w:lang w:val="es-419"/>
        </w:rPr>
      </w:pPr>
    </w:p>
    <w:p w:rsidR="00EE5F5C" w:rsidRPr="009F0EC6" w:rsidRDefault="00EE5F5C" w:rsidP="00EE5F5C">
      <w:pPr>
        <w:jc w:val="both"/>
        <w:rPr>
          <w:rFonts w:ascii="Arial" w:hAnsi="Arial" w:cs="Arial"/>
          <w:lang w:val="es-419"/>
        </w:rPr>
      </w:pPr>
      <w:r w:rsidRPr="009F0EC6">
        <w:rPr>
          <w:rFonts w:ascii="Arial" w:hAnsi="Arial" w:cs="Arial"/>
          <w:lang w:val="es-419"/>
        </w:rPr>
        <w:t>La medida previa no fue decretada al considerar la a quo que de conformidad con lo previsto en el artículo 1677 del Código Civil, no son embargables los objetos que el deudor posee fiduciariamente.</w:t>
      </w:r>
    </w:p>
    <w:p w:rsidR="00EE5F5C" w:rsidRPr="009F0EC6" w:rsidRDefault="00EE5F5C" w:rsidP="00EE5F5C">
      <w:pPr>
        <w:jc w:val="both"/>
        <w:rPr>
          <w:rFonts w:ascii="Arial" w:hAnsi="Arial" w:cs="Arial"/>
          <w:lang w:val="es-419"/>
        </w:rPr>
      </w:pPr>
    </w:p>
    <w:p w:rsidR="00EE5F5C" w:rsidRDefault="00EE5F5C" w:rsidP="00EE5F5C">
      <w:pPr>
        <w:jc w:val="both"/>
        <w:rPr>
          <w:rFonts w:ascii="Arial" w:hAnsi="Arial" w:cs="Arial"/>
          <w:lang w:val="es-419"/>
        </w:rPr>
      </w:pPr>
      <w:r w:rsidRPr="009F0EC6">
        <w:rPr>
          <w:rFonts w:ascii="Arial" w:hAnsi="Arial" w:cs="Arial"/>
          <w:lang w:val="es-419"/>
        </w:rPr>
        <w:t>Inconforme con esa decisión Megabus S.A. interpuso el recurso de reposición y en subsidio el de apelación indicando que el fideicomiso es una figura legal creada y desarrollada en los artículos 793 a 822 del Código Civil</w:t>
      </w:r>
      <w:r>
        <w:rPr>
          <w:rFonts w:ascii="Arial" w:hAnsi="Arial" w:cs="Arial"/>
          <w:lang w:val="es-419"/>
        </w:rPr>
        <w:t>…</w:t>
      </w:r>
    </w:p>
    <w:p w:rsidR="00EE5F5C" w:rsidRPr="00E32969" w:rsidRDefault="00EE5F5C" w:rsidP="00EE5F5C">
      <w:pPr>
        <w:jc w:val="both"/>
        <w:rPr>
          <w:rFonts w:ascii="Arial" w:hAnsi="Arial" w:cs="Arial"/>
          <w:lang w:val="es-419"/>
        </w:rPr>
      </w:pPr>
    </w:p>
    <w:p w:rsidR="00EE5F5C" w:rsidRPr="000F0115" w:rsidRDefault="00EE5F5C" w:rsidP="00EE5F5C">
      <w:pPr>
        <w:jc w:val="both"/>
        <w:rPr>
          <w:rFonts w:ascii="Arial" w:hAnsi="Arial" w:cs="Arial"/>
          <w:lang w:val="es-419"/>
        </w:rPr>
      </w:pPr>
      <w:r w:rsidRPr="000F0115">
        <w:rPr>
          <w:rFonts w:ascii="Arial" w:hAnsi="Arial" w:cs="Arial"/>
          <w:lang w:val="es-419"/>
        </w:rPr>
        <w:t>Dispone el artículo 100 del Código Procesal del Trabajo y de la Seguridad Social las obligaciones que son exigibles por la vía ejecutiva en materia laboral, siendo estas las originadas en una relación de trabajo, que consten que emanen de una decisión judicial o arbitral en firme.</w:t>
      </w:r>
    </w:p>
    <w:p w:rsidR="00EE5F5C" w:rsidRPr="000F0115" w:rsidRDefault="00EE5F5C" w:rsidP="00EE5F5C">
      <w:pPr>
        <w:jc w:val="both"/>
        <w:rPr>
          <w:rFonts w:ascii="Arial" w:hAnsi="Arial" w:cs="Arial"/>
          <w:lang w:val="es-419"/>
        </w:rPr>
      </w:pPr>
    </w:p>
    <w:p w:rsidR="00EE5F5C" w:rsidRPr="000F0115" w:rsidRDefault="00EE5F5C" w:rsidP="00EE5F5C">
      <w:pPr>
        <w:jc w:val="both"/>
        <w:rPr>
          <w:rFonts w:ascii="Arial" w:hAnsi="Arial" w:cs="Arial"/>
          <w:lang w:val="es-419"/>
        </w:rPr>
      </w:pPr>
      <w:r w:rsidRPr="000F0115">
        <w:rPr>
          <w:rFonts w:ascii="Arial" w:hAnsi="Arial" w:cs="Arial"/>
          <w:lang w:val="es-419"/>
        </w:rPr>
        <w:t>A su vez, el artículo 306 del Código General del Proceso establece que, cuando se trate de ejecución de sentencias, el ejecutante puede solicitar, sin necesidad de presentar demanda, la ejecución del fallo ante el juez del conocimiento</w:t>
      </w:r>
      <w:r>
        <w:rPr>
          <w:rFonts w:ascii="Arial" w:hAnsi="Arial" w:cs="Arial"/>
          <w:lang w:val="es-419"/>
        </w:rPr>
        <w:t>…</w:t>
      </w:r>
      <w:r w:rsidRPr="000F0115">
        <w:rPr>
          <w:rFonts w:ascii="Arial" w:hAnsi="Arial" w:cs="Arial"/>
          <w:lang w:val="es-419"/>
        </w:rPr>
        <w:t xml:space="preserve"> </w:t>
      </w:r>
    </w:p>
    <w:p w:rsidR="00EE5F5C" w:rsidRPr="000F0115" w:rsidRDefault="00EE5F5C" w:rsidP="00EE5F5C">
      <w:pPr>
        <w:jc w:val="both"/>
        <w:rPr>
          <w:rFonts w:ascii="Arial" w:hAnsi="Arial" w:cs="Arial"/>
          <w:lang w:val="es-419"/>
        </w:rPr>
      </w:pPr>
    </w:p>
    <w:p w:rsidR="00EE5F5C" w:rsidRPr="00E32969" w:rsidRDefault="00EE5F5C" w:rsidP="00EE5F5C">
      <w:pPr>
        <w:jc w:val="both"/>
        <w:rPr>
          <w:rFonts w:ascii="Arial" w:hAnsi="Arial" w:cs="Arial"/>
          <w:lang w:val="es-419"/>
        </w:rPr>
      </w:pPr>
      <w:r w:rsidRPr="000F0115">
        <w:rPr>
          <w:rFonts w:ascii="Arial" w:hAnsi="Arial" w:cs="Arial"/>
          <w:lang w:val="es-419"/>
        </w:rPr>
        <w:t>Frente a las medidas cautelares, la primera de las normas citadas, en el artículo 101 establece que el solicitante deberá manifestar bajo la gravedad del juramento que los bienes objeto de la medida son propiedad del ejecutado, para que el juez proceda con su decreto.</w:t>
      </w:r>
      <w:r>
        <w:rPr>
          <w:rFonts w:ascii="Arial" w:hAnsi="Arial" w:cs="Arial"/>
          <w:lang w:val="es-419"/>
        </w:rPr>
        <w:t xml:space="preserve"> (…)</w:t>
      </w:r>
    </w:p>
    <w:p w:rsidR="00EE5F5C" w:rsidRPr="00E32969" w:rsidRDefault="00EE5F5C" w:rsidP="00EE5F5C">
      <w:pPr>
        <w:jc w:val="both"/>
        <w:rPr>
          <w:rFonts w:ascii="Arial" w:hAnsi="Arial" w:cs="Arial"/>
          <w:lang w:val="es-419"/>
        </w:rPr>
      </w:pPr>
    </w:p>
    <w:p w:rsidR="00EE5F5C" w:rsidRPr="00D51EDE" w:rsidRDefault="00EE5F5C" w:rsidP="00EE5F5C">
      <w:pPr>
        <w:jc w:val="both"/>
        <w:rPr>
          <w:rFonts w:ascii="Arial" w:hAnsi="Arial" w:cs="Arial"/>
          <w:lang w:val="es-419"/>
        </w:rPr>
      </w:pPr>
      <w:r>
        <w:rPr>
          <w:rFonts w:ascii="Arial" w:hAnsi="Arial" w:cs="Arial"/>
          <w:lang w:val="es-419"/>
        </w:rPr>
        <w:t xml:space="preserve">… </w:t>
      </w:r>
      <w:r w:rsidRPr="00D51EDE">
        <w:rPr>
          <w:rFonts w:ascii="Arial" w:hAnsi="Arial" w:cs="Arial"/>
          <w:lang w:val="es-419"/>
        </w:rPr>
        <w:t>observa la Sala que la solicitud de la medida no reúne los requisitos previstos en el artículo 101 del Código Procesal del Trabajo y la Seguridad Social previamente señalado, pues adolece de la manifestación hecha bajo la gravedad del juramento relativa a que los recursos perseguidos son propiedad de la ejecutada.</w:t>
      </w:r>
    </w:p>
    <w:p w:rsidR="00EE5F5C" w:rsidRPr="00D51EDE" w:rsidRDefault="00EE5F5C" w:rsidP="00EE5F5C">
      <w:pPr>
        <w:jc w:val="both"/>
        <w:rPr>
          <w:rFonts w:ascii="Arial" w:hAnsi="Arial" w:cs="Arial"/>
          <w:lang w:val="es-419"/>
        </w:rPr>
      </w:pPr>
    </w:p>
    <w:p w:rsidR="00EE5F5C" w:rsidRDefault="00EE5F5C" w:rsidP="00EE5F5C">
      <w:pPr>
        <w:jc w:val="both"/>
        <w:rPr>
          <w:rFonts w:ascii="Arial" w:hAnsi="Arial" w:cs="Arial"/>
          <w:lang w:val="es-419"/>
        </w:rPr>
      </w:pPr>
      <w:r w:rsidRPr="00D51EDE">
        <w:rPr>
          <w:rFonts w:ascii="Arial" w:hAnsi="Arial" w:cs="Arial"/>
          <w:lang w:val="es-419"/>
        </w:rPr>
        <w:t>De acuerdo con lo expuesto, infructuoso sería definir en esta etapa la procedencia de la medida si ninguna certeza acompaña a la Sala respecto a la titularidad de los bienes a embargar</w:t>
      </w:r>
      <w:r>
        <w:rPr>
          <w:rFonts w:ascii="Arial" w:hAnsi="Arial" w:cs="Arial"/>
          <w:lang w:val="es-419"/>
        </w:rPr>
        <w:t>…</w:t>
      </w:r>
    </w:p>
    <w:p w:rsidR="003C2C1F" w:rsidRDefault="003C2C1F" w:rsidP="003C2C1F">
      <w:pPr>
        <w:jc w:val="both"/>
        <w:rPr>
          <w:rFonts w:ascii="Arial" w:hAnsi="Arial" w:cs="Arial"/>
        </w:rPr>
      </w:pPr>
    </w:p>
    <w:p w:rsidR="003C2C1F" w:rsidRDefault="003C2C1F" w:rsidP="003C2C1F">
      <w:pPr>
        <w:jc w:val="both"/>
        <w:rPr>
          <w:rFonts w:ascii="Arial" w:hAnsi="Arial" w:cs="Arial"/>
        </w:rPr>
      </w:pPr>
    </w:p>
    <w:bookmarkEnd w:id="0"/>
    <w:p w:rsidR="003C2C1F" w:rsidRDefault="003C2C1F" w:rsidP="003C2C1F">
      <w:pPr>
        <w:jc w:val="both"/>
        <w:rPr>
          <w:rFonts w:ascii="Arial" w:hAnsi="Arial" w:cs="Arial"/>
        </w:rPr>
      </w:pPr>
    </w:p>
    <w:p w:rsidR="00E15A33" w:rsidRPr="003C2C1F" w:rsidRDefault="00E15A33" w:rsidP="003C2C1F">
      <w:pPr>
        <w:pStyle w:val="Ttulo2"/>
        <w:spacing w:line="276" w:lineRule="auto"/>
        <w:jc w:val="center"/>
        <w:rPr>
          <w:rFonts w:cs="Arial"/>
          <w:szCs w:val="24"/>
        </w:rPr>
      </w:pPr>
      <w:bookmarkStart w:id="2" w:name="_GoBack"/>
      <w:bookmarkEnd w:id="1"/>
      <w:bookmarkEnd w:id="2"/>
      <w:r w:rsidRPr="003C2C1F">
        <w:rPr>
          <w:rFonts w:cs="Arial"/>
          <w:szCs w:val="24"/>
        </w:rPr>
        <w:t>TRIBUNAL SUPERIOR DEL DISTRITO JUDICIAL</w:t>
      </w:r>
    </w:p>
    <w:p w:rsidR="00E15A33" w:rsidRPr="003C2C1F" w:rsidRDefault="00E15A33" w:rsidP="003C2C1F">
      <w:pPr>
        <w:spacing w:line="276" w:lineRule="auto"/>
        <w:jc w:val="center"/>
        <w:rPr>
          <w:rFonts w:ascii="Arial" w:hAnsi="Arial" w:cs="Arial"/>
          <w:b/>
          <w:sz w:val="24"/>
          <w:szCs w:val="24"/>
        </w:rPr>
      </w:pPr>
      <w:r w:rsidRPr="003C2C1F">
        <w:rPr>
          <w:rFonts w:ascii="Arial" w:hAnsi="Arial" w:cs="Arial"/>
          <w:b/>
          <w:sz w:val="24"/>
          <w:szCs w:val="24"/>
        </w:rPr>
        <w:t>SALA LABORAL</w:t>
      </w:r>
    </w:p>
    <w:p w:rsidR="00E15A33" w:rsidRPr="003C2C1F" w:rsidRDefault="00E15A33" w:rsidP="003C2C1F">
      <w:pPr>
        <w:spacing w:line="276" w:lineRule="auto"/>
        <w:jc w:val="center"/>
        <w:rPr>
          <w:rFonts w:ascii="Arial" w:hAnsi="Arial" w:cs="Arial"/>
          <w:b/>
          <w:sz w:val="24"/>
          <w:szCs w:val="24"/>
        </w:rPr>
      </w:pPr>
      <w:r w:rsidRPr="003C2C1F">
        <w:rPr>
          <w:rFonts w:ascii="Arial" w:hAnsi="Arial" w:cs="Arial"/>
          <w:b/>
          <w:sz w:val="24"/>
          <w:szCs w:val="24"/>
        </w:rPr>
        <w:t>MAGISTRADO PONENTE: JULIO CÉSAR SALAZAR MUÑOZ</w:t>
      </w:r>
    </w:p>
    <w:p w:rsidR="00E15A33" w:rsidRPr="003C2C1F" w:rsidRDefault="00E15A33" w:rsidP="003C2C1F">
      <w:pPr>
        <w:spacing w:line="276" w:lineRule="auto"/>
        <w:rPr>
          <w:rFonts w:ascii="Arial" w:hAnsi="Arial" w:cs="Arial"/>
          <w:sz w:val="24"/>
          <w:szCs w:val="24"/>
        </w:rPr>
      </w:pPr>
    </w:p>
    <w:p w:rsidR="00E15A33" w:rsidRPr="003C2C1F" w:rsidRDefault="00E15A33" w:rsidP="003C2C1F">
      <w:pPr>
        <w:spacing w:line="276" w:lineRule="auto"/>
        <w:jc w:val="center"/>
        <w:rPr>
          <w:rFonts w:ascii="Arial" w:hAnsi="Arial" w:cs="Arial"/>
          <w:sz w:val="24"/>
          <w:szCs w:val="24"/>
        </w:rPr>
      </w:pPr>
      <w:r w:rsidRPr="003C2C1F">
        <w:rPr>
          <w:rFonts w:ascii="Arial" w:hAnsi="Arial" w:cs="Arial"/>
          <w:sz w:val="24"/>
          <w:szCs w:val="24"/>
        </w:rPr>
        <w:t xml:space="preserve">Pereira, </w:t>
      </w:r>
      <w:r w:rsidR="000E4C2D" w:rsidRPr="003C2C1F">
        <w:rPr>
          <w:rFonts w:ascii="Arial" w:hAnsi="Arial" w:cs="Arial"/>
          <w:sz w:val="24"/>
          <w:szCs w:val="24"/>
        </w:rPr>
        <w:t>dieciséis</w:t>
      </w:r>
      <w:r w:rsidR="5B7BCA3C" w:rsidRPr="003C2C1F">
        <w:rPr>
          <w:rFonts w:ascii="Arial" w:hAnsi="Arial" w:cs="Arial"/>
          <w:sz w:val="24"/>
          <w:szCs w:val="24"/>
        </w:rPr>
        <w:t xml:space="preserve"> de febrero</w:t>
      </w:r>
      <w:r w:rsidRPr="003C2C1F">
        <w:rPr>
          <w:rFonts w:ascii="Arial" w:hAnsi="Arial" w:cs="Arial"/>
          <w:sz w:val="24"/>
          <w:szCs w:val="24"/>
        </w:rPr>
        <w:t xml:space="preserve"> de dos mil veinti</w:t>
      </w:r>
      <w:r w:rsidR="41F9EACE" w:rsidRPr="003C2C1F">
        <w:rPr>
          <w:rFonts w:ascii="Arial" w:hAnsi="Arial" w:cs="Arial"/>
          <w:sz w:val="24"/>
          <w:szCs w:val="24"/>
        </w:rPr>
        <w:t>dós</w:t>
      </w:r>
    </w:p>
    <w:p w:rsidR="00E15A33" w:rsidRPr="003C2C1F" w:rsidRDefault="00E15A33" w:rsidP="003C2C1F">
      <w:pPr>
        <w:tabs>
          <w:tab w:val="center" w:pos="4420"/>
          <w:tab w:val="left" w:pos="7873"/>
        </w:tabs>
        <w:spacing w:line="276" w:lineRule="auto"/>
        <w:jc w:val="center"/>
        <w:rPr>
          <w:rFonts w:ascii="Arial" w:hAnsi="Arial" w:cs="Arial"/>
          <w:sz w:val="24"/>
          <w:szCs w:val="24"/>
        </w:rPr>
      </w:pPr>
      <w:r w:rsidRPr="003C2C1F">
        <w:rPr>
          <w:rFonts w:ascii="Arial" w:hAnsi="Arial" w:cs="Arial"/>
          <w:sz w:val="24"/>
          <w:szCs w:val="24"/>
        </w:rPr>
        <w:t xml:space="preserve">Acta de Sala de Discusión No </w:t>
      </w:r>
      <w:r w:rsidR="006F0F35" w:rsidRPr="003C2C1F">
        <w:rPr>
          <w:rFonts w:ascii="Arial" w:hAnsi="Arial" w:cs="Arial"/>
          <w:sz w:val="24"/>
          <w:szCs w:val="24"/>
        </w:rPr>
        <w:t>20 de</w:t>
      </w:r>
      <w:r w:rsidRPr="003C2C1F">
        <w:rPr>
          <w:rFonts w:ascii="Arial" w:hAnsi="Arial" w:cs="Arial"/>
          <w:sz w:val="24"/>
          <w:szCs w:val="24"/>
        </w:rPr>
        <w:t xml:space="preserve"> </w:t>
      </w:r>
      <w:r w:rsidR="000E4C2D" w:rsidRPr="003C2C1F">
        <w:rPr>
          <w:rFonts w:ascii="Arial" w:hAnsi="Arial" w:cs="Arial"/>
          <w:sz w:val="24"/>
          <w:szCs w:val="24"/>
        </w:rPr>
        <w:t>14</w:t>
      </w:r>
      <w:r w:rsidR="7A2EE000" w:rsidRPr="003C2C1F">
        <w:rPr>
          <w:rFonts w:ascii="Arial" w:hAnsi="Arial" w:cs="Arial"/>
          <w:sz w:val="24"/>
          <w:szCs w:val="24"/>
        </w:rPr>
        <w:t xml:space="preserve"> de febrero</w:t>
      </w:r>
      <w:r w:rsidRPr="003C2C1F">
        <w:rPr>
          <w:rFonts w:ascii="Arial" w:hAnsi="Arial" w:cs="Arial"/>
          <w:sz w:val="24"/>
          <w:szCs w:val="24"/>
        </w:rPr>
        <w:t xml:space="preserve"> de 202</w:t>
      </w:r>
      <w:r w:rsidR="4E637944" w:rsidRPr="003C2C1F">
        <w:rPr>
          <w:rFonts w:ascii="Arial" w:hAnsi="Arial" w:cs="Arial"/>
          <w:sz w:val="24"/>
          <w:szCs w:val="24"/>
        </w:rPr>
        <w:t>2</w:t>
      </w:r>
    </w:p>
    <w:p w:rsidR="00E15A33" w:rsidRPr="003C2C1F" w:rsidRDefault="00E15A33" w:rsidP="003C2C1F">
      <w:pPr>
        <w:pStyle w:val="Textoindependiente25"/>
        <w:spacing w:line="276" w:lineRule="auto"/>
        <w:jc w:val="center"/>
        <w:rPr>
          <w:rFonts w:cs="Arial"/>
          <w:sz w:val="24"/>
          <w:szCs w:val="24"/>
        </w:rPr>
      </w:pPr>
    </w:p>
    <w:p w:rsidR="00E15A33" w:rsidRPr="003C2C1F" w:rsidRDefault="00E15A33" w:rsidP="003C2C1F">
      <w:pPr>
        <w:spacing w:line="276" w:lineRule="auto"/>
        <w:jc w:val="both"/>
        <w:rPr>
          <w:rFonts w:ascii="Arial" w:hAnsi="Arial" w:cs="Arial"/>
          <w:sz w:val="24"/>
          <w:szCs w:val="24"/>
        </w:rPr>
      </w:pPr>
      <w:r w:rsidRPr="003C2C1F">
        <w:rPr>
          <w:rFonts w:ascii="Arial" w:hAnsi="Arial" w:cs="Arial"/>
          <w:spacing w:val="-2"/>
          <w:sz w:val="24"/>
          <w:szCs w:val="24"/>
        </w:rPr>
        <w:t xml:space="preserve">En la fecha, la Sala de Decisión Laboral del Tribunal Superior del Distrito Judicial procede a resolver el recurso de apelación </w:t>
      </w:r>
      <w:r w:rsidRPr="003C2C1F">
        <w:rPr>
          <w:rFonts w:ascii="Arial" w:hAnsi="Arial" w:cs="Arial"/>
          <w:sz w:val="24"/>
          <w:szCs w:val="24"/>
        </w:rPr>
        <w:t xml:space="preserve">presentado por </w:t>
      </w:r>
      <w:r w:rsidRPr="00997D92">
        <w:rPr>
          <w:rFonts w:ascii="Arial" w:hAnsi="Arial" w:cs="Arial"/>
          <w:b/>
          <w:sz w:val="24"/>
          <w:szCs w:val="24"/>
        </w:rPr>
        <w:t>Megabus S.A.</w:t>
      </w:r>
      <w:r w:rsidRPr="003C2C1F">
        <w:rPr>
          <w:rFonts w:ascii="Arial" w:hAnsi="Arial" w:cs="Arial"/>
          <w:sz w:val="24"/>
          <w:szCs w:val="24"/>
        </w:rPr>
        <w:t xml:space="preserve"> contra el auto proferido por el Juzgado </w:t>
      </w:r>
      <w:r w:rsidR="001A690C" w:rsidRPr="003C2C1F">
        <w:rPr>
          <w:rFonts w:ascii="Arial" w:hAnsi="Arial" w:cs="Arial"/>
          <w:sz w:val="24"/>
          <w:szCs w:val="24"/>
        </w:rPr>
        <w:t>Quinto</w:t>
      </w:r>
      <w:r w:rsidRPr="003C2C1F">
        <w:rPr>
          <w:rFonts w:ascii="Arial" w:hAnsi="Arial" w:cs="Arial"/>
          <w:sz w:val="24"/>
          <w:szCs w:val="24"/>
        </w:rPr>
        <w:t xml:space="preserve"> Laboral del Circuito de esta ciudad el día </w:t>
      </w:r>
      <w:r w:rsidR="000E4C2D" w:rsidRPr="003C2C1F">
        <w:rPr>
          <w:rFonts w:ascii="Arial" w:hAnsi="Arial" w:cs="Arial"/>
          <w:sz w:val="24"/>
          <w:szCs w:val="24"/>
        </w:rPr>
        <w:t>31 de mayo</w:t>
      </w:r>
      <w:r w:rsidRPr="003C2C1F">
        <w:rPr>
          <w:rFonts w:ascii="Arial" w:hAnsi="Arial" w:cs="Arial"/>
          <w:sz w:val="24"/>
          <w:szCs w:val="24"/>
        </w:rPr>
        <w:t xml:space="preserve"> de 2021, que negó una medida cautelar, dentro del proceso </w:t>
      </w:r>
      <w:r w:rsidRPr="00997D92">
        <w:rPr>
          <w:rFonts w:ascii="Arial" w:hAnsi="Arial" w:cs="Arial"/>
          <w:b/>
          <w:sz w:val="24"/>
          <w:szCs w:val="24"/>
        </w:rPr>
        <w:t>ejecutivo laboral</w:t>
      </w:r>
      <w:r w:rsidRPr="003C2C1F">
        <w:rPr>
          <w:rFonts w:ascii="Arial" w:hAnsi="Arial" w:cs="Arial"/>
          <w:sz w:val="24"/>
          <w:szCs w:val="24"/>
        </w:rPr>
        <w:t xml:space="preserve"> que promueve en contra el </w:t>
      </w:r>
      <w:r w:rsidRPr="00997D92">
        <w:rPr>
          <w:rFonts w:ascii="Arial" w:hAnsi="Arial" w:cs="Arial"/>
          <w:b/>
          <w:sz w:val="24"/>
          <w:szCs w:val="24"/>
        </w:rPr>
        <w:t>Sistema Integrado de Transporte Masivo SI 99 S.A.</w:t>
      </w:r>
      <w:r w:rsidR="0040006F" w:rsidRPr="00FA17C2">
        <w:rPr>
          <w:rFonts w:ascii="Arial" w:hAnsi="Arial" w:cs="Arial"/>
          <w:b/>
          <w:sz w:val="24"/>
          <w:szCs w:val="24"/>
        </w:rPr>
        <w:t xml:space="preserve"> y otro</w:t>
      </w:r>
      <w:r w:rsidRPr="003C2C1F">
        <w:rPr>
          <w:rFonts w:ascii="Arial" w:hAnsi="Arial" w:cs="Arial"/>
          <w:sz w:val="24"/>
          <w:szCs w:val="24"/>
        </w:rPr>
        <w:t>, cuya radicación corresponde al número 66001-31-05-00</w:t>
      </w:r>
      <w:r w:rsidR="65BCFA2D" w:rsidRPr="003C2C1F">
        <w:rPr>
          <w:rFonts w:ascii="Arial" w:hAnsi="Arial" w:cs="Arial"/>
          <w:sz w:val="24"/>
          <w:szCs w:val="24"/>
        </w:rPr>
        <w:t>5</w:t>
      </w:r>
      <w:r w:rsidRPr="003C2C1F">
        <w:rPr>
          <w:rFonts w:ascii="Arial" w:hAnsi="Arial" w:cs="Arial"/>
          <w:sz w:val="24"/>
          <w:szCs w:val="24"/>
        </w:rPr>
        <w:t>-201</w:t>
      </w:r>
      <w:r w:rsidR="00937FA5" w:rsidRPr="003C2C1F">
        <w:rPr>
          <w:rFonts w:ascii="Arial" w:hAnsi="Arial" w:cs="Arial"/>
          <w:sz w:val="24"/>
          <w:szCs w:val="24"/>
        </w:rPr>
        <w:t>6</w:t>
      </w:r>
      <w:r w:rsidRPr="003C2C1F">
        <w:rPr>
          <w:rFonts w:ascii="Arial" w:hAnsi="Arial" w:cs="Arial"/>
          <w:sz w:val="24"/>
          <w:szCs w:val="24"/>
        </w:rPr>
        <w:t>-00</w:t>
      </w:r>
      <w:r w:rsidR="0040006F" w:rsidRPr="003C2C1F">
        <w:rPr>
          <w:rFonts w:ascii="Arial" w:hAnsi="Arial" w:cs="Arial"/>
          <w:sz w:val="24"/>
          <w:szCs w:val="24"/>
        </w:rPr>
        <w:t>622</w:t>
      </w:r>
      <w:r w:rsidRPr="003C2C1F">
        <w:rPr>
          <w:rFonts w:ascii="Arial" w:hAnsi="Arial" w:cs="Arial"/>
          <w:sz w:val="24"/>
          <w:szCs w:val="24"/>
        </w:rPr>
        <w:t>-0</w:t>
      </w:r>
      <w:r w:rsidR="001A690C" w:rsidRPr="003C2C1F">
        <w:rPr>
          <w:rFonts w:ascii="Arial" w:hAnsi="Arial" w:cs="Arial"/>
          <w:sz w:val="24"/>
          <w:szCs w:val="24"/>
        </w:rPr>
        <w:t>2</w:t>
      </w:r>
      <w:r w:rsidRPr="003C2C1F">
        <w:rPr>
          <w:rFonts w:ascii="Arial" w:hAnsi="Arial" w:cs="Arial"/>
          <w:sz w:val="24"/>
          <w:szCs w:val="24"/>
        </w:rPr>
        <w:t>.</w:t>
      </w:r>
    </w:p>
    <w:p w:rsidR="00E15A33" w:rsidRPr="003C2C1F" w:rsidRDefault="00E15A33" w:rsidP="003C2C1F">
      <w:pPr>
        <w:spacing w:line="276" w:lineRule="auto"/>
        <w:rPr>
          <w:rFonts w:ascii="Arial" w:hAnsi="Arial" w:cs="Arial"/>
          <w:sz w:val="24"/>
          <w:szCs w:val="24"/>
        </w:rPr>
      </w:pPr>
    </w:p>
    <w:p w:rsidR="00E15A33" w:rsidRPr="003C2C1F" w:rsidRDefault="00E15A33" w:rsidP="003C2C1F">
      <w:pPr>
        <w:pStyle w:val="Ttulo4"/>
        <w:spacing w:line="276" w:lineRule="auto"/>
        <w:rPr>
          <w:rFonts w:cs="Arial"/>
          <w:b/>
          <w:sz w:val="24"/>
          <w:szCs w:val="24"/>
        </w:rPr>
      </w:pPr>
    </w:p>
    <w:p w:rsidR="00E15A33" w:rsidRPr="003C2C1F" w:rsidRDefault="00E15A33" w:rsidP="003C2C1F">
      <w:pPr>
        <w:pStyle w:val="Ttulo4"/>
        <w:spacing w:line="276" w:lineRule="auto"/>
        <w:rPr>
          <w:rFonts w:cs="Arial"/>
          <w:b/>
          <w:sz w:val="24"/>
          <w:szCs w:val="24"/>
        </w:rPr>
      </w:pPr>
      <w:r w:rsidRPr="003C2C1F">
        <w:rPr>
          <w:rFonts w:cs="Arial"/>
          <w:b/>
          <w:sz w:val="24"/>
          <w:szCs w:val="24"/>
        </w:rPr>
        <w:t>ANTECEDENTES</w:t>
      </w:r>
    </w:p>
    <w:p w:rsidR="00E15A33" w:rsidRPr="003C2C1F" w:rsidRDefault="00E15A33" w:rsidP="003C2C1F">
      <w:pPr>
        <w:spacing w:line="276" w:lineRule="auto"/>
        <w:jc w:val="both"/>
        <w:rPr>
          <w:rFonts w:ascii="Arial" w:hAnsi="Arial" w:cs="Arial"/>
          <w:sz w:val="24"/>
          <w:szCs w:val="24"/>
        </w:rPr>
      </w:pPr>
    </w:p>
    <w:p w:rsidR="00E15A33" w:rsidRPr="003C2C1F" w:rsidRDefault="00880381" w:rsidP="003C2C1F">
      <w:pPr>
        <w:spacing w:line="276" w:lineRule="auto"/>
        <w:jc w:val="both"/>
        <w:rPr>
          <w:rFonts w:ascii="Arial" w:hAnsi="Arial" w:cs="Arial"/>
          <w:sz w:val="24"/>
          <w:szCs w:val="24"/>
        </w:rPr>
      </w:pPr>
      <w:r w:rsidRPr="003C2C1F">
        <w:rPr>
          <w:rFonts w:ascii="Arial" w:hAnsi="Arial" w:cs="Arial"/>
          <w:sz w:val="24"/>
          <w:szCs w:val="24"/>
        </w:rPr>
        <w:lastRenderedPageBreak/>
        <w:t xml:space="preserve">Buscando que las sociedades Sistema de Transporte Masivo SI 99 S.A. y López Bedoya y Asociados &amp; </w:t>
      </w:r>
      <w:r w:rsidR="002C0A28" w:rsidRPr="003C2C1F">
        <w:rPr>
          <w:rFonts w:ascii="Arial" w:hAnsi="Arial" w:cs="Arial"/>
          <w:sz w:val="24"/>
          <w:szCs w:val="24"/>
        </w:rPr>
        <w:t>Cía</w:t>
      </w:r>
      <w:r w:rsidR="002C0A28">
        <w:rPr>
          <w:rFonts w:ascii="Arial" w:hAnsi="Arial" w:cs="Arial"/>
          <w:sz w:val="24"/>
          <w:szCs w:val="24"/>
        </w:rPr>
        <w:t xml:space="preserve">. </w:t>
      </w:r>
      <w:r w:rsidRPr="003C2C1F">
        <w:rPr>
          <w:rFonts w:ascii="Arial" w:hAnsi="Arial" w:cs="Arial"/>
          <w:sz w:val="24"/>
          <w:szCs w:val="24"/>
        </w:rPr>
        <w:t>S en C. cancelaran la condena que le fue impuesta por concepto de costas a su favor, Megabus S.A. impetró acción ejecutiva a continuación del proceso ordinario laboral, donde fungió como demandado y las ejecutadas como llamadas en garantía.</w:t>
      </w:r>
    </w:p>
    <w:p w:rsidR="00880381" w:rsidRPr="003C2C1F" w:rsidRDefault="00880381" w:rsidP="003C2C1F">
      <w:pPr>
        <w:spacing w:line="276" w:lineRule="auto"/>
        <w:jc w:val="both"/>
        <w:rPr>
          <w:rFonts w:ascii="Arial" w:hAnsi="Arial" w:cs="Arial"/>
          <w:sz w:val="24"/>
          <w:szCs w:val="24"/>
        </w:rPr>
      </w:pPr>
    </w:p>
    <w:p w:rsidR="00774345" w:rsidRPr="003C2C1F" w:rsidRDefault="00E15A33" w:rsidP="003C2C1F">
      <w:pPr>
        <w:spacing w:line="276" w:lineRule="auto"/>
        <w:jc w:val="both"/>
        <w:rPr>
          <w:rFonts w:ascii="Arial" w:hAnsi="Arial" w:cs="Arial"/>
          <w:sz w:val="24"/>
          <w:szCs w:val="24"/>
        </w:rPr>
      </w:pPr>
      <w:r w:rsidRPr="003C2C1F">
        <w:rPr>
          <w:rFonts w:ascii="Arial" w:hAnsi="Arial" w:cs="Arial"/>
          <w:sz w:val="24"/>
          <w:szCs w:val="24"/>
        </w:rPr>
        <w:t xml:space="preserve">Mediante providencia de fecha </w:t>
      </w:r>
      <w:r w:rsidR="000E4C2D" w:rsidRPr="003C2C1F">
        <w:rPr>
          <w:rFonts w:ascii="Arial" w:hAnsi="Arial" w:cs="Arial"/>
          <w:sz w:val="24"/>
          <w:szCs w:val="24"/>
        </w:rPr>
        <w:t>31 de mayo</w:t>
      </w:r>
      <w:r w:rsidR="00774345" w:rsidRPr="003C2C1F">
        <w:rPr>
          <w:rFonts w:ascii="Arial" w:hAnsi="Arial" w:cs="Arial"/>
          <w:sz w:val="24"/>
          <w:szCs w:val="24"/>
        </w:rPr>
        <w:t xml:space="preserve"> de 2021</w:t>
      </w:r>
      <w:r w:rsidRPr="003C2C1F">
        <w:rPr>
          <w:rFonts w:ascii="Arial" w:hAnsi="Arial" w:cs="Arial"/>
          <w:sz w:val="24"/>
          <w:szCs w:val="24"/>
        </w:rPr>
        <w:t xml:space="preserve"> se libró mandamiento de pago </w:t>
      </w:r>
      <w:r w:rsidR="00774345" w:rsidRPr="003C2C1F">
        <w:rPr>
          <w:rFonts w:ascii="Arial" w:hAnsi="Arial" w:cs="Arial"/>
          <w:sz w:val="24"/>
          <w:szCs w:val="24"/>
        </w:rPr>
        <w:t xml:space="preserve">por concepto de costas procesales de primera instancia y los intereses legales.  La medida previa no fue decretada al </w:t>
      </w:r>
      <w:r w:rsidR="300C1C61" w:rsidRPr="003C2C1F">
        <w:rPr>
          <w:rFonts w:ascii="Arial" w:hAnsi="Arial" w:cs="Arial"/>
          <w:sz w:val="24"/>
          <w:szCs w:val="24"/>
        </w:rPr>
        <w:t>considerar la</w:t>
      </w:r>
      <w:r w:rsidR="00774345" w:rsidRPr="003C2C1F">
        <w:rPr>
          <w:rFonts w:ascii="Arial" w:hAnsi="Arial" w:cs="Arial"/>
          <w:sz w:val="24"/>
          <w:szCs w:val="24"/>
        </w:rPr>
        <w:t xml:space="preserve"> </w:t>
      </w:r>
      <w:r w:rsidR="00774345" w:rsidRPr="003C2C1F">
        <w:rPr>
          <w:rFonts w:ascii="Arial" w:hAnsi="Arial" w:cs="Arial"/>
          <w:i/>
          <w:iCs/>
          <w:sz w:val="24"/>
          <w:szCs w:val="24"/>
        </w:rPr>
        <w:t xml:space="preserve">a quo </w:t>
      </w:r>
      <w:r w:rsidR="006A7728" w:rsidRPr="003C2C1F">
        <w:rPr>
          <w:rFonts w:ascii="Arial" w:hAnsi="Arial" w:cs="Arial"/>
          <w:sz w:val="24"/>
          <w:szCs w:val="24"/>
        </w:rPr>
        <w:t>que de conformidad con lo previsto en el artículo 1677 del Código Civil, no son embargables los objetos que el deudor posee fiduciariamente</w:t>
      </w:r>
      <w:r w:rsidR="00EB1697" w:rsidRPr="003C2C1F">
        <w:rPr>
          <w:rFonts w:ascii="Arial" w:hAnsi="Arial" w:cs="Arial"/>
          <w:sz w:val="24"/>
          <w:szCs w:val="24"/>
        </w:rPr>
        <w:t>.</w:t>
      </w:r>
    </w:p>
    <w:p w:rsidR="00774345" w:rsidRPr="003C2C1F" w:rsidRDefault="00774345" w:rsidP="003C2C1F">
      <w:pPr>
        <w:spacing w:line="276" w:lineRule="auto"/>
        <w:jc w:val="both"/>
        <w:rPr>
          <w:rFonts w:ascii="Arial" w:hAnsi="Arial" w:cs="Arial"/>
          <w:sz w:val="24"/>
          <w:szCs w:val="24"/>
        </w:rPr>
      </w:pPr>
    </w:p>
    <w:p w:rsidR="00F267F8" w:rsidRPr="003C2C1F" w:rsidRDefault="00EB1697" w:rsidP="003C2C1F">
      <w:pPr>
        <w:spacing w:line="276" w:lineRule="auto"/>
        <w:jc w:val="both"/>
        <w:rPr>
          <w:rFonts w:ascii="Arial" w:hAnsi="Arial" w:cs="Arial"/>
          <w:sz w:val="24"/>
          <w:szCs w:val="24"/>
        </w:rPr>
      </w:pPr>
      <w:r w:rsidRPr="003C2C1F">
        <w:rPr>
          <w:rFonts w:ascii="Arial" w:hAnsi="Arial" w:cs="Arial"/>
          <w:sz w:val="24"/>
          <w:szCs w:val="24"/>
        </w:rPr>
        <w:t xml:space="preserve">Inconforme con esa decisión </w:t>
      </w:r>
      <w:r w:rsidR="006A7728" w:rsidRPr="003C2C1F">
        <w:rPr>
          <w:rFonts w:ascii="Arial" w:hAnsi="Arial" w:cs="Arial"/>
          <w:sz w:val="24"/>
          <w:szCs w:val="24"/>
        </w:rPr>
        <w:t xml:space="preserve">Megabus S.A. interpuso el recurso de reposición y en subsidio el de apelación </w:t>
      </w:r>
      <w:r w:rsidR="00486FCE" w:rsidRPr="003C2C1F">
        <w:rPr>
          <w:rFonts w:ascii="Arial" w:hAnsi="Arial" w:cs="Arial"/>
          <w:sz w:val="24"/>
          <w:szCs w:val="24"/>
        </w:rPr>
        <w:t xml:space="preserve">indicando que el fideicomiso es una figura legal creada y desarrollada en los artículos </w:t>
      </w:r>
      <w:r w:rsidR="00FE7478" w:rsidRPr="003C2C1F">
        <w:rPr>
          <w:rFonts w:ascii="Arial" w:hAnsi="Arial" w:cs="Arial"/>
          <w:sz w:val="24"/>
          <w:szCs w:val="24"/>
        </w:rPr>
        <w:t>793 a 822 del Código Civil, integrado por tres partes, el fideicomitente quien es la persona que constituye el fideicomiso, el fiduciario, que funge como simple administrador y el fideicomisario, quien tiene la calidad de beneficiario del bien que será traslado una vez se cumpla la condición,  aclaración necesaria para indicar que la regla de inembargabilidad a la que hace relación el numeral 8º del artículo 1677 ibídem, se predica únicamente del fideicomitente.</w:t>
      </w:r>
    </w:p>
    <w:p w:rsidR="00F267F8" w:rsidRPr="003C2C1F" w:rsidRDefault="00F267F8" w:rsidP="003C2C1F">
      <w:pPr>
        <w:spacing w:line="276" w:lineRule="auto"/>
        <w:jc w:val="both"/>
        <w:rPr>
          <w:rFonts w:ascii="Arial" w:hAnsi="Arial" w:cs="Arial"/>
          <w:sz w:val="24"/>
          <w:szCs w:val="24"/>
        </w:rPr>
      </w:pPr>
    </w:p>
    <w:p w:rsidR="00DE09E8" w:rsidRPr="003C2C1F" w:rsidRDefault="00F267F8" w:rsidP="003C2C1F">
      <w:pPr>
        <w:spacing w:line="276" w:lineRule="auto"/>
        <w:jc w:val="both"/>
        <w:rPr>
          <w:rFonts w:ascii="Arial" w:hAnsi="Arial" w:cs="Arial"/>
          <w:sz w:val="24"/>
          <w:szCs w:val="24"/>
        </w:rPr>
      </w:pPr>
      <w:r w:rsidRPr="003C2C1F">
        <w:rPr>
          <w:rFonts w:ascii="Arial" w:hAnsi="Arial" w:cs="Arial"/>
          <w:sz w:val="24"/>
          <w:szCs w:val="24"/>
        </w:rPr>
        <w:t xml:space="preserve">No obstante ello, señala que la norma no debe ser analizada </w:t>
      </w:r>
      <w:r w:rsidR="00DE09E8" w:rsidRPr="003C2C1F">
        <w:rPr>
          <w:rFonts w:ascii="Arial" w:hAnsi="Arial" w:cs="Arial"/>
          <w:sz w:val="24"/>
          <w:szCs w:val="24"/>
        </w:rPr>
        <w:t>en forma aislada y excluyente, sino que debe armonizarse con lo dispuesto en el artículo 594 del Código General del Proceso, que establece de manera taxativa qué bienes son inembargables, dentro de los que no se cuenta el fideicomiso.</w:t>
      </w:r>
    </w:p>
    <w:p w:rsidR="0059303B" w:rsidRPr="003C2C1F" w:rsidRDefault="0059303B" w:rsidP="003C2C1F">
      <w:pPr>
        <w:spacing w:line="276" w:lineRule="auto"/>
        <w:jc w:val="both"/>
        <w:rPr>
          <w:rFonts w:ascii="Arial" w:hAnsi="Arial" w:cs="Arial"/>
          <w:sz w:val="24"/>
          <w:szCs w:val="24"/>
        </w:rPr>
      </w:pPr>
    </w:p>
    <w:p w:rsidR="0059303B" w:rsidRPr="003C2C1F" w:rsidRDefault="0059303B" w:rsidP="003C2C1F">
      <w:pPr>
        <w:spacing w:line="276" w:lineRule="auto"/>
        <w:jc w:val="both"/>
        <w:rPr>
          <w:rFonts w:ascii="Arial" w:hAnsi="Arial" w:cs="Arial"/>
          <w:sz w:val="24"/>
          <w:szCs w:val="24"/>
        </w:rPr>
      </w:pPr>
      <w:r w:rsidRPr="003C2C1F">
        <w:rPr>
          <w:rFonts w:ascii="Arial" w:hAnsi="Arial" w:cs="Arial"/>
          <w:sz w:val="24"/>
          <w:szCs w:val="24"/>
        </w:rPr>
        <w:t xml:space="preserve">Por lo demás, trajo a colación un concepto de la Superintendencia de Sociedades </w:t>
      </w:r>
      <w:r w:rsidR="000D7DAE" w:rsidRPr="003C2C1F">
        <w:rPr>
          <w:rFonts w:ascii="Arial" w:hAnsi="Arial" w:cs="Arial"/>
          <w:sz w:val="24"/>
          <w:szCs w:val="24"/>
        </w:rPr>
        <w:t>que estima derogado el artículo 1677 del Código Civil, concluyendo por tanto que la medida previa pretendida debe ser decreta</w:t>
      </w:r>
      <w:r w:rsidR="00E21FCF" w:rsidRPr="003C2C1F">
        <w:rPr>
          <w:rFonts w:ascii="Arial" w:hAnsi="Arial" w:cs="Arial"/>
          <w:sz w:val="24"/>
          <w:szCs w:val="24"/>
        </w:rPr>
        <w:t>da</w:t>
      </w:r>
      <w:r w:rsidR="000D7DAE" w:rsidRPr="003C2C1F">
        <w:rPr>
          <w:rFonts w:ascii="Arial" w:hAnsi="Arial" w:cs="Arial"/>
          <w:sz w:val="24"/>
          <w:szCs w:val="24"/>
        </w:rPr>
        <w:t>.</w:t>
      </w:r>
    </w:p>
    <w:p w:rsidR="00DE09E8" w:rsidRPr="003C2C1F" w:rsidRDefault="00DE09E8" w:rsidP="003C2C1F">
      <w:pPr>
        <w:spacing w:line="276" w:lineRule="auto"/>
        <w:jc w:val="both"/>
        <w:rPr>
          <w:rFonts w:ascii="Arial" w:hAnsi="Arial" w:cs="Arial"/>
          <w:sz w:val="24"/>
          <w:szCs w:val="24"/>
        </w:rPr>
      </w:pPr>
    </w:p>
    <w:p w:rsidR="00E21FCF" w:rsidRPr="003C2C1F" w:rsidRDefault="00E21FCF" w:rsidP="003C2C1F">
      <w:pPr>
        <w:spacing w:line="276" w:lineRule="auto"/>
        <w:jc w:val="both"/>
        <w:rPr>
          <w:rFonts w:ascii="Arial" w:hAnsi="Arial" w:cs="Arial"/>
          <w:sz w:val="24"/>
          <w:szCs w:val="24"/>
        </w:rPr>
      </w:pPr>
      <w:r w:rsidRPr="003C2C1F">
        <w:rPr>
          <w:rFonts w:ascii="Arial" w:hAnsi="Arial" w:cs="Arial"/>
          <w:sz w:val="24"/>
          <w:szCs w:val="24"/>
        </w:rPr>
        <w:t>El juzgado se mantuvo en la decisión inicial señalando que la normatividad que le sirvió de sustento a su negativa no ha sido derogada.</w:t>
      </w:r>
    </w:p>
    <w:p w:rsidR="00E21FCF" w:rsidRPr="003C2C1F" w:rsidRDefault="00E21FCF" w:rsidP="003C2C1F">
      <w:pPr>
        <w:spacing w:line="276" w:lineRule="auto"/>
        <w:jc w:val="both"/>
        <w:rPr>
          <w:rFonts w:ascii="Arial" w:hAnsi="Arial" w:cs="Arial"/>
          <w:sz w:val="24"/>
          <w:szCs w:val="24"/>
        </w:rPr>
      </w:pPr>
    </w:p>
    <w:p w:rsidR="00D5534C" w:rsidRPr="003C2C1F" w:rsidRDefault="0064584C" w:rsidP="003C2C1F">
      <w:pPr>
        <w:spacing w:line="276" w:lineRule="auto"/>
        <w:jc w:val="both"/>
        <w:rPr>
          <w:rFonts w:ascii="Arial" w:hAnsi="Arial" w:cs="Arial"/>
          <w:sz w:val="24"/>
          <w:szCs w:val="24"/>
        </w:rPr>
      </w:pPr>
      <w:r w:rsidRPr="003C2C1F">
        <w:rPr>
          <w:rFonts w:ascii="Arial" w:hAnsi="Arial" w:cs="Arial"/>
          <w:sz w:val="24"/>
          <w:szCs w:val="24"/>
        </w:rPr>
        <w:t>Respecto a la tesis de que la inembargabilidad de los “</w:t>
      </w:r>
      <w:r w:rsidRPr="001007A8">
        <w:rPr>
          <w:rFonts w:ascii="Arial" w:hAnsi="Arial" w:cs="Arial"/>
          <w:i/>
          <w:sz w:val="22"/>
          <w:szCs w:val="24"/>
        </w:rPr>
        <w:t>objetos que el deudor posee fiduciariamente</w:t>
      </w:r>
      <w:r w:rsidRPr="003C2C1F">
        <w:rPr>
          <w:rFonts w:ascii="Arial" w:hAnsi="Arial" w:cs="Arial"/>
          <w:sz w:val="24"/>
          <w:szCs w:val="24"/>
        </w:rPr>
        <w:t xml:space="preserve">” solo aplica al fideicomitente, señala que en ello le asiste razón al recurrente, en tanto </w:t>
      </w:r>
      <w:r w:rsidR="0040006F" w:rsidRPr="003C2C1F">
        <w:rPr>
          <w:rFonts w:ascii="Arial" w:hAnsi="Arial" w:cs="Arial"/>
          <w:sz w:val="24"/>
          <w:szCs w:val="24"/>
        </w:rPr>
        <w:t xml:space="preserve">se </w:t>
      </w:r>
      <w:r w:rsidRPr="003C2C1F">
        <w:rPr>
          <w:rFonts w:ascii="Arial" w:hAnsi="Arial" w:cs="Arial"/>
          <w:sz w:val="24"/>
          <w:szCs w:val="24"/>
        </w:rPr>
        <w:t>puede inferir que el legislador con esta prohibición buscó evitar que se confundan en el patrimonio del fiduciario los bienes que el fiduciante le confió; sin embargo, ello no puede determinarse con certeza en el presente asunto, pues no obra la escritura pública que establezca la existencia de la fiducia, sus partes y calidades de los intervinientes</w:t>
      </w:r>
      <w:r w:rsidR="00EE5867" w:rsidRPr="003C2C1F">
        <w:rPr>
          <w:rFonts w:ascii="Arial" w:hAnsi="Arial" w:cs="Arial"/>
          <w:sz w:val="24"/>
          <w:szCs w:val="24"/>
        </w:rPr>
        <w:t>.</w:t>
      </w:r>
    </w:p>
    <w:p w:rsidR="00D5534C" w:rsidRPr="003C2C1F" w:rsidRDefault="00D5534C" w:rsidP="003C2C1F">
      <w:pPr>
        <w:spacing w:line="276" w:lineRule="auto"/>
        <w:jc w:val="both"/>
        <w:rPr>
          <w:rFonts w:ascii="Arial" w:hAnsi="Arial" w:cs="Arial"/>
          <w:sz w:val="24"/>
          <w:szCs w:val="24"/>
        </w:rPr>
      </w:pPr>
    </w:p>
    <w:p w:rsidR="007E46DA" w:rsidRPr="003C2C1F" w:rsidRDefault="00EE5867" w:rsidP="003C2C1F">
      <w:pPr>
        <w:spacing w:line="276" w:lineRule="auto"/>
        <w:jc w:val="both"/>
        <w:rPr>
          <w:rFonts w:ascii="Arial" w:hAnsi="Arial" w:cs="Arial"/>
          <w:sz w:val="24"/>
          <w:szCs w:val="24"/>
        </w:rPr>
      </w:pPr>
      <w:r w:rsidRPr="003C2C1F">
        <w:rPr>
          <w:rFonts w:ascii="Arial" w:hAnsi="Arial" w:cs="Arial"/>
          <w:sz w:val="24"/>
          <w:szCs w:val="24"/>
        </w:rPr>
        <w:t xml:space="preserve">Conforme lo anterior, el </w:t>
      </w:r>
      <w:r w:rsidR="00966C30" w:rsidRPr="003C2C1F">
        <w:rPr>
          <w:rFonts w:ascii="Arial" w:hAnsi="Arial" w:cs="Arial"/>
          <w:sz w:val="24"/>
          <w:szCs w:val="24"/>
        </w:rPr>
        <w:t>recurso</w:t>
      </w:r>
      <w:r w:rsidR="0026737D" w:rsidRPr="003C2C1F">
        <w:rPr>
          <w:rFonts w:ascii="Arial" w:hAnsi="Arial" w:cs="Arial"/>
          <w:sz w:val="24"/>
          <w:szCs w:val="24"/>
        </w:rPr>
        <w:t xml:space="preserve"> de apelación fue concedido en el efecto devolutivo,</w:t>
      </w:r>
      <w:r w:rsidR="005D64D9" w:rsidRPr="003C2C1F">
        <w:rPr>
          <w:rFonts w:ascii="Arial" w:hAnsi="Arial" w:cs="Arial"/>
          <w:sz w:val="24"/>
          <w:szCs w:val="24"/>
        </w:rPr>
        <w:t xml:space="preserve"> el cual fue admitido en esta Sede</w:t>
      </w:r>
      <w:r w:rsidR="007E46DA" w:rsidRPr="003C2C1F">
        <w:rPr>
          <w:rFonts w:ascii="Arial" w:hAnsi="Arial" w:cs="Arial"/>
          <w:sz w:val="24"/>
          <w:szCs w:val="24"/>
        </w:rPr>
        <w:t xml:space="preserve">, procediendo posteriormente a correr traslado </w:t>
      </w:r>
      <w:r w:rsidR="007E6802" w:rsidRPr="003C2C1F">
        <w:rPr>
          <w:rFonts w:ascii="Arial" w:hAnsi="Arial" w:cs="Arial"/>
          <w:sz w:val="24"/>
          <w:szCs w:val="24"/>
        </w:rPr>
        <w:t xml:space="preserve">al ejecutante </w:t>
      </w:r>
      <w:r w:rsidR="007E46DA" w:rsidRPr="003C2C1F">
        <w:rPr>
          <w:rFonts w:ascii="Arial" w:hAnsi="Arial" w:cs="Arial"/>
          <w:sz w:val="24"/>
          <w:szCs w:val="24"/>
        </w:rPr>
        <w:t>para que formul</w:t>
      </w:r>
      <w:r w:rsidR="007E6802" w:rsidRPr="003C2C1F">
        <w:rPr>
          <w:rFonts w:ascii="Arial" w:hAnsi="Arial" w:cs="Arial"/>
          <w:sz w:val="24"/>
          <w:szCs w:val="24"/>
        </w:rPr>
        <w:t>ara</w:t>
      </w:r>
      <w:r w:rsidR="007E46DA" w:rsidRPr="003C2C1F">
        <w:rPr>
          <w:rFonts w:ascii="Arial" w:hAnsi="Arial" w:cs="Arial"/>
          <w:sz w:val="24"/>
          <w:szCs w:val="24"/>
        </w:rPr>
        <w:t xml:space="preserve"> sus alegatos, transcurriendo en silencio el término conferido para tal fin.</w:t>
      </w:r>
      <w:r w:rsidR="005D64D9" w:rsidRPr="003C2C1F">
        <w:rPr>
          <w:rFonts w:ascii="Arial" w:hAnsi="Arial" w:cs="Arial"/>
          <w:sz w:val="24"/>
          <w:szCs w:val="24"/>
        </w:rPr>
        <w:t xml:space="preserve"> </w:t>
      </w:r>
    </w:p>
    <w:p w:rsidR="00F00885" w:rsidRPr="003C2C1F" w:rsidRDefault="00F00885" w:rsidP="003C2C1F">
      <w:pPr>
        <w:pStyle w:val="paragraph"/>
        <w:spacing w:before="0" w:beforeAutospacing="0" w:after="0" w:afterAutospacing="0" w:line="276" w:lineRule="auto"/>
        <w:jc w:val="center"/>
        <w:textAlignment w:val="baseline"/>
        <w:rPr>
          <w:rStyle w:val="normaltextrun"/>
          <w:rFonts w:ascii="Arial" w:hAnsi="Arial" w:cs="Arial"/>
          <w:b/>
          <w:bCs/>
        </w:rPr>
      </w:pPr>
    </w:p>
    <w:p w:rsidR="00E15A33" w:rsidRPr="003C2C1F" w:rsidRDefault="008D69F6" w:rsidP="003C2C1F">
      <w:pPr>
        <w:spacing w:line="276" w:lineRule="auto"/>
        <w:jc w:val="both"/>
        <w:rPr>
          <w:rFonts w:ascii="Arial" w:hAnsi="Arial" w:cs="Arial"/>
          <w:sz w:val="24"/>
          <w:szCs w:val="24"/>
        </w:rPr>
      </w:pPr>
      <w:r w:rsidRPr="003C2C1F">
        <w:rPr>
          <w:rFonts w:ascii="Arial" w:hAnsi="Arial" w:cs="Arial"/>
          <w:sz w:val="24"/>
          <w:szCs w:val="24"/>
        </w:rPr>
        <w:t>Se concentra</w:t>
      </w:r>
      <w:r w:rsidR="00E15A33" w:rsidRPr="003C2C1F">
        <w:rPr>
          <w:rFonts w:ascii="Arial" w:hAnsi="Arial" w:cs="Arial"/>
          <w:sz w:val="24"/>
          <w:szCs w:val="24"/>
        </w:rPr>
        <w:t xml:space="preserve"> entonces la Sala a decidir lo que es materia del recurso y para ello deben tenerse en cuenta las siguientes</w:t>
      </w:r>
    </w:p>
    <w:p w:rsidR="00E15A33" w:rsidRPr="003C2C1F" w:rsidRDefault="00E15A33" w:rsidP="003C2C1F">
      <w:pPr>
        <w:spacing w:line="276" w:lineRule="auto"/>
        <w:jc w:val="both"/>
        <w:rPr>
          <w:rFonts w:ascii="Arial" w:hAnsi="Arial" w:cs="Arial"/>
          <w:sz w:val="24"/>
          <w:szCs w:val="24"/>
        </w:rPr>
      </w:pPr>
    </w:p>
    <w:p w:rsidR="00E15A33" w:rsidRPr="003C2C1F" w:rsidRDefault="00E15A33" w:rsidP="003C2C1F">
      <w:pPr>
        <w:pStyle w:val="Ttulo4"/>
        <w:spacing w:line="276" w:lineRule="auto"/>
        <w:rPr>
          <w:rFonts w:cs="Arial"/>
          <w:b/>
          <w:sz w:val="24"/>
          <w:szCs w:val="24"/>
        </w:rPr>
      </w:pPr>
      <w:r w:rsidRPr="003C2C1F">
        <w:rPr>
          <w:rFonts w:cs="Arial"/>
          <w:b/>
          <w:sz w:val="24"/>
          <w:szCs w:val="24"/>
        </w:rPr>
        <w:lastRenderedPageBreak/>
        <w:t>CONSIDERACIONES:</w:t>
      </w:r>
    </w:p>
    <w:p w:rsidR="002A7F10" w:rsidRPr="003C2C1F" w:rsidRDefault="002A7F10" w:rsidP="003C2C1F">
      <w:pPr>
        <w:widowControl w:val="0"/>
        <w:autoSpaceDE w:val="0"/>
        <w:autoSpaceDN w:val="0"/>
        <w:adjustRightInd w:val="0"/>
        <w:spacing w:line="276" w:lineRule="auto"/>
        <w:jc w:val="both"/>
        <w:rPr>
          <w:rFonts w:ascii="Arial" w:hAnsi="Arial" w:cs="Arial"/>
          <w:spacing w:val="-3"/>
          <w:sz w:val="24"/>
          <w:szCs w:val="24"/>
          <w:lang w:val="es-ES"/>
        </w:rPr>
      </w:pPr>
    </w:p>
    <w:p w:rsidR="002A7F10" w:rsidRPr="003C2C1F" w:rsidRDefault="002A7F10" w:rsidP="003C2C1F">
      <w:pPr>
        <w:widowControl w:val="0"/>
        <w:autoSpaceDE w:val="0"/>
        <w:autoSpaceDN w:val="0"/>
        <w:adjustRightInd w:val="0"/>
        <w:spacing w:line="276" w:lineRule="auto"/>
        <w:jc w:val="both"/>
        <w:rPr>
          <w:rFonts w:ascii="Arial" w:hAnsi="Arial" w:cs="Arial"/>
          <w:sz w:val="24"/>
          <w:szCs w:val="24"/>
        </w:rPr>
      </w:pPr>
      <w:r w:rsidRPr="003C2C1F">
        <w:rPr>
          <w:rFonts w:ascii="Arial" w:hAnsi="Arial" w:cs="Arial"/>
          <w:spacing w:val="-3"/>
          <w:sz w:val="24"/>
          <w:szCs w:val="24"/>
          <w:lang w:val="es-ES"/>
        </w:rPr>
        <w:t>El asunto bajo análisis, plantea a la Sala el siguiente</w:t>
      </w:r>
      <w:r w:rsidRPr="003C2C1F">
        <w:rPr>
          <w:rFonts w:ascii="Arial" w:hAnsi="Arial" w:cs="Arial"/>
          <w:sz w:val="24"/>
          <w:szCs w:val="24"/>
        </w:rPr>
        <w:t>:</w:t>
      </w:r>
    </w:p>
    <w:p w:rsidR="002A7F10" w:rsidRPr="003C2C1F" w:rsidRDefault="002A7F10" w:rsidP="003C2C1F">
      <w:pPr>
        <w:widowControl w:val="0"/>
        <w:autoSpaceDE w:val="0"/>
        <w:autoSpaceDN w:val="0"/>
        <w:adjustRightInd w:val="0"/>
        <w:spacing w:line="276" w:lineRule="auto"/>
        <w:jc w:val="both"/>
        <w:rPr>
          <w:rFonts w:ascii="Arial" w:hAnsi="Arial" w:cs="Arial"/>
          <w:sz w:val="24"/>
          <w:szCs w:val="24"/>
        </w:rPr>
      </w:pPr>
    </w:p>
    <w:p w:rsidR="002A7F10" w:rsidRPr="003C2C1F" w:rsidRDefault="002A7F10" w:rsidP="003C2C1F">
      <w:pPr>
        <w:widowControl w:val="0"/>
        <w:autoSpaceDE w:val="0"/>
        <w:autoSpaceDN w:val="0"/>
        <w:adjustRightInd w:val="0"/>
        <w:spacing w:line="276" w:lineRule="auto"/>
        <w:jc w:val="both"/>
        <w:rPr>
          <w:rFonts w:ascii="Arial" w:hAnsi="Arial" w:cs="Arial"/>
          <w:b/>
          <w:sz w:val="24"/>
          <w:szCs w:val="24"/>
        </w:rPr>
      </w:pPr>
      <w:r w:rsidRPr="003C2C1F">
        <w:rPr>
          <w:rFonts w:ascii="Arial" w:hAnsi="Arial" w:cs="Arial"/>
          <w:b/>
          <w:sz w:val="24"/>
          <w:szCs w:val="24"/>
        </w:rPr>
        <w:t>PROBLEMA JURÍDICO</w:t>
      </w:r>
    </w:p>
    <w:p w:rsidR="002A7F10" w:rsidRPr="003C2C1F" w:rsidRDefault="002A7F10" w:rsidP="003C2C1F">
      <w:pPr>
        <w:widowControl w:val="0"/>
        <w:autoSpaceDE w:val="0"/>
        <w:autoSpaceDN w:val="0"/>
        <w:adjustRightInd w:val="0"/>
        <w:spacing w:line="276" w:lineRule="auto"/>
        <w:jc w:val="both"/>
        <w:rPr>
          <w:rFonts w:ascii="Arial" w:hAnsi="Arial" w:cs="Arial"/>
          <w:sz w:val="24"/>
          <w:szCs w:val="24"/>
        </w:rPr>
      </w:pPr>
    </w:p>
    <w:p w:rsidR="002A7F10" w:rsidRPr="003C2C1F" w:rsidRDefault="002A7F10" w:rsidP="003C2C1F">
      <w:pPr>
        <w:widowControl w:val="0"/>
        <w:autoSpaceDE w:val="0"/>
        <w:autoSpaceDN w:val="0"/>
        <w:adjustRightInd w:val="0"/>
        <w:spacing w:line="276" w:lineRule="auto"/>
        <w:ind w:left="567" w:right="618"/>
        <w:jc w:val="both"/>
        <w:rPr>
          <w:rFonts w:ascii="Arial" w:hAnsi="Arial" w:cs="Arial"/>
          <w:i/>
          <w:spacing w:val="2"/>
          <w:sz w:val="24"/>
          <w:szCs w:val="24"/>
        </w:rPr>
      </w:pPr>
      <w:r w:rsidRPr="003C2C1F">
        <w:rPr>
          <w:rFonts w:ascii="Arial" w:hAnsi="Arial" w:cs="Arial"/>
          <w:i/>
          <w:spacing w:val="2"/>
          <w:sz w:val="24"/>
          <w:szCs w:val="24"/>
        </w:rPr>
        <w:t>¿Reúne los requisitos para su decreto la medida cautelar?</w:t>
      </w:r>
    </w:p>
    <w:p w:rsidR="00E15A33" w:rsidRPr="003C2C1F" w:rsidRDefault="00E15A33" w:rsidP="003C2C1F">
      <w:pPr>
        <w:widowControl w:val="0"/>
        <w:autoSpaceDE w:val="0"/>
        <w:autoSpaceDN w:val="0"/>
        <w:adjustRightInd w:val="0"/>
        <w:spacing w:line="276" w:lineRule="auto"/>
        <w:jc w:val="both"/>
        <w:rPr>
          <w:rFonts w:ascii="Arial" w:hAnsi="Arial" w:cs="Arial"/>
          <w:sz w:val="24"/>
          <w:szCs w:val="24"/>
        </w:rPr>
      </w:pPr>
    </w:p>
    <w:p w:rsidR="002A7F10" w:rsidRPr="003C2C1F" w:rsidRDefault="002A7F10" w:rsidP="003C2C1F">
      <w:pPr>
        <w:pStyle w:val="Textoindependiente"/>
        <w:spacing w:line="276" w:lineRule="auto"/>
        <w:rPr>
          <w:rFonts w:cs="Arial"/>
          <w:sz w:val="24"/>
          <w:szCs w:val="24"/>
        </w:rPr>
      </w:pPr>
    </w:p>
    <w:p w:rsidR="00E15A33" w:rsidRPr="003C2C1F" w:rsidRDefault="00E15A33" w:rsidP="003C2C1F">
      <w:pPr>
        <w:pStyle w:val="Textoindependiente"/>
        <w:spacing w:line="276" w:lineRule="auto"/>
        <w:rPr>
          <w:rFonts w:eastAsia="Arial" w:cs="Arial"/>
          <w:sz w:val="24"/>
          <w:szCs w:val="24"/>
        </w:rPr>
      </w:pPr>
      <w:r w:rsidRPr="003C2C1F">
        <w:rPr>
          <w:rFonts w:cs="Arial"/>
          <w:sz w:val="24"/>
          <w:szCs w:val="24"/>
        </w:rPr>
        <w:t xml:space="preserve">Para resolver </w:t>
      </w:r>
      <w:r w:rsidR="008D69F6" w:rsidRPr="003C2C1F">
        <w:rPr>
          <w:rFonts w:cs="Arial"/>
          <w:sz w:val="24"/>
          <w:szCs w:val="24"/>
        </w:rPr>
        <w:t>e</w:t>
      </w:r>
      <w:r w:rsidRPr="003C2C1F">
        <w:rPr>
          <w:rFonts w:cs="Arial"/>
          <w:sz w:val="24"/>
          <w:szCs w:val="24"/>
        </w:rPr>
        <w:t xml:space="preserve">l interrogante planteado en el caso concreto, la Sala estima pertinente hacer la siguiente </w:t>
      </w:r>
      <w:r w:rsidRPr="003C2C1F">
        <w:rPr>
          <w:rFonts w:eastAsia="Arial" w:cs="Arial"/>
          <w:sz w:val="24"/>
          <w:szCs w:val="24"/>
        </w:rPr>
        <w:t>precisi</w:t>
      </w:r>
      <w:r w:rsidR="008D69F6" w:rsidRPr="003C2C1F">
        <w:rPr>
          <w:rFonts w:eastAsia="Arial" w:cs="Arial"/>
          <w:sz w:val="24"/>
          <w:szCs w:val="24"/>
        </w:rPr>
        <w:t>ón</w:t>
      </w:r>
      <w:r w:rsidRPr="003C2C1F">
        <w:rPr>
          <w:rFonts w:eastAsia="Arial" w:cs="Arial"/>
          <w:sz w:val="24"/>
          <w:szCs w:val="24"/>
        </w:rPr>
        <w:t>:</w:t>
      </w:r>
    </w:p>
    <w:p w:rsidR="00E15A33" w:rsidRPr="003C2C1F" w:rsidRDefault="00E15A33" w:rsidP="003C2C1F">
      <w:pPr>
        <w:pStyle w:val="Textoindependiente"/>
        <w:spacing w:line="276" w:lineRule="auto"/>
        <w:rPr>
          <w:rFonts w:cs="Arial"/>
          <w:sz w:val="24"/>
          <w:szCs w:val="24"/>
        </w:rPr>
      </w:pPr>
    </w:p>
    <w:p w:rsidR="002A7F10" w:rsidRPr="003C2C1F" w:rsidRDefault="002A7F10" w:rsidP="003C2C1F">
      <w:pPr>
        <w:numPr>
          <w:ilvl w:val="0"/>
          <w:numId w:val="1"/>
        </w:numPr>
        <w:spacing w:line="276" w:lineRule="auto"/>
        <w:ind w:left="426" w:hanging="426"/>
        <w:jc w:val="both"/>
        <w:rPr>
          <w:rFonts w:ascii="Arial" w:hAnsi="Arial" w:cs="Arial"/>
          <w:b/>
          <w:sz w:val="24"/>
          <w:szCs w:val="24"/>
        </w:rPr>
      </w:pPr>
      <w:r w:rsidRPr="003C2C1F">
        <w:rPr>
          <w:rFonts w:ascii="Arial" w:hAnsi="Arial" w:cs="Arial"/>
          <w:b/>
          <w:sz w:val="24"/>
          <w:szCs w:val="24"/>
        </w:rPr>
        <w:t>PRESUPUESTOS PARA DECRETAR LA MEDIDA CAUTELAR EN MATERIA LABORAL.</w:t>
      </w:r>
    </w:p>
    <w:p w:rsidR="002A7F10" w:rsidRPr="003C2C1F" w:rsidRDefault="002A7F10" w:rsidP="003C2C1F">
      <w:pPr>
        <w:widowControl w:val="0"/>
        <w:autoSpaceDE w:val="0"/>
        <w:autoSpaceDN w:val="0"/>
        <w:adjustRightInd w:val="0"/>
        <w:spacing w:line="276" w:lineRule="auto"/>
        <w:jc w:val="both"/>
        <w:rPr>
          <w:rFonts w:ascii="Arial" w:hAnsi="Arial" w:cs="Arial"/>
          <w:spacing w:val="2"/>
          <w:sz w:val="24"/>
          <w:szCs w:val="24"/>
        </w:rPr>
      </w:pPr>
    </w:p>
    <w:p w:rsidR="002A7F10" w:rsidRPr="003C2C1F" w:rsidRDefault="002A7F10" w:rsidP="003C2C1F">
      <w:pPr>
        <w:widowControl w:val="0"/>
        <w:autoSpaceDE w:val="0"/>
        <w:autoSpaceDN w:val="0"/>
        <w:adjustRightInd w:val="0"/>
        <w:spacing w:line="276" w:lineRule="auto"/>
        <w:jc w:val="both"/>
        <w:rPr>
          <w:rFonts w:ascii="Arial" w:hAnsi="Arial" w:cs="Arial"/>
          <w:spacing w:val="2"/>
          <w:sz w:val="24"/>
          <w:szCs w:val="24"/>
        </w:rPr>
      </w:pPr>
      <w:r w:rsidRPr="003C2C1F">
        <w:rPr>
          <w:rFonts w:ascii="Arial" w:hAnsi="Arial" w:cs="Arial"/>
          <w:spacing w:val="2"/>
          <w:sz w:val="24"/>
          <w:szCs w:val="24"/>
        </w:rPr>
        <w:t xml:space="preserve">Dispone el artículo </w:t>
      </w:r>
      <w:r w:rsidR="006F0F35" w:rsidRPr="003C2C1F">
        <w:rPr>
          <w:rFonts w:ascii="Arial" w:hAnsi="Arial" w:cs="Arial"/>
          <w:spacing w:val="2"/>
          <w:sz w:val="24"/>
          <w:szCs w:val="24"/>
        </w:rPr>
        <w:t>100 del</w:t>
      </w:r>
      <w:r w:rsidRPr="003C2C1F">
        <w:rPr>
          <w:rFonts w:ascii="Arial" w:hAnsi="Arial" w:cs="Arial"/>
          <w:spacing w:val="2"/>
          <w:sz w:val="24"/>
          <w:szCs w:val="24"/>
        </w:rPr>
        <w:t xml:space="preserve"> Código </w:t>
      </w:r>
      <w:r w:rsidR="00511029" w:rsidRPr="003C2C1F">
        <w:rPr>
          <w:rFonts w:ascii="Arial" w:hAnsi="Arial" w:cs="Arial"/>
          <w:spacing w:val="2"/>
          <w:sz w:val="24"/>
          <w:szCs w:val="24"/>
        </w:rPr>
        <w:t>Procesal del Trabajo y de la Seguridad Social</w:t>
      </w:r>
      <w:r w:rsidRPr="003C2C1F">
        <w:rPr>
          <w:rFonts w:ascii="Arial" w:hAnsi="Arial" w:cs="Arial"/>
          <w:spacing w:val="2"/>
          <w:sz w:val="24"/>
          <w:szCs w:val="24"/>
        </w:rPr>
        <w:t xml:space="preserve"> las obligaciones que son exigibles por la vía ejecutiva en materia laboral, siendo estas las originadas en una relación de trabajo, que consten que emanen de una decisión judicial o arbitral en firme.</w:t>
      </w:r>
    </w:p>
    <w:p w:rsidR="002A7F10" w:rsidRPr="003C2C1F" w:rsidRDefault="002A7F10" w:rsidP="003C2C1F">
      <w:pPr>
        <w:widowControl w:val="0"/>
        <w:autoSpaceDE w:val="0"/>
        <w:autoSpaceDN w:val="0"/>
        <w:adjustRightInd w:val="0"/>
        <w:spacing w:line="276" w:lineRule="auto"/>
        <w:jc w:val="both"/>
        <w:rPr>
          <w:rFonts w:ascii="Arial" w:hAnsi="Arial" w:cs="Arial"/>
          <w:spacing w:val="2"/>
          <w:sz w:val="24"/>
          <w:szCs w:val="24"/>
        </w:rPr>
      </w:pPr>
    </w:p>
    <w:p w:rsidR="002A7F10" w:rsidRPr="003C2C1F" w:rsidRDefault="002A7F10" w:rsidP="003C2C1F">
      <w:pPr>
        <w:widowControl w:val="0"/>
        <w:autoSpaceDE w:val="0"/>
        <w:autoSpaceDN w:val="0"/>
        <w:adjustRightInd w:val="0"/>
        <w:spacing w:line="276" w:lineRule="auto"/>
        <w:jc w:val="both"/>
        <w:rPr>
          <w:rFonts w:ascii="Arial" w:hAnsi="Arial" w:cs="Arial"/>
          <w:spacing w:val="2"/>
          <w:sz w:val="24"/>
          <w:szCs w:val="24"/>
        </w:rPr>
      </w:pPr>
      <w:r w:rsidRPr="003C2C1F">
        <w:rPr>
          <w:rFonts w:ascii="Arial" w:hAnsi="Arial" w:cs="Arial"/>
          <w:spacing w:val="2"/>
          <w:sz w:val="24"/>
          <w:szCs w:val="24"/>
        </w:rPr>
        <w:t xml:space="preserve">A su vez, el artículo 306 del Código General del Proceso establece que, cuando se trate de ejecución de sentencias, el ejecutante puede solicitar, sin necesidad de presentar </w:t>
      </w:r>
      <w:r w:rsidR="006F0F35" w:rsidRPr="003C2C1F">
        <w:rPr>
          <w:rFonts w:ascii="Arial" w:hAnsi="Arial" w:cs="Arial"/>
          <w:spacing w:val="2"/>
          <w:sz w:val="24"/>
          <w:szCs w:val="24"/>
        </w:rPr>
        <w:t>demanda, la</w:t>
      </w:r>
      <w:r w:rsidRPr="003C2C1F">
        <w:rPr>
          <w:rFonts w:ascii="Arial" w:hAnsi="Arial" w:cs="Arial"/>
          <w:spacing w:val="2"/>
          <w:sz w:val="24"/>
          <w:szCs w:val="24"/>
        </w:rPr>
        <w:t xml:space="preserve"> ejecución del fallo ante el juez del conocimiento, para que adelante el proceso ejecutivo a continuación y dentro del mismo expediente en que fue dictada, sin necesidad de presentar demanda. </w:t>
      </w:r>
    </w:p>
    <w:p w:rsidR="002A7F10" w:rsidRPr="003C2C1F" w:rsidRDefault="002A7F10" w:rsidP="003C2C1F">
      <w:pPr>
        <w:widowControl w:val="0"/>
        <w:autoSpaceDE w:val="0"/>
        <w:autoSpaceDN w:val="0"/>
        <w:adjustRightInd w:val="0"/>
        <w:spacing w:line="276" w:lineRule="auto"/>
        <w:jc w:val="both"/>
        <w:rPr>
          <w:rFonts w:ascii="Arial" w:hAnsi="Arial" w:cs="Arial"/>
          <w:spacing w:val="2"/>
          <w:sz w:val="24"/>
          <w:szCs w:val="24"/>
        </w:rPr>
      </w:pPr>
    </w:p>
    <w:p w:rsidR="002A7F10" w:rsidRPr="003C2C1F" w:rsidRDefault="002A7F10" w:rsidP="003C2C1F">
      <w:pPr>
        <w:widowControl w:val="0"/>
        <w:autoSpaceDE w:val="0"/>
        <w:autoSpaceDN w:val="0"/>
        <w:adjustRightInd w:val="0"/>
        <w:spacing w:line="276" w:lineRule="auto"/>
        <w:jc w:val="both"/>
        <w:rPr>
          <w:rFonts w:ascii="Arial" w:hAnsi="Arial" w:cs="Arial"/>
          <w:spacing w:val="2"/>
          <w:sz w:val="24"/>
          <w:szCs w:val="24"/>
        </w:rPr>
      </w:pPr>
      <w:r w:rsidRPr="003C2C1F">
        <w:rPr>
          <w:rFonts w:ascii="Arial" w:hAnsi="Arial" w:cs="Arial"/>
          <w:spacing w:val="2"/>
          <w:sz w:val="24"/>
          <w:szCs w:val="24"/>
        </w:rPr>
        <w:t>Frente a las medidas cautelares, la primera de las normas citadas, en el artículo 101 establece que el solicitante deberá manifestar bajo la gravedad del juramento que los bienes objeto de la medida son propiedad del ejecutado, para que el juez proceda con su decreto.</w:t>
      </w:r>
    </w:p>
    <w:p w:rsidR="002A7F10" w:rsidRPr="003C2C1F" w:rsidRDefault="002A7F10" w:rsidP="003C2C1F">
      <w:pPr>
        <w:pStyle w:val="Textoindependiente"/>
        <w:spacing w:line="276" w:lineRule="auto"/>
        <w:rPr>
          <w:rFonts w:cs="Arial"/>
          <w:sz w:val="24"/>
          <w:szCs w:val="24"/>
        </w:rPr>
      </w:pPr>
    </w:p>
    <w:p w:rsidR="002A7F10" w:rsidRPr="003C2C1F" w:rsidRDefault="002A7F10" w:rsidP="003C2C1F">
      <w:pPr>
        <w:pStyle w:val="paragraph"/>
        <w:spacing w:before="0" w:beforeAutospacing="0" w:after="0" w:afterAutospacing="0" w:line="276" w:lineRule="auto"/>
        <w:jc w:val="both"/>
        <w:textAlignment w:val="baseline"/>
        <w:rPr>
          <w:rFonts w:ascii="Arial" w:hAnsi="Arial" w:cs="Arial"/>
        </w:rPr>
      </w:pPr>
      <w:r w:rsidRPr="003C2C1F">
        <w:rPr>
          <w:rStyle w:val="normaltextrun"/>
          <w:rFonts w:ascii="Arial" w:hAnsi="Arial" w:cs="Arial"/>
          <w:b/>
          <w:bCs/>
        </w:rPr>
        <w:t>2. CASO CONCRETO</w:t>
      </w:r>
      <w:r w:rsidRPr="003C2C1F">
        <w:rPr>
          <w:rStyle w:val="eop"/>
          <w:rFonts w:ascii="Arial" w:hAnsi="Arial" w:cs="Arial"/>
        </w:rPr>
        <w:t> </w:t>
      </w:r>
    </w:p>
    <w:p w:rsidR="002A7F10" w:rsidRPr="003C2C1F" w:rsidRDefault="002A7F10" w:rsidP="003C2C1F">
      <w:pPr>
        <w:pStyle w:val="paragraph"/>
        <w:spacing w:before="0" w:beforeAutospacing="0" w:after="0" w:afterAutospacing="0" w:line="276" w:lineRule="auto"/>
        <w:jc w:val="both"/>
        <w:textAlignment w:val="baseline"/>
        <w:rPr>
          <w:rStyle w:val="normaltextrun"/>
          <w:rFonts w:ascii="Arial" w:hAnsi="Arial" w:cs="Arial"/>
        </w:rPr>
      </w:pPr>
    </w:p>
    <w:p w:rsidR="002A7F10" w:rsidRPr="003C2C1F" w:rsidRDefault="002A7F10" w:rsidP="003C2C1F">
      <w:pPr>
        <w:pStyle w:val="paragraph"/>
        <w:spacing w:before="0" w:beforeAutospacing="0" w:after="0" w:afterAutospacing="0" w:line="276" w:lineRule="auto"/>
        <w:jc w:val="both"/>
        <w:textAlignment w:val="baseline"/>
        <w:rPr>
          <w:rFonts w:ascii="Arial" w:hAnsi="Arial" w:cs="Arial"/>
        </w:rPr>
      </w:pPr>
      <w:r w:rsidRPr="003C2C1F">
        <w:rPr>
          <w:rStyle w:val="normaltextrun"/>
          <w:rFonts w:ascii="Arial" w:hAnsi="Arial" w:cs="Arial"/>
        </w:rPr>
        <w:t>En el presente asunto, Megabus S.A. inició acción ejecutiva a continuación de proceso ordinario laboral en contra de la</w:t>
      </w:r>
      <w:r w:rsidR="6F9EE296" w:rsidRPr="003C2C1F">
        <w:rPr>
          <w:rStyle w:val="normaltextrun"/>
          <w:rFonts w:ascii="Arial" w:hAnsi="Arial" w:cs="Arial"/>
        </w:rPr>
        <w:t>s</w:t>
      </w:r>
      <w:r w:rsidRPr="003C2C1F">
        <w:rPr>
          <w:rStyle w:val="normaltextrun"/>
          <w:rFonts w:ascii="Arial" w:hAnsi="Arial" w:cs="Arial"/>
        </w:rPr>
        <w:t xml:space="preserve"> sociedades SI 99 S.A. y López Bedoya y Asociados &amp; </w:t>
      </w:r>
      <w:r w:rsidR="002C0A28" w:rsidRPr="003C2C1F">
        <w:rPr>
          <w:rStyle w:val="normaltextrun"/>
          <w:rFonts w:ascii="Arial" w:hAnsi="Arial" w:cs="Arial"/>
        </w:rPr>
        <w:t>Cía</w:t>
      </w:r>
      <w:r w:rsidR="002C0A28">
        <w:rPr>
          <w:rStyle w:val="normaltextrun"/>
          <w:rFonts w:ascii="Arial" w:hAnsi="Arial" w:cs="Arial"/>
        </w:rPr>
        <w:t>.</w:t>
      </w:r>
      <w:r w:rsidR="002C0A28" w:rsidRPr="003C2C1F">
        <w:rPr>
          <w:rStyle w:val="normaltextrun"/>
          <w:rFonts w:ascii="Arial" w:hAnsi="Arial" w:cs="Arial"/>
        </w:rPr>
        <w:t xml:space="preserve"> </w:t>
      </w:r>
      <w:r w:rsidRPr="003C2C1F">
        <w:rPr>
          <w:rStyle w:val="normaltextrun"/>
          <w:rFonts w:ascii="Arial" w:hAnsi="Arial" w:cs="Arial"/>
        </w:rPr>
        <w:t xml:space="preserve">S en C quienes fungieron como llamadas en garantía dentro la acción que en contra de la ejecutante inició el señor </w:t>
      </w:r>
      <w:proofErr w:type="spellStart"/>
      <w:r w:rsidR="0040006F" w:rsidRPr="003C2C1F">
        <w:rPr>
          <w:rStyle w:val="normaltextrun"/>
          <w:rFonts w:ascii="Arial" w:hAnsi="Arial" w:cs="Arial"/>
        </w:rPr>
        <w:t>Jhon</w:t>
      </w:r>
      <w:proofErr w:type="spellEnd"/>
      <w:r w:rsidR="0040006F" w:rsidRPr="003C2C1F">
        <w:rPr>
          <w:rStyle w:val="normaltextrun"/>
          <w:rFonts w:ascii="Arial" w:hAnsi="Arial" w:cs="Arial"/>
        </w:rPr>
        <w:t xml:space="preserve"> Jairo Mazo López</w:t>
      </w:r>
      <w:r w:rsidRPr="003C2C1F">
        <w:rPr>
          <w:rStyle w:val="normaltextrun"/>
          <w:rFonts w:ascii="Arial" w:hAnsi="Arial" w:cs="Arial"/>
        </w:rPr>
        <w:t xml:space="preserve">.  La obligación cobrada por </w:t>
      </w:r>
      <w:r w:rsidR="331F9A9A" w:rsidRPr="003C2C1F">
        <w:rPr>
          <w:rStyle w:val="normaltextrun"/>
          <w:rFonts w:ascii="Arial" w:hAnsi="Arial" w:cs="Arial"/>
        </w:rPr>
        <w:t>esta vía</w:t>
      </w:r>
      <w:r w:rsidRPr="003C2C1F">
        <w:rPr>
          <w:rStyle w:val="normaltextrun"/>
          <w:rFonts w:ascii="Arial" w:hAnsi="Arial" w:cs="Arial"/>
        </w:rPr>
        <w:t xml:space="preserve"> es el monto liquidado y aprobado a título de agencias en derecho a favor de Megabus S.A. y en contra de las referidas sociedades.</w:t>
      </w:r>
      <w:r w:rsidRPr="003C2C1F">
        <w:rPr>
          <w:rStyle w:val="eop"/>
          <w:rFonts w:ascii="Arial" w:hAnsi="Arial" w:cs="Arial"/>
        </w:rPr>
        <w:t> </w:t>
      </w:r>
    </w:p>
    <w:p w:rsidR="002A7F10" w:rsidRPr="003C2C1F" w:rsidRDefault="002A7F10" w:rsidP="003C2C1F">
      <w:pPr>
        <w:pStyle w:val="paragraph"/>
        <w:spacing w:before="0" w:beforeAutospacing="0" w:after="0" w:afterAutospacing="0" w:line="276" w:lineRule="auto"/>
        <w:jc w:val="both"/>
        <w:textAlignment w:val="baseline"/>
        <w:rPr>
          <w:rFonts w:ascii="Arial" w:hAnsi="Arial" w:cs="Arial"/>
        </w:rPr>
      </w:pPr>
      <w:r w:rsidRPr="003C2C1F">
        <w:rPr>
          <w:rStyle w:val="eop"/>
          <w:rFonts w:ascii="Arial" w:hAnsi="Arial" w:cs="Arial"/>
        </w:rPr>
        <w:t> </w:t>
      </w:r>
    </w:p>
    <w:p w:rsidR="002A7F10" w:rsidRPr="003C2C1F" w:rsidRDefault="002A7F10" w:rsidP="003C2C1F">
      <w:pPr>
        <w:pStyle w:val="paragraph"/>
        <w:spacing w:before="0" w:beforeAutospacing="0" w:after="0" w:afterAutospacing="0" w:line="276" w:lineRule="auto"/>
        <w:jc w:val="both"/>
        <w:textAlignment w:val="baseline"/>
        <w:rPr>
          <w:rFonts w:ascii="Arial" w:hAnsi="Arial" w:cs="Arial"/>
        </w:rPr>
      </w:pPr>
      <w:r w:rsidRPr="003C2C1F">
        <w:rPr>
          <w:rStyle w:val="normaltextrun"/>
          <w:rFonts w:ascii="Arial" w:hAnsi="Arial" w:cs="Arial"/>
        </w:rPr>
        <w:t>La controversia en este asunto gira alrededor de la medida cautelar formulada por la ejecutante, la cual consiste en el “</w:t>
      </w:r>
      <w:r w:rsidRPr="001007A8">
        <w:rPr>
          <w:rStyle w:val="normaltextrun"/>
          <w:rFonts w:ascii="Arial" w:hAnsi="Arial" w:cs="Arial"/>
          <w:i/>
          <w:iCs/>
          <w:sz w:val="22"/>
        </w:rPr>
        <w:t xml:space="preserve">embargo </w:t>
      </w:r>
      <w:r w:rsidR="007E6802" w:rsidRPr="001007A8">
        <w:rPr>
          <w:rStyle w:val="normaltextrun"/>
          <w:rFonts w:ascii="Arial" w:hAnsi="Arial" w:cs="Arial"/>
          <w:i/>
          <w:iCs/>
          <w:sz w:val="22"/>
        </w:rPr>
        <w:t xml:space="preserve">y retención </w:t>
      </w:r>
      <w:r w:rsidRPr="001007A8">
        <w:rPr>
          <w:rStyle w:val="normaltextrun"/>
          <w:rFonts w:ascii="Arial" w:hAnsi="Arial" w:cs="Arial"/>
          <w:i/>
          <w:iCs/>
          <w:sz w:val="22"/>
        </w:rPr>
        <w:t xml:space="preserve">de los dineros y/o derechos económicos que </w:t>
      </w:r>
      <w:r w:rsidR="007E6802" w:rsidRPr="001007A8">
        <w:rPr>
          <w:rStyle w:val="normaltextrun"/>
          <w:rFonts w:ascii="Arial" w:hAnsi="Arial" w:cs="Arial"/>
          <w:i/>
          <w:iCs/>
          <w:sz w:val="22"/>
        </w:rPr>
        <w:t>tenga la sociedad</w:t>
      </w:r>
      <w:r w:rsidRPr="001007A8">
        <w:rPr>
          <w:rStyle w:val="normaltextrun"/>
          <w:rFonts w:ascii="Arial" w:hAnsi="Arial" w:cs="Arial"/>
          <w:i/>
          <w:iCs/>
          <w:sz w:val="22"/>
        </w:rPr>
        <w:t xml:space="preserve"> SI 99 S.A. </w:t>
      </w:r>
      <w:r w:rsidR="007E6802" w:rsidRPr="001007A8">
        <w:rPr>
          <w:rStyle w:val="normaltextrun"/>
          <w:rFonts w:ascii="Arial" w:hAnsi="Arial" w:cs="Arial"/>
          <w:i/>
          <w:iCs/>
          <w:sz w:val="22"/>
        </w:rPr>
        <w:t xml:space="preserve">identificada con </w:t>
      </w:r>
      <w:proofErr w:type="spellStart"/>
      <w:r w:rsidR="007E6802" w:rsidRPr="001007A8">
        <w:rPr>
          <w:rStyle w:val="normaltextrun"/>
          <w:rFonts w:ascii="Arial" w:hAnsi="Arial" w:cs="Arial"/>
          <w:i/>
          <w:iCs/>
          <w:sz w:val="22"/>
        </w:rPr>
        <w:t>Nit</w:t>
      </w:r>
      <w:proofErr w:type="spellEnd"/>
      <w:r w:rsidR="007E6802" w:rsidRPr="001007A8">
        <w:rPr>
          <w:rStyle w:val="normaltextrun"/>
          <w:rFonts w:ascii="Arial" w:hAnsi="Arial" w:cs="Arial"/>
          <w:i/>
          <w:iCs/>
          <w:sz w:val="22"/>
        </w:rPr>
        <w:t xml:space="preserve"> 830.060.151-1 </w:t>
      </w:r>
      <w:r w:rsidRPr="001007A8">
        <w:rPr>
          <w:rStyle w:val="normaltextrun"/>
          <w:rFonts w:ascii="Arial" w:hAnsi="Arial" w:cs="Arial"/>
          <w:i/>
          <w:iCs/>
          <w:sz w:val="22"/>
        </w:rPr>
        <w:t xml:space="preserve">en calidad de fideicomitente y/o beneficiario del fideicomiso, en la entidad bancaria </w:t>
      </w:r>
      <w:proofErr w:type="spellStart"/>
      <w:r w:rsidRPr="001007A8">
        <w:rPr>
          <w:rStyle w:val="normaltextrun"/>
          <w:rFonts w:ascii="Arial" w:hAnsi="Arial" w:cs="Arial"/>
          <w:i/>
          <w:iCs/>
          <w:sz w:val="22"/>
        </w:rPr>
        <w:t>Servitrus</w:t>
      </w:r>
      <w:proofErr w:type="spellEnd"/>
      <w:r w:rsidRPr="001007A8">
        <w:rPr>
          <w:rStyle w:val="normaltextrun"/>
          <w:rFonts w:ascii="Arial" w:hAnsi="Arial" w:cs="Arial"/>
          <w:i/>
          <w:iCs/>
          <w:sz w:val="22"/>
        </w:rPr>
        <w:t xml:space="preserve"> GNB </w:t>
      </w:r>
      <w:proofErr w:type="spellStart"/>
      <w:r w:rsidRPr="001007A8">
        <w:rPr>
          <w:rStyle w:val="normaltextrun"/>
          <w:rFonts w:ascii="Arial" w:hAnsi="Arial" w:cs="Arial"/>
          <w:i/>
          <w:iCs/>
          <w:sz w:val="22"/>
        </w:rPr>
        <w:t>Sudarameris</w:t>
      </w:r>
      <w:proofErr w:type="spellEnd"/>
      <w:r w:rsidRPr="001007A8">
        <w:rPr>
          <w:rStyle w:val="normaltextrun"/>
          <w:rFonts w:ascii="Arial" w:hAnsi="Arial" w:cs="Arial"/>
          <w:i/>
          <w:iCs/>
          <w:sz w:val="22"/>
        </w:rPr>
        <w:t xml:space="preserve"> S.A</w:t>
      </w:r>
      <w:r w:rsidR="001007A8">
        <w:rPr>
          <w:rStyle w:val="normaltextrun"/>
          <w:rFonts w:ascii="Arial" w:hAnsi="Arial" w:cs="Arial"/>
          <w:i/>
          <w:iCs/>
        </w:rPr>
        <w:t>.</w:t>
      </w:r>
      <w:r w:rsidRPr="003C2C1F">
        <w:rPr>
          <w:rStyle w:val="normaltextrun"/>
          <w:rFonts w:ascii="Arial" w:hAnsi="Arial" w:cs="Arial"/>
          <w:i/>
          <w:iCs/>
        </w:rPr>
        <w:t>”</w:t>
      </w:r>
      <w:r w:rsidRPr="003C2C1F">
        <w:rPr>
          <w:rStyle w:val="normaltextrun"/>
          <w:rFonts w:ascii="Arial" w:hAnsi="Arial" w:cs="Arial"/>
        </w:rPr>
        <w:t>.</w:t>
      </w:r>
      <w:r w:rsidRPr="003C2C1F">
        <w:rPr>
          <w:rStyle w:val="eop"/>
          <w:rFonts w:ascii="Arial" w:hAnsi="Arial" w:cs="Arial"/>
        </w:rPr>
        <w:t> </w:t>
      </w:r>
    </w:p>
    <w:p w:rsidR="00511029" w:rsidRPr="003C2C1F" w:rsidRDefault="00511029" w:rsidP="003C2C1F">
      <w:pPr>
        <w:spacing w:line="276" w:lineRule="auto"/>
        <w:jc w:val="both"/>
        <w:rPr>
          <w:rFonts w:ascii="Arial" w:hAnsi="Arial" w:cs="Arial"/>
          <w:sz w:val="24"/>
          <w:szCs w:val="24"/>
        </w:rPr>
      </w:pPr>
    </w:p>
    <w:p w:rsidR="00511029" w:rsidRPr="003C2C1F" w:rsidRDefault="00511029" w:rsidP="003C2C1F">
      <w:pPr>
        <w:spacing w:line="276" w:lineRule="auto"/>
        <w:jc w:val="both"/>
        <w:rPr>
          <w:rFonts w:ascii="Arial" w:hAnsi="Arial" w:cs="Arial"/>
          <w:sz w:val="24"/>
          <w:szCs w:val="24"/>
        </w:rPr>
      </w:pPr>
      <w:r w:rsidRPr="003C2C1F">
        <w:rPr>
          <w:rFonts w:ascii="Arial" w:hAnsi="Arial" w:cs="Arial"/>
          <w:sz w:val="24"/>
          <w:szCs w:val="24"/>
        </w:rPr>
        <w:t xml:space="preserve">No obstante ello, observa la Sala que la </w:t>
      </w:r>
      <w:r w:rsidR="3CEDF09A" w:rsidRPr="003C2C1F">
        <w:rPr>
          <w:rFonts w:ascii="Arial" w:hAnsi="Arial" w:cs="Arial"/>
          <w:sz w:val="24"/>
          <w:szCs w:val="24"/>
        </w:rPr>
        <w:t xml:space="preserve">solicitud de la </w:t>
      </w:r>
      <w:r w:rsidRPr="003C2C1F">
        <w:rPr>
          <w:rFonts w:ascii="Arial" w:hAnsi="Arial" w:cs="Arial"/>
          <w:sz w:val="24"/>
          <w:szCs w:val="24"/>
        </w:rPr>
        <w:t xml:space="preserve">medida no reúne los requisitos previstos en el artículo 101 del Código Procesal del Trabajo y la Seguridad </w:t>
      </w:r>
      <w:r w:rsidRPr="003C2C1F">
        <w:rPr>
          <w:rFonts w:ascii="Arial" w:hAnsi="Arial" w:cs="Arial"/>
          <w:sz w:val="24"/>
          <w:szCs w:val="24"/>
        </w:rPr>
        <w:lastRenderedPageBreak/>
        <w:t xml:space="preserve">Social previamente señalado, pues adolece de la manifestación hecha bajo la gravedad del juramento </w:t>
      </w:r>
      <w:r w:rsidR="0A567518" w:rsidRPr="003C2C1F">
        <w:rPr>
          <w:rFonts w:ascii="Arial" w:hAnsi="Arial" w:cs="Arial"/>
          <w:sz w:val="24"/>
          <w:szCs w:val="24"/>
        </w:rPr>
        <w:t xml:space="preserve">relativa a </w:t>
      </w:r>
      <w:r w:rsidRPr="003C2C1F">
        <w:rPr>
          <w:rFonts w:ascii="Arial" w:hAnsi="Arial" w:cs="Arial"/>
          <w:sz w:val="24"/>
          <w:szCs w:val="24"/>
        </w:rPr>
        <w:t xml:space="preserve">que los </w:t>
      </w:r>
      <w:r w:rsidR="0087445A" w:rsidRPr="003C2C1F">
        <w:rPr>
          <w:rFonts w:ascii="Arial" w:hAnsi="Arial" w:cs="Arial"/>
          <w:sz w:val="24"/>
          <w:szCs w:val="24"/>
        </w:rPr>
        <w:t xml:space="preserve">recursos perseguidos </w:t>
      </w:r>
      <w:r w:rsidRPr="003C2C1F">
        <w:rPr>
          <w:rFonts w:ascii="Arial" w:hAnsi="Arial" w:cs="Arial"/>
          <w:sz w:val="24"/>
          <w:szCs w:val="24"/>
        </w:rPr>
        <w:t>son propiedad de la ejecutada.</w:t>
      </w:r>
    </w:p>
    <w:p w:rsidR="00231305" w:rsidRPr="003C2C1F" w:rsidRDefault="00231305" w:rsidP="003C2C1F">
      <w:pPr>
        <w:spacing w:line="276" w:lineRule="auto"/>
        <w:jc w:val="both"/>
        <w:rPr>
          <w:rFonts w:ascii="Arial" w:hAnsi="Arial" w:cs="Arial"/>
          <w:sz w:val="24"/>
          <w:szCs w:val="24"/>
        </w:rPr>
      </w:pPr>
    </w:p>
    <w:p w:rsidR="00E15A33" w:rsidRPr="003C2C1F" w:rsidRDefault="00231305" w:rsidP="003C2C1F">
      <w:pPr>
        <w:spacing w:line="276" w:lineRule="auto"/>
        <w:jc w:val="both"/>
        <w:rPr>
          <w:rFonts w:ascii="Arial" w:hAnsi="Arial" w:cs="Arial"/>
          <w:sz w:val="24"/>
          <w:szCs w:val="24"/>
        </w:rPr>
      </w:pPr>
      <w:r w:rsidRPr="003C2C1F">
        <w:rPr>
          <w:rFonts w:ascii="Arial" w:hAnsi="Arial" w:cs="Arial"/>
          <w:sz w:val="24"/>
          <w:szCs w:val="24"/>
        </w:rPr>
        <w:t xml:space="preserve">De acuerdo con lo expuesto, infructuoso sería definir en esta etapa la procedencia de la medida si ninguna certeza acompaña a la Sala respecto a la titularidad de los bienes a embargar por parte de Sistema </w:t>
      </w:r>
      <w:r w:rsidR="00D37510" w:rsidRPr="003C2C1F">
        <w:rPr>
          <w:rFonts w:ascii="Arial" w:hAnsi="Arial" w:cs="Arial"/>
          <w:sz w:val="24"/>
          <w:szCs w:val="24"/>
        </w:rPr>
        <w:t xml:space="preserve">Integrado </w:t>
      </w:r>
      <w:r w:rsidRPr="003C2C1F">
        <w:rPr>
          <w:rFonts w:ascii="Arial" w:hAnsi="Arial" w:cs="Arial"/>
          <w:sz w:val="24"/>
          <w:szCs w:val="24"/>
        </w:rPr>
        <w:t>de Transporte SI 99 S.A.</w:t>
      </w:r>
    </w:p>
    <w:p w:rsidR="00231305" w:rsidRPr="003C2C1F" w:rsidRDefault="00231305" w:rsidP="003C2C1F">
      <w:pPr>
        <w:spacing w:line="276" w:lineRule="auto"/>
        <w:jc w:val="both"/>
        <w:rPr>
          <w:rFonts w:ascii="Arial" w:hAnsi="Arial" w:cs="Arial"/>
          <w:sz w:val="24"/>
          <w:szCs w:val="24"/>
        </w:rPr>
      </w:pPr>
    </w:p>
    <w:p w:rsidR="00231305" w:rsidRPr="003C2C1F" w:rsidRDefault="00231305" w:rsidP="003C2C1F">
      <w:pPr>
        <w:spacing w:line="276" w:lineRule="auto"/>
        <w:jc w:val="both"/>
        <w:rPr>
          <w:rFonts w:ascii="Arial" w:hAnsi="Arial" w:cs="Arial"/>
          <w:sz w:val="24"/>
          <w:szCs w:val="24"/>
        </w:rPr>
      </w:pPr>
      <w:r w:rsidRPr="003C2C1F">
        <w:rPr>
          <w:rFonts w:ascii="Arial" w:hAnsi="Arial" w:cs="Arial"/>
          <w:sz w:val="24"/>
          <w:szCs w:val="24"/>
        </w:rPr>
        <w:t>En el anterior orden de ideas, se mantendrá la negativa de decretar el embargo solicitado por la parte ejecutante, pero por las razones consignadas en esta decisión.</w:t>
      </w:r>
    </w:p>
    <w:p w:rsidR="00231305" w:rsidRPr="003C2C1F" w:rsidRDefault="00231305" w:rsidP="003C2C1F">
      <w:pPr>
        <w:spacing w:line="276" w:lineRule="auto"/>
        <w:jc w:val="both"/>
        <w:rPr>
          <w:rFonts w:ascii="Arial" w:hAnsi="Arial" w:cs="Arial"/>
          <w:sz w:val="24"/>
          <w:szCs w:val="24"/>
        </w:rPr>
      </w:pPr>
    </w:p>
    <w:p w:rsidR="00231305" w:rsidRPr="003C2C1F" w:rsidRDefault="00231305" w:rsidP="003C2C1F">
      <w:pPr>
        <w:spacing w:line="276" w:lineRule="auto"/>
        <w:jc w:val="both"/>
        <w:rPr>
          <w:rFonts w:ascii="Arial" w:hAnsi="Arial" w:cs="Arial"/>
          <w:sz w:val="24"/>
          <w:szCs w:val="24"/>
        </w:rPr>
      </w:pPr>
      <w:r w:rsidRPr="003C2C1F">
        <w:rPr>
          <w:rFonts w:ascii="Arial" w:hAnsi="Arial" w:cs="Arial"/>
          <w:sz w:val="24"/>
          <w:szCs w:val="24"/>
        </w:rPr>
        <w:t>Costas en esta Sede a cargo de la recurrente.</w:t>
      </w:r>
    </w:p>
    <w:p w:rsidR="00231305" w:rsidRPr="003C2C1F" w:rsidRDefault="00231305" w:rsidP="003C2C1F">
      <w:pPr>
        <w:spacing w:line="276" w:lineRule="auto"/>
        <w:jc w:val="both"/>
        <w:rPr>
          <w:rFonts w:ascii="Arial" w:hAnsi="Arial" w:cs="Arial"/>
          <w:sz w:val="24"/>
          <w:szCs w:val="24"/>
        </w:rPr>
      </w:pPr>
    </w:p>
    <w:p w:rsidR="00231305" w:rsidRPr="003C2C1F" w:rsidRDefault="00231305" w:rsidP="003C2C1F">
      <w:pPr>
        <w:pStyle w:val="Textoindependiente"/>
        <w:spacing w:line="276" w:lineRule="auto"/>
        <w:rPr>
          <w:rFonts w:cs="Arial"/>
          <w:sz w:val="24"/>
          <w:szCs w:val="24"/>
        </w:rPr>
      </w:pPr>
      <w:r w:rsidRPr="003C2C1F">
        <w:rPr>
          <w:rFonts w:cs="Arial"/>
          <w:sz w:val="24"/>
          <w:szCs w:val="24"/>
        </w:rPr>
        <w:t xml:space="preserve">En mérito de lo expuesto, la </w:t>
      </w:r>
      <w:r w:rsidRPr="003C2C1F">
        <w:rPr>
          <w:rFonts w:cs="Arial"/>
          <w:bCs/>
          <w:sz w:val="24"/>
          <w:szCs w:val="24"/>
        </w:rPr>
        <w:t>Sala de Decisión Laboral del Tribunal Superior del Distrito Judicial de Pereira</w:t>
      </w:r>
      <w:r w:rsidRPr="003C2C1F">
        <w:rPr>
          <w:rFonts w:cs="Arial"/>
          <w:sz w:val="24"/>
          <w:szCs w:val="24"/>
        </w:rPr>
        <w:t xml:space="preserve">, </w:t>
      </w:r>
    </w:p>
    <w:p w:rsidR="00231305" w:rsidRPr="003C2C1F" w:rsidRDefault="00231305" w:rsidP="003C2C1F">
      <w:pPr>
        <w:pStyle w:val="Textoindependiente"/>
        <w:spacing w:line="276" w:lineRule="auto"/>
        <w:jc w:val="center"/>
        <w:rPr>
          <w:rFonts w:cs="Arial"/>
          <w:b/>
          <w:sz w:val="24"/>
          <w:szCs w:val="24"/>
        </w:rPr>
      </w:pPr>
    </w:p>
    <w:p w:rsidR="00231305" w:rsidRPr="003C2C1F" w:rsidRDefault="00231305" w:rsidP="003C2C1F">
      <w:pPr>
        <w:pStyle w:val="Textoindependiente"/>
        <w:spacing w:line="276" w:lineRule="auto"/>
        <w:jc w:val="center"/>
        <w:rPr>
          <w:rFonts w:cs="Arial"/>
          <w:b/>
          <w:sz w:val="24"/>
          <w:szCs w:val="24"/>
        </w:rPr>
      </w:pPr>
      <w:r w:rsidRPr="003C2C1F">
        <w:rPr>
          <w:rFonts w:cs="Arial"/>
          <w:b/>
          <w:sz w:val="24"/>
          <w:szCs w:val="24"/>
        </w:rPr>
        <w:t>RESUELVE</w:t>
      </w:r>
    </w:p>
    <w:p w:rsidR="00231305" w:rsidRPr="003C2C1F" w:rsidRDefault="00231305" w:rsidP="003C2C1F">
      <w:pPr>
        <w:pStyle w:val="Textoindependiente"/>
        <w:spacing w:line="276" w:lineRule="auto"/>
        <w:rPr>
          <w:rFonts w:cs="Arial"/>
          <w:sz w:val="24"/>
          <w:szCs w:val="24"/>
        </w:rPr>
      </w:pPr>
    </w:p>
    <w:p w:rsidR="00231305" w:rsidRPr="003C2C1F" w:rsidRDefault="00231305" w:rsidP="003C2C1F">
      <w:pPr>
        <w:widowControl w:val="0"/>
        <w:autoSpaceDE w:val="0"/>
        <w:autoSpaceDN w:val="0"/>
        <w:adjustRightInd w:val="0"/>
        <w:spacing w:line="276" w:lineRule="auto"/>
        <w:jc w:val="both"/>
        <w:rPr>
          <w:rFonts w:ascii="Arial" w:hAnsi="Arial" w:cs="Arial"/>
          <w:sz w:val="24"/>
          <w:szCs w:val="24"/>
        </w:rPr>
      </w:pPr>
      <w:r w:rsidRPr="003C2C1F">
        <w:rPr>
          <w:rFonts w:ascii="Arial" w:hAnsi="Arial" w:cs="Arial"/>
          <w:b/>
          <w:sz w:val="24"/>
          <w:szCs w:val="24"/>
        </w:rPr>
        <w:t>CONFIRMAR</w:t>
      </w:r>
      <w:r w:rsidRPr="003C2C1F">
        <w:rPr>
          <w:rFonts w:ascii="Arial" w:hAnsi="Arial" w:cs="Arial"/>
          <w:sz w:val="24"/>
          <w:szCs w:val="24"/>
        </w:rPr>
        <w:t xml:space="preserve"> la providencia proferida por el Juzgado Quinto Laboral del Circuito el día </w:t>
      </w:r>
      <w:r w:rsidR="007E6802" w:rsidRPr="003C2C1F">
        <w:rPr>
          <w:rFonts w:ascii="Arial" w:hAnsi="Arial" w:cs="Arial"/>
          <w:sz w:val="24"/>
          <w:szCs w:val="24"/>
        </w:rPr>
        <w:t>31 de mayo</w:t>
      </w:r>
      <w:r w:rsidRPr="003C2C1F">
        <w:rPr>
          <w:rFonts w:ascii="Arial" w:hAnsi="Arial" w:cs="Arial"/>
          <w:sz w:val="24"/>
          <w:szCs w:val="24"/>
        </w:rPr>
        <w:t xml:space="preserve"> de 2021.</w:t>
      </w:r>
    </w:p>
    <w:p w:rsidR="00231305" w:rsidRPr="003C2C1F" w:rsidRDefault="00231305" w:rsidP="003C2C1F">
      <w:pPr>
        <w:widowControl w:val="0"/>
        <w:autoSpaceDE w:val="0"/>
        <w:autoSpaceDN w:val="0"/>
        <w:adjustRightInd w:val="0"/>
        <w:spacing w:line="276" w:lineRule="auto"/>
        <w:jc w:val="both"/>
        <w:rPr>
          <w:rFonts w:ascii="Arial" w:hAnsi="Arial" w:cs="Arial"/>
          <w:sz w:val="24"/>
          <w:szCs w:val="24"/>
        </w:rPr>
      </w:pPr>
    </w:p>
    <w:p w:rsidR="00231305" w:rsidRPr="003C2C1F" w:rsidRDefault="00231305" w:rsidP="003C2C1F">
      <w:pPr>
        <w:widowControl w:val="0"/>
        <w:autoSpaceDE w:val="0"/>
        <w:autoSpaceDN w:val="0"/>
        <w:adjustRightInd w:val="0"/>
        <w:spacing w:line="276" w:lineRule="auto"/>
        <w:jc w:val="both"/>
        <w:rPr>
          <w:rFonts w:ascii="Arial" w:hAnsi="Arial" w:cs="Arial"/>
          <w:sz w:val="24"/>
          <w:szCs w:val="24"/>
        </w:rPr>
      </w:pPr>
      <w:r w:rsidRPr="003C2C1F">
        <w:rPr>
          <w:rFonts w:ascii="Arial" w:hAnsi="Arial" w:cs="Arial"/>
          <w:sz w:val="24"/>
          <w:szCs w:val="24"/>
        </w:rPr>
        <w:t>Costas en esta instancia a cargo de la Sociedad Megabus S.A.</w:t>
      </w:r>
    </w:p>
    <w:p w:rsidR="00231305" w:rsidRPr="003C2C1F" w:rsidRDefault="00231305" w:rsidP="003C2C1F">
      <w:pPr>
        <w:widowControl w:val="0"/>
        <w:autoSpaceDE w:val="0"/>
        <w:autoSpaceDN w:val="0"/>
        <w:adjustRightInd w:val="0"/>
        <w:spacing w:line="276" w:lineRule="auto"/>
        <w:jc w:val="both"/>
        <w:rPr>
          <w:rFonts w:ascii="Arial" w:hAnsi="Arial" w:cs="Arial"/>
          <w:sz w:val="24"/>
          <w:szCs w:val="24"/>
        </w:rPr>
      </w:pPr>
    </w:p>
    <w:p w:rsidR="00231305" w:rsidRPr="003C2C1F" w:rsidRDefault="00231305" w:rsidP="003C2C1F">
      <w:pPr>
        <w:widowControl w:val="0"/>
        <w:autoSpaceDE w:val="0"/>
        <w:autoSpaceDN w:val="0"/>
        <w:adjustRightInd w:val="0"/>
        <w:spacing w:line="276" w:lineRule="auto"/>
        <w:jc w:val="both"/>
        <w:rPr>
          <w:rStyle w:val="normaltextrun"/>
          <w:rFonts w:ascii="Arial" w:hAnsi="Arial" w:cs="Arial"/>
          <w:sz w:val="24"/>
          <w:szCs w:val="24"/>
        </w:rPr>
      </w:pPr>
      <w:r w:rsidRPr="003C2C1F">
        <w:rPr>
          <w:rStyle w:val="normaltextrun"/>
          <w:rFonts w:ascii="Arial" w:hAnsi="Arial" w:cs="Arial"/>
          <w:sz w:val="24"/>
          <w:szCs w:val="24"/>
        </w:rPr>
        <w:t>Notifíquese por estado y comuníquese a</w:t>
      </w:r>
      <w:r w:rsidR="00D37510" w:rsidRPr="003C2C1F">
        <w:rPr>
          <w:rStyle w:val="normaltextrun"/>
          <w:rFonts w:ascii="Arial" w:hAnsi="Arial" w:cs="Arial"/>
          <w:sz w:val="24"/>
          <w:szCs w:val="24"/>
        </w:rPr>
        <w:t>l correo electrónico del apoderado de la sociedad ejecutante.</w:t>
      </w:r>
    </w:p>
    <w:p w:rsidR="00E15A33" w:rsidRPr="003C2C1F" w:rsidRDefault="00E15A33" w:rsidP="003C2C1F">
      <w:pPr>
        <w:spacing w:line="276" w:lineRule="auto"/>
        <w:ind w:right="-597"/>
        <w:rPr>
          <w:rFonts w:ascii="Arial" w:hAnsi="Arial" w:cs="Arial"/>
          <w:b/>
          <w:bCs/>
          <w:sz w:val="24"/>
          <w:szCs w:val="24"/>
        </w:rPr>
      </w:pPr>
    </w:p>
    <w:p w:rsidR="003C2C1F" w:rsidRPr="003C2C1F" w:rsidRDefault="003C2C1F" w:rsidP="003C2C1F">
      <w:pPr>
        <w:widowControl w:val="0"/>
        <w:autoSpaceDE w:val="0"/>
        <w:autoSpaceDN w:val="0"/>
        <w:adjustRightInd w:val="0"/>
        <w:spacing w:line="276" w:lineRule="auto"/>
        <w:jc w:val="both"/>
        <w:rPr>
          <w:rStyle w:val="normaltextrun"/>
          <w:sz w:val="24"/>
          <w:szCs w:val="24"/>
        </w:rPr>
      </w:pPr>
      <w:bookmarkStart w:id="3" w:name="_Hlk97906865"/>
      <w:r w:rsidRPr="003C2C1F">
        <w:rPr>
          <w:rStyle w:val="normaltextrun"/>
          <w:rFonts w:ascii="Arial" w:hAnsi="Arial" w:cs="Arial"/>
          <w:sz w:val="24"/>
          <w:szCs w:val="24"/>
        </w:rPr>
        <w:t>Quienes Integran la Sala,</w:t>
      </w:r>
    </w:p>
    <w:p w:rsidR="003C2C1F" w:rsidRPr="003C2C1F" w:rsidRDefault="003C2C1F" w:rsidP="003C2C1F">
      <w:pPr>
        <w:widowControl w:val="0"/>
        <w:autoSpaceDE w:val="0"/>
        <w:autoSpaceDN w:val="0"/>
        <w:adjustRightInd w:val="0"/>
        <w:spacing w:line="276" w:lineRule="auto"/>
        <w:jc w:val="both"/>
        <w:rPr>
          <w:rStyle w:val="normaltextrun"/>
          <w:sz w:val="24"/>
          <w:szCs w:val="24"/>
        </w:rPr>
      </w:pPr>
    </w:p>
    <w:p w:rsidR="003C2C1F" w:rsidRPr="003C2C1F" w:rsidRDefault="003C2C1F" w:rsidP="003C2C1F">
      <w:pPr>
        <w:widowControl w:val="0"/>
        <w:autoSpaceDE w:val="0"/>
        <w:autoSpaceDN w:val="0"/>
        <w:adjustRightInd w:val="0"/>
        <w:spacing w:line="276" w:lineRule="auto"/>
        <w:jc w:val="both"/>
        <w:rPr>
          <w:rStyle w:val="normaltextrun"/>
          <w:sz w:val="24"/>
          <w:szCs w:val="24"/>
        </w:rPr>
      </w:pPr>
    </w:p>
    <w:p w:rsidR="003C2C1F" w:rsidRPr="003C2C1F" w:rsidRDefault="003C2C1F" w:rsidP="003C2C1F">
      <w:pPr>
        <w:widowControl w:val="0"/>
        <w:autoSpaceDE w:val="0"/>
        <w:autoSpaceDN w:val="0"/>
        <w:adjustRightInd w:val="0"/>
        <w:spacing w:line="276" w:lineRule="auto"/>
        <w:jc w:val="both"/>
        <w:rPr>
          <w:rStyle w:val="normaltextrun"/>
          <w:sz w:val="24"/>
          <w:szCs w:val="24"/>
        </w:rPr>
      </w:pPr>
    </w:p>
    <w:p w:rsidR="003C2C1F" w:rsidRPr="007C5A32" w:rsidRDefault="003C2C1F" w:rsidP="003C2C1F">
      <w:pPr>
        <w:pStyle w:val="paragraph"/>
        <w:spacing w:before="0" w:beforeAutospacing="0" w:after="0" w:afterAutospacing="0" w:line="276" w:lineRule="auto"/>
        <w:jc w:val="center"/>
        <w:textAlignment w:val="baseline"/>
        <w:rPr>
          <w:rStyle w:val="eop"/>
          <w:rFonts w:ascii="Arial" w:hAnsi="Arial" w:cs="Arial"/>
          <w:b/>
          <w:bCs/>
        </w:rPr>
      </w:pPr>
      <w:r w:rsidRPr="007C5A32">
        <w:rPr>
          <w:rStyle w:val="eop"/>
          <w:rFonts w:ascii="Arial" w:hAnsi="Arial" w:cs="Arial"/>
          <w:b/>
          <w:bCs/>
        </w:rPr>
        <w:t>JULIO CÉSAR SALAZAR MUÑOZ</w:t>
      </w:r>
    </w:p>
    <w:p w:rsidR="003C2C1F" w:rsidRPr="00B62C35" w:rsidRDefault="003C2C1F" w:rsidP="003C2C1F">
      <w:pPr>
        <w:pStyle w:val="paragraph"/>
        <w:spacing w:before="0" w:beforeAutospacing="0" w:after="0" w:afterAutospacing="0" w:line="276" w:lineRule="auto"/>
        <w:jc w:val="center"/>
        <w:textAlignment w:val="baseline"/>
        <w:rPr>
          <w:rStyle w:val="eop"/>
          <w:lang w:val="es-CO" w:eastAsia="es-CO"/>
        </w:rPr>
      </w:pPr>
      <w:r w:rsidRPr="007C5A32">
        <w:rPr>
          <w:rStyle w:val="eop"/>
          <w:rFonts w:ascii="Arial" w:hAnsi="Arial" w:cs="Arial"/>
        </w:rPr>
        <w:t>Magistrado Ponente</w:t>
      </w:r>
    </w:p>
    <w:p w:rsidR="003C2C1F" w:rsidRDefault="003C2C1F" w:rsidP="003C2C1F">
      <w:pPr>
        <w:jc w:val="center"/>
        <w:textAlignment w:val="baseline"/>
        <w:rPr>
          <w:rFonts w:ascii="Arial" w:hAnsi="Arial" w:cs="Arial"/>
          <w:sz w:val="24"/>
          <w:szCs w:val="24"/>
          <w:lang w:eastAsia="es-CO"/>
        </w:rPr>
      </w:pPr>
    </w:p>
    <w:p w:rsidR="003C2C1F" w:rsidRPr="00BF3A49" w:rsidRDefault="003C2C1F" w:rsidP="003C2C1F">
      <w:pPr>
        <w:spacing w:line="276" w:lineRule="auto"/>
        <w:jc w:val="center"/>
        <w:textAlignment w:val="baseline"/>
        <w:rPr>
          <w:rFonts w:ascii="Arial" w:hAnsi="Arial" w:cs="Arial"/>
          <w:sz w:val="24"/>
          <w:szCs w:val="24"/>
          <w:lang w:val="es-CO" w:eastAsia="es-CO"/>
        </w:rPr>
      </w:pPr>
    </w:p>
    <w:p w:rsidR="003C2C1F" w:rsidRPr="00BF3A49" w:rsidRDefault="003C2C1F" w:rsidP="003C2C1F">
      <w:pPr>
        <w:spacing w:line="276" w:lineRule="auto"/>
        <w:jc w:val="center"/>
        <w:textAlignment w:val="baseline"/>
        <w:rPr>
          <w:rFonts w:ascii="Arial" w:hAnsi="Arial" w:cs="Arial"/>
          <w:sz w:val="24"/>
          <w:szCs w:val="24"/>
          <w:lang w:val="es-CO" w:eastAsia="es-CO"/>
        </w:rPr>
      </w:pPr>
    </w:p>
    <w:p w:rsidR="003C2C1F" w:rsidRPr="00B62C35" w:rsidRDefault="003C2C1F" w:rsidP="003C2C1F">
      <w:pPr>
        <w:pStyle w:val="paragraph"/>
        <w:spacing w:before="0" w:beforeAutospacing="0" w:after="0" w:afterAutospacing="0" w:line="276" w:lineRule="auto"/>
        <w:jc w:val="center"/>
        <w:textAlignment w:val="baseline"/>
        <w:rPr>
          <w:rStyle w:val="eop"/>
          <w:rFonts w:ascii="Arial" w:hAnsi="Arial" w:cs="Arial"/>
          <w:b/>
          <w:bCs/>
          <w:lang w:val="es-CO" w:eastAsia="es-CO"/>
        </w:rPr>
      </w:pPr>
      <w:r w:rsidRPr="00B62C35">
        <w:rPr>
          <w:rStyle w:val="eop"/>
          <w:rFonts w:ascii="Arial" w:hAnsi="Arial" w:cs="Arial"/>
          <w:b/>
          <w:bCs/>
          <w:lang w:val="es-CO" w:eastAsia="es-CO"/>
        </w:rPr>
        <w:t>ANA LUCÍA CAICEDO CALDERÓN</w:t>
      </w:r>
    </w:p>
    <w:p w:rsidR="003C2C1F" w:rsidRPr="00B62C35" w:rsidRDefault="003C2C1F" w:rsidP="003C2C1F">
      <w:pPr>
        <w:pStyle w:val="paragraph"/>
        <w:spacing w:before="0" w:beforeAutospacing="0" w:after="0" w:afterAutospacing="0" w:line="276" w:lineRule="auto"/>
        <w:jc w:val="center"/>
        <w:textAlignment w:val="baseline"/>
        <w:rPr>
          <w:rStyle w:val="eop"/>
          <w:rFonts w:ascii="Arial" w:hAnsi="Arial" w:cs="Arial"/>
          <w:lang w:val="es-CO" w:eastAsia="es-CO"/>
        </w:rPr>
      </w:pPr>
      <w:r w:rsidRPr="00B62C35">
        <w:rPr>
          <w:rStyle w:val="eop"/>
          <w:rFonts w:ascii="Arial" w:hAnsi="Arial" w:cs="Arial"/>
          <w:lang w:val="es-CO" w:eastAsia="es-CO"/>
        </w:rPr>
        <w:t>Magistrada</w:t>
      </w:r>
    </w:p>
    <w:p w:rsidR="003C2C1F" w:rsidRPr="007C5A32" w:rsidRDefault="003C2C1F" w:rsidP="003C2C1F">
      <w:pPr>
        <w:pStyle w:val="paragraph"/>
        <w:spacing w:before="0" w:beforeAutospacing="0" w:after="0" w:afterAutospacing="0" w:line="276" w:lineRule="auto"/>
        <w:jc w:val="center"/>
        <w:textAlignment w:val="baseline"/>
        <w:rPr>
          <w:rStyle w:val="eop"/>
          <w:rFonts w:ascii="Arial" w:hAnsi="Arial" w:cs="Arial"/>
        </w:rPr>
      </w:pPr>
    </w:p>
    <w:p w:rsidR="003C2C1F" w:rsidRPr="007C5A32" w:rsidRDefault="003C2C1F" w:rsidP="003C2C1F">
      <w:pPr>
        <w:pStyle w:val="paragraph"/>
        <w:spacing w:before="0" w:beforeAutospacing="0" w:after="0" w:afterAutospacing="0" w:line="276" w:lineRule="auto"/>
        <w:jc w:val="center"/>
        <w:textAlignment w:val="baseline"/>
        <w:rPr>
          <w:rStyle w:val="eop"/>
          <w:rFonts w:ascii="Arial" w:hAnsi="Arial" w:cs="Arial"/>
        </w:rPr>
      </w:pPr>
    </w:p>
    <w:p w:rsidR="003C2C1F" w:rsidRPr="007C5A32" w:rsidRDefault="003C2C1F" w:rsidP="003C2C1F">
      <w:pPr>
        <w:pStyle w:val="paragraph"/>
        <w:spacing w:before="0" w:beforeAutospacing="0" w:after="0" w:afterAutospacing="0" w:line="276" w:lineRule="auto"/>
        <w:jc w:val="center"/>
        <w:textAlignment w:val="baseline"/>
        <w:rPr>
          <w:rStyle w:val="eop"/>
          <w:rFonts w:ascii="Arial" w:hAnsi="Arial" w:cs="Arial"/>
        </w:rPr>
      </w:pPr>
    </w:p>
    <w:p w:rsidR="003C2C1F" w:rsidRPr="007C5A32" w:rsidRDefault="003C2C1F" w:rsidP="003C2C1F">
      <w:pPr>
        <w:pStyle w:val="paragraph"/>
        <w:spacing w:before="0" w:beforeAutospacing="0" w:after="0" w:afterAutospacing="0" w:line="276" w:lineRule="auto"/>
        <w:jc w:val="center"/>
        <w:textAlignment w:val="baseline"/>
        <w:rPr>
          <w:rStyle w:val="eop"/>
          <w:rFonts w:ascii="Arial" w:hAnsi="Arial" w:cs="Arial"/>
          <w:b/>
          <w:bCs/>
        </w:rPr>
      </w:pPr>
      <w:r w:rsidRPr="007C5A32">
        <w:rPr>
          <w:rStyle w:val="eop"/>
          <w:rFonts w:ascii="Arial" w:hAnsi="Arial" w:cs="Arial"/>
          <w:b/>
          <w:bCs/>
        </w:rPr>
        <w:t>GERMÁN DARÍO GÓEZ VINASCO</w:t>
      </w:r>
    </w:p>
    <w:p w:rsidR="00A07646" w:rsidRPr="003C2C1F" w:rsidRDefault="003C2C1F" w:rsidP="003C2C1F">
      <w:pPr>
        <w:pStyle w:val="paragraph"/>
        <w:spacing w:before="0" w:beforeAutospacing="0" w:after="0" w:afterAutospacing="0" w:line="276" w:lineRule="auto"/>
        <w:jc w:val="center"/>
        <w:textAlignment w:val="baseline"/>
        <w:rPr>
          <w:rFonts w:ascii="Arial" w:hAnsi="Arial" w:cs="Arial"/>
        </w:rPr>
      </w:pPr>
      <w:r w:rsidRPr="007C5A32">
        <w:rPr>
          <w:rStyle w:val="eop"/>
          <w:rFonts w:ascii="Arial" w:hAnsi="Arial" w:cs="Arial"/>
        </w:rPr>
        <w:t>Magistrado</w:t>
      </w:r>
      <w:bookmarkEnd w:id="3"/>
    </w:p>
    <w:sectPr w:rsidR="00A07646" w:rsidRPr="003C2C1F" w:rsidSect="001007A8">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626B596" w16cex:dateUtc="2021-12-07T17:05:09.655Z"/>
  <w16cex:commentExtensible w16cex:durableId="7748E0F1" w16cex:dateUtc="2021-12-28T15:34:38.368Z"/>
  <w16cex:commentExtensible w16cex:durableId="274596B9" w16cex:dateUtc="2021-12-28T15:41:03.366Z"/>
  <w16cex:commentExtensible w16cex:durableId="7CEA2E31" w16cex:dateUtc="2022-02-02T13:44:34.819Z"/>
  <w16cex:commentExtensible w16cex:durableId="72703311" w16cex:dateUtc="2022-02-07T20:00:27.904Z"/>
  <w16cex:commentExtensible w16cex:durableId="363B5FDE" w16cex:dateUtc="2022-02-09T16:11:04.443Z"/>
  <w16cex:commentExtensible w16cex:durableId="0164445C" w16cex:dateUtc="2022-02-14T17:33:37.12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1E41" w:rsidRDefault="008F1E41" w:rsidP="00E15A33">
      <w:r>
        <w:separator/>
      </w:r>
    </w:p>
  </w:endnote>
  <w:endnote w:type="continuationSeparator" w:id="0">
    <w:p w:rsidR="008F1E41" w:rsidRDefault="008F1E41" w:rsidP="00E1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2560"/>
      <w:docPartObj>
        <w:docPartGallery w:val="Page Numbers (Bottom of Page)"/>
        <w:docPartUnique/>
      </w:docPartObj>
    </w:sdtPr>
    <w:sdtEndPr>
      <w:rPr>
        <w:rFonts w:ascii="Arial" w:hAnsi="Arial" w:cs="Arial"/>
        <w:sz w:val="18"/>
        <w:szCs w:val="16"/>
      </w:rPr>
    </w:sdtEndPr>
    <w:sdtContent>
      <w:p w:rsidR="009B4E78" w:rsidRPr="001007A8" w:rsidRDefault="009B4E78">
        <w:pPr>
          <w:pStyle w:val="Piedepgina"/>
          <w:jc w:val="right"/>
          <w:rPr>
            <w:rFonts w:ascii="Arial" w:hAnsi="Arial" w:cs="Arial"/>
            <w:sz w:val="18"/>
            <w:szCs w:val="16"/>
          </w:rPr>
        </w:pPr>
        <w:r w:rsidRPr="001007A8">
          <w:rPr>
            <w:rFonts w:ascii="Arial" w:hAnsi="Arial" w:cs="Arial"/>
            <w:sz w:val="18"/>
            <w:szCs w:val="16"/>
          </w:rPr>
          <w:fldChar w:fldCharType="begin"/>
        </w:r>
        <w:r w:rsidRPr="001007A8">
          <w:rPr>
            <w:rFonts w:ascii="Arial" w:hAnsi="Arial" w:cs="Arial"/>
            <w:sz w:val="18"/>
            <w:szCs w:val="16"/>
          </w:rPr>
          <w:instrText xml:space="preserve"> PAGE   \* MERGEFORMAT </w:instrText>
        </w:r>
        <w:r w:rsidRPr="001007A8">
          <w:rPr>
            <w:rFonts w:ascii="Arial" w:hAnsi="Arial" w:cs="Arial"/>
            <w:sz w:val="18"/>
            <w:szCs w:val="16"/>
          </w:rPr>
          <w:fldChar w:fldCharType="separate"/>
        </w:r>
        <w:r w:rsidRPr="001007A8">
          <w:rPr>
            <w:rFonts w:ascii="Arial" w:hAnsi="Arial" w:cs="Arial"/>
            <w:sz w:val="18"/>
            <w:szCs w:val="16"/>
          </w:rPr>
          <w:t>6</w:t>
        </w:r>
        <w:r w:rsidRPr="001007A8">
          <w:rPr>
            <w:rFonts w:ascii="Arial" w:hAnsi="Arial" w:cs="Arial"/>
            <w:sz w:val="18"/>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1E41" w:rsidRDefault="008F1E41" w:rsidP="00E15A33">
      <w:r>
        <w:separator/>
      </w:r>
    </w:p>
  </w:footnote>
  <w:footnote w:type="continuationSeparator" w:id="0">
    <w:p w:rsidR="008F1E41" w:rsidRDefault="008F1E41" w:rsidP="00E15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7A8" w:rsidRPr="001007A8" w:rsidRDefault="00CE30D9" w:rsidP="001007A8">
    <w:pPr>
      <w:jc w:val="center"/>
      <w:rPr>
        <w:rFonts w:ascii="Arial" w:hAnsi="Arial" w:cs="Arial"/>
        <w:sz w:val="18"/>
        <w:szCs w:val="16"/>
      </w:rPr>
    </w:pPr>
    <w:r w:rsidRPr="001007A8">
      <w:rPr>
        <w:rFonts w:ascii="Arial" w:hAnsi="Arial" w:cs="Arial"/>
        <w:sz w:val="18"/>
        <w:szCs w:val="16"/>
      </w:rPr>
      <w:t>Megabus S.A.</w:t>
    </w:r>
    <w:r w:rsidR="001007A8">
      <w:rPr>
        <w:rFonts w:ascii="Arial" w:hAnsi="Arial" w:cs="Arial"/>
        <w:sz w:val="18"/>
        <w:szCs w:val="16"/>
      </w:rPr>
      <w:t xml:space="preserve"> </w:t>
    </w:r>
    <w:r w:rsidRPr="001007A8">
      <w:rPr>
        <w:rFonts w:ascii="Arial" w:hAnsi="Arial" w:cs="Arial"/>
        <w:sz w:val="18"/>
        <w:szCs w:val="16"/>
      </w:rPr>
      <w:t>Vs Sistema Integrado de Transporte SI 99 S.A.</w:t>
    </w:r>
  </w:p>
  <w:p w:rsidR="00CE30D9" w:rsidRPr="001007A8" w:rsidRDefault="00CE30D9" w:rsidP="001007A8">
    <w:pPr>
      <w:jc w:val="center"/>
      <w:rPr>
        <w:rFonts w:ascii="Arial" w:hAnsi="Arial" w:cs="Arial"/>
        <w:sz w:val="18"/>
        <w:szCs w:val="16"/>
      </w:rPr>
    </w:pPr>
    <w:r w:rsidRPr="001007A8">
      <w:rPr>
        <w:rFonts w:ascii="Arial" w:hAnsi="Arial" w:cs="Arial"/>
        <w:bCs/>
        <w:sz w:val="18"/>
        <w:szCs w:val="16"/>
      </w:rPr>
      <w:t>Rad.</w:t>
    </w:r>
    <w:r w:rsidRPr="001007A8">
      <w:rPr>
        <w:rFonts w:ascii="Arial" w:hAnsi="Arial" w:cs="Arial"/>
        <w:sz w:val="18"/>
        <w:szCs w:val="16"/>
      </w:rPr>
      <w:t xml:space="preserve"> 66001-31-05-005-2016-00</w:t>
    </w:r>
    <w:r w:rsidR="0040006F" w:rsidRPr="001007A8">
      <w:rPr>
        <w:rFonts w:ascii="Arial" w:hAnsi="Arial" w:cs="Arial"/>
        <w:sz w:val="18"/>
        <w:szCs w:val="16"/>
      </w:rPr>
      <w:t>622</w:t>
    </w:r>
    <w:r w:rsidRPr="001007A8">
      <w:rPr>
        <w:rFonts w:ascii="Arial" w:hAnsi="Arial" w:cs="Arial"/>
        <w:sz w:val="18"/>
        <w:szCs w:val="16"/>
      </w:rPr>
      <w:t>-02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5735D"/>
    <w:multiLevelType w:val="hybridMultilevel"/>
    <w:tmpl w:val="EB628BDA"/>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15A33"/>
    <w:rsid w:val="00014AD1"/>
    <w:rsid w:val="00085440"/>
    <w:rsid w:val="000B7F62"/>
    <w:rsid w:val="000D06DE"/>
    <w:rsid w:val="000D7DAE"/>
    <w:rsid w:val="000E4C2D"/>
    <w:rsid w:val="001007A8"/>
    <w:rsid w:val="001A155D"/>
    <w:rsid w:val="001A690C"/>
    <w:rsid w:val="00226034"/>
    <w:rsid w:val="00231305"/>
    <w:rsid w:val="00265D5E"/>
    <w:rsid w:val="0026737D"/>
    <w:rsid w:val="00281298"/>
    <w:rsid w:val="002941B4"/>
    <w:rsid w:val="002A7F10"/>
    <w:rsid w:val="002C0A28"/>
    <w:rsid w:val="002D4F2B"/>
    <w:rsid w:val="00371B4D"/>
    <w:rsid w:val="003B1B95"/>
    <w:rsid w:val="003C2C1F"/>
    <w:rsid w:val="0040006F"/>
    <w:rsid w:val="00486FCE"/>
    <w:rsid w:val="004913F7"/>
    <w:rsid w:val="00495ADE"/>
    <w:rsid w:val="004F4425"/>
    <w:rsid w:val="004F5EF4"/>
    <w:rsid w:val="004F6F26"/>
    <w:rsid w:val="00511029"/>
    <w:rsid w:val="0059303B"/>
    <w:rsid w:val="005A6717"/>
    <w:rsid w:val="005D64D9"/>
    <w:rsid w:val="0064584C"/>
    <w:rsid w:val="006A7728"/>
    <w:rsid w:val="006D4D6B"/>
    <w:rsid w:val="006F0F35"/>
    <w:rsid w:val="00723F06"/>
    <w:rsid w:val="00727350"/>
    <w:rsid w:val="00774345"/>
    <w:rsid w:val="00790DEE"/>
    <w:rsid w:val="007C6D20"/>
    <w:rsid w:val="007E46DA"/>
    <w:rsid w:val="007E6802"/>
    <w:rsid w:val="0084281A"/>
    <w:rsid w:val="00864C97"/>
    <w:rsid w:val="0087445A"/>
    <w:rsid w:val="00880381"/>
    <w:rsid w:val="008D69F6"/>
    <w:rsid w:val="008F1E41"/>
    <w:rsid w:val="009227B5"/>
    <w:rsid w:val="009315A4"/>
    <w:rsid w:val="00937FA5"/>
    <w:rsid w:val="0095105F"/>
    <w:rsid w:val="00966C30"/>
    <w:rsid w:val="00997D92"/>
    <w:rsid w:val="009B4E78"/>
    <w:rsid w:val="009D104A"/>
    <w:rsid w:val="009F3968"/>
    <w:rsid w:val="00A07646"/>
    <w:rsid w:val="00A47D09"/>
    <w:rsid w:val="00A802F4"/>
    <w:rsid w:val="00A96276"/>
    <w:rsid w:val="00A96C4E"/>
    <w:rsid w:val="00AE6C24"/>
    <w:rsid w:val="00AF30A3"/>
    <w:rsid w:val="00B10402"/>
    <w:rsid w:val="00B157E4"/>
    <w:rsid w:val="00C515F8"/>
    <w:rsid w:val="00C67EEC"/>
    <w:rsid w:val="00C969DE"/>
    <w:rsid w:val="00CB25C8"/>
    <w:rsid w:val="00CD3A22"/>
    <w:rsid w:val="00CE30D9"/>
    <w:rsid w:val="00D34C25"/>
    <w:rsid w:val="00D37510"/>
    <w:rsid w:val="00D5534C"/>
    <w:rsid w:val="00DB59BE"/>
    <w:rsid w:val="00DE09E8"/>
    <w:rsid w:val="00E15A33"/>
    <w:rsid w:val="00E21FCF"/>
    <w:rsid w:val="00E23E4D"/>
    <w:rsid w:val="00E55836"/>
    <w:rsid w:val="00E8692E"/>
    <w:rsid w:val="00E96303"/>
    <w:rsid w:val="00EB1697"/>
    <w:rsid w:val="00EB4DA6"/>
    <w:rsid w:val="00EC6EFC"/>
    <w:rsid w:val="00EE5867"/>
    <w:rsid w:val="00EE5F5C"/>
    <w:rsid w:val="00F00885"/>
    <w:rsid w:val="00F267F8"/>
    <w:rsid w:val="00F363E7"/>
    <w:rsid w:val="00FA17C2"/>
    <w:rsid w:val="00FC576B"/>
    <w:rsid w:val="00FE7478"/>
    <w:rsid w:val="058C8463"/>
    <w:rsid w:val="09EE988D"/>
    <w:rsid w:val="0A567518"/>
    <w:rsid w:val="0A8A1B77"/>
    <w:rsid w:val="0BA35BAD"/>
    <w:rsid w:val="0C92EFAC"/>
    <w:rsid w:val="16B31EB6"/>
    <w:rsid w:val="19F85AFF"/>
    <w:rsid w:val="1EECC963"/>
    <w:rsid w:val="23325382"/>
    <w:rsid w:val="24CE23E3"/>
    <w:rsid w:val="2F814B39"/>
    <w:rsid w:val="300C1C61"/>
    <w:rsid w:val="331F9A9A"/>
    <w:rsid w:val="35E8548C"/>
    <w:rsid w:val="3A1C8FB5"/>
    <w:rsid w:val="3CEDF09A"/>
    <w:rsid w:val="3D78163B"/>
    <w:rsid w:val="4106C34E"/>
    <w:rsid w:val="41F9EACE"/>
    <w:rsid w:val="4372763A"/>
    <w:rsid w:val="49180AB7"/>
    <w:rsid w:val="4B209713"/>
    <w:rsid w:val="4C9ACD87"/>
    <w:rsid w:val="4E637944"/>
    <w:rsid w:val="53205195"/>
    <w:rsid w:val="5A530BAC"/>
    <w:rsid w:val="5B7BCA3C"/>
    <w:rsid w:val="5C9F0B59"/>
    <w:rsid w:val="5DD5EB28"/>
    <w:rsid w:val="60BC2612"/>
    <w:rsid w:val="61FCABD8"/>
    <w:rsid w:val="63168F0F"/>
    <w:rsid w:val="63501A1C"/>
    <w:rsid w:val="6353A5F1"/>
    <w:rsid w:val="65BCFA2D"/>
    <w:rsid w:val="65E11F65"/>
    <w:rsid w:val="67142680"/>
    <w:rsid w:val="688F6B3F"/>
    <w:rsid w:val="69EA0DB5"/>
    <w:rsid w:val="6F9EE296"/>
    <w:rsid w:val="74E92898"/>
    <w:rsid w:val="750BC13A"/>
    <w:rsid w:val="76CEE41C"/>
    <w:rsid w:val="7A2EE000"/>
    <w:rsid w:val="7B6483EE"/>
    <w:rsid w:val="7EB785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D7B51B-5317-484A-B7CC-4EF86E00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5A33"/>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semiHidden/>
    <w:unhideWhenUsed/>
    <w:qFormat/>
    <w:rsid w:val="00E15A33"/>
    <w:pPr>
      <w:keepNext/>
      <w:spacing w:line="360" w:lineRule="auto"/>
      <w:ind w:right="284"/>
      <w:jc w:val="both"/>
      <w:outlineLvl w:val="1"/>
    </w:pPr>
    <w:rPr>
      <w:rFonts w:ascii="Arial" w:hAnsi="Arial"/>
      <w:b/>
      <w:sz w:val="24"/>
    </w:rPr>
  </w:style>
  <w:style w:type="paragraph" w:styleId="Ttulo4">
    <w:name w:val="heading 4"/>
    <w:basedOn w:val="Normal"/>
    <w:next w:val="Normal"/>
    <w:link w:val="Ttulo4Car"/>
    <w:semiHidden/>
    <w:unhideWhenUsed/>
    <w:qFormat/>
    <w:rsid w:val="00E15A33"/>
    <w:pPr>
      <w:keepNext/>
      <w:tabs>
        <w:tab w:val="left" w:pos="-720"/>
      </w:tabs>
      <w:suppressAutoHyphens/>
      <w:spacing w:line="360" w:lineRule="auto"/>
      <w:jc w:val="center"/>
      <w:outlineLvl w:val="3"/>
    </w:pPr>
    <w:rPr>
      <w:rFonts w:ascii="Arial" w:hAnsi="Arial"/>
      <w:spacing w:val="-3"/>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semiHidden/>
    <w:rsid w:val="00E15A33"/>
    <w:rPr>
      <w:rFonts w:ascii="Arial" w:eastAsia="Times New Roman" w:hAnsi="Arial" w:cs="Times New Roman"/>
      <w:b/>
      <w:sz w:val="24"/>
      <w:szCs w:val="20"/>
      <w:lang w:val="es-ES_tradnl" w:eastAsia="es-ES"/>
    </w:rPr>
  </w:style>
  <w:style w:type="character" w:customStyle="1" w:styleId="Ttulo4Car">
    <w:name w:val="Título 4 Car"/>
    <w:basedOn w:val="Fuentedeprrafopredeter"/>
    <w:link w:val="Ttulo4"/>
    <w:semiHidden/>
    <w:rsid w:val="00E15A33"/>
    <w:rPr>
      <w:rFonts w:ascii="Arial" w:eastAsia="Times New Roman" w:hAnsi="Arial" w:cs="Times New Roman"/>
      <w:spacing w:val="-3"/>
      <w:sz w:val="36"/>
      <w:szCs w:val="20"/>
      <w:lang w:val="es-ES_tradnl" w:eastAsia="es-ES"/>
    </w:rPr>
  </w:style>
  <w:style w:type="paragraph" w:styleId="Textonotapie">
    <w:name w:val="footnote text"/>
    <w:basedOn w:val="Normal"/>
    <w:link w:val="TextonotapieCar"/>
    <w:semiHidden/>
    <w:unhideWhenUsed/>
    <w:rsid w:val="00E15A33"/>
  </w:style>
  <w:style w:type="character" w:customStyle="1" w:styleId="TextonotapieCar">
    <w:name w:val="Texto nota pie Car"/>
    <w:basedOn w:val="Fuentedeprrafopredeter"/>
    <w:link w:val="Textonotapie"/>
    <w:semiHidden/>
    <w:rsid w:val="00E15A33"/>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semiHidden/>
    <w:unhideWhenUsed/>
    <w:rsid w:val="00E15A33"/>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semiHidden/>
    <w:rsid w:val="00E15A33"/>
    <w:rPr>
      <w:rFonts w:ascii="Arial" w:eastAsia="Times New Roman" w:hAnsi="Arial" w:cs="Times New Roman"/>
      <w:sz w:val="26"/>
      <w:szCs w:val="20"/>
      <w:lang w:val="es-ES_tradnl" w:eastAsia="es-ES"/>
    </w:rPr>
  </w:style>
  <w:style w:type="paragraph" w:styleId="Sinespaciado">
    <w:name w:val="No Spacing"/>
    <w:link w:val="SinespaciadoCar"/>
    <w:uiPriority w:val="1"/>
    <w:qFormat/>
    <w:rsid w:val="00E15A33"/>
    <w:pPr>
      <w:spacing w:after="0" w:line="240" w:lineRule="auto"/>
    </w:pPr>
    <w:rPr>
      <w:rFonts w:ascii="Calibri" w:eastAsia="Calibri" w:hAnsi="Calibri" w:cs="Times New Roman"/>
      <w:lang w:val="es-CO"/>
    </w:rPr>
  </w:style>
  <w:style w:type="paragraph" w:customStyle="1" w:styleId="Textoindependiente25">
    <w:name w:val="Texto independiente 25"/>
    <w:basedOn w:val="Normal"/>
    <w:rsid w:val="00E15A33"/>
    <w:pPr>
      <w:spacing w:line="360" w:lineRule="auto"/>
      <w:jc w:val="both"/>
    </w:pPr>
    <w:rPr>
      <w:rFonts w:ascii="Arial" w:hAnsi="Arial"/>
      <w:b/>
      <w:sz w:val="28"/>
    </w:rPr>
  </w:style>
  <w:style w:type="paragraph" w:customStyle="1" w:styleId="Puesto">
    <w:name w:val="Puesto"/>
    <w:basedOn w:val="Normal"/>
    <w:qFormat/>
    <w:rsid w:val="00E15A33"/>
    <w:pPr>
      <w:widowControl w:val="0"/>
      <w:autoSpaceDE w:val="0"/>
      <w:autoSpaceDN w:val="0"/>
      <w:adjustRightInd w:val="0"/>
      <w:jc w:val="center"/>
    </w:pPr>
    <w:rPr>
      <w:rFonts w:ascii="Roman 12cpi" w:hAnsi="Roman 12cpi"/>
      <w:b/>
      <w:bCs/>
      <w:lang w:val="es-ES"/>
    </w:rPr>
  </w:style>
  <w:style w:type="character" w:styleId="Refdenotaalpie">
    <w:name w:val="footnote reference"/>
    <w:semiHidden/>
    <w:unhideWhenUsed/>
    <w:rsid w:val="00E15A33"/>
    <w:rPr>
      <w:vertAlign w:val="superscript"/>
    </w:rPr>
  </w:style>
  <w:style w:type="character" w:customStyle="1" w:styleId="normaltextrun">
    <w:name w:val="normaltextrun"/>
    <w:rsid w:val="00E15A33"/>
  </w:style>
  <w:style w:type="paragraph" w:styleId="Textocomentario">
    <w:name w:val="annotation text"/>
    <w:basedOn w:val="Normal"/>
    <w:link w:val="TextocomentarioCar"/>
    <w:uiPriority w:val="99"/>
    <w:semiHidden/>
    <w:unhideWhenUsed/>
    <w:rsid w:val="00CD3A22"/>
  </w:style>
  <w:style w:type="character" w:customStyle="1" w:styleId="TextocomentarioCar">
    <w:name w:val="Texto comentario Car"/>
    <w:basedOn w:val="Fuentedeprrafopredeter"/>
    <w:link w:val="Textocomentario"/>
    <w:uiPriority w:val="99"/>
    <w:semiHidden/>
    <w:rsid w:val="00CD3A22"/>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sid w:val="00CD3A22"/>
    <w:rPr>
      <w:sz w:val="16"/>
      <w:szCs w:val="16"/>
    </w:rPr>
  </w:style>
  <w:style w:type="paragraph" w:styleId="Textodeglobo">
    <w:name w:val="Balloon Text"/>
    <w:basedOn w:val="Normal"/>
    <w:link w:val="TextodegloboCar"/>
    <w:uiPriority w:val="99"/>
    <w:semiHidden/>
    <w:unhideWhenUsed/>
    <w:rsid w:val="002A7F10"/>
    <w:rPr>
      <w:rFonts w:ascii="Tahoma" w:hAnsi="Tahoma" w:cs="Tahoma"/>
      <w:sz w:val="16"/>
      <w:szCs w:val="16"/>
    </w:rPr>
  </w:style>
  <w:style w:type="character" w:customStyle="1" w:styleId="TextodegloboCar">
    <w:name w:val="Texto de globo Car"/>
    <w:basedOn w:val="Fuentedeprrafopredeter"/>
    <w:link w:val="Textodeglobo"/>
    <w:uiPriority w:val="99"/>
    <w:semiHidden/>
    <w:rsid w:val="002A7F10"/>
    <w:rPr>
      <w:rFonts w:ascii="Tahoma" w:eastAsia="Times New Roman" w:hAnsi="Tahoma" w:cs="Tahoma"/>
      <w:sz w:val="16"/>
      <w:szCs w:val="16"/>
      <w:lang w:val="es-ES_tradnl" w:eastAsia="es-ES"/>
    </w:rPr>
  </w:style>
  <w:style w:type="paragraph" w:customStyle="1" w:styleId="paragraph">
    <w:name w:val="paragraph"/>
    <w:basedOn w:val="Normal"/>
    <w:rsid w:val="002A7F10"/>
    <w:pPr>
      <w:spacing w:before="100" w:beforeAutospacing="1" w:after="100" w:afterAutospacing="1"/>
    </w:pPr>
    <w:rPr>
      <w:sz w:val="24"/>
      <w:szCs w:val="24"/>
      <w:lang w:val="es-ES"/>
    </w:rPr>
  </w:style>
  <w:style w:type="character" w:customStyle="1" w:styleId="eop">
    <w:name w:val="eop"/>
    <w:basedOn w:val="Fuentedeprrafopredeter"/>
    <w:rsid w:val="002A7F10"/>
  </w:style>
  <w:style w:type="paragraph" w:styleId="Encabezado">
    <w:name w:val="header"/>
    <w:basedOn w:val="Normal"/>
    <w:link w:val="EncabezadoCar"/>
    <w:uiPriority w:val="99"/>
    <w:semiHidden/>
    <w:unhideWhenUsed/>
    <w:rsid w:val="00CE30D9"/>
    <w:pPr>
      <w:tabs>
        <w:tab w:val="center" w:pos="4252"/>
        <w:tab w:val="right" w:pos="8504"/>
      </w:tabs>
    </w:pPr>
  </w:style>
  <w:style w:type="character" w:customStyle="1" w:styleId="EncabezadoCar">
    <w:name w:val="Encabezado Car"/>
    <w:basedOn w:val="Fuentedeprrafopredeter"/>
    <w:link w:val="Encabezado"/>
    <w:uiPriority w:val="99"/>
    <w:semiHidden/>
    <w:rsid w:val="00CE30D9"/>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CE30D9"/>
    <w:pPr>
      <w:tabs>
        <w:tab w:val="center" w:pos="4252"/>
        <w:tab w:val="right" w:pos="8504"/>
      </w:tabs>
    </w:pPr>
  </w:style>
  <w:style w:type="character" w:customStyle="1" w:styleId="PiedepginaCar">
    <w:name w:val="Pie de página Car"/>
    <w:basedOn w:val="Fuentedeprrafopredeter"/>
    <w:link w:val="Piedepgina"/>
    <w:uiPriority w:val="99"/>
    <w:rsid w:val="00CE30D9"/>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1A155D"/>
    <w:rPr>
      <w:b/>
      <w:bCs/>
    </w:rPr>
  </w:style>
  <w:style w:type="character" w:customStyle="1" w:styleId="AsuntodelcomentarioCar">
    <w:name w:val="Asunto del comentario Car"/>
    <w:basedOn w:val="TextocomentarioCar"/>
    <w:link w:val="Asuntodelcomentario"/>
    <w:uiPriority w:val="99"/>
    <w:semiHidden/>
    <w:rsid w:val="001A155D"/>
    <w:rPr>
      <w:rFonts w:ascii="Times New Roman" w:eastAsia="Times New Roman" w:hAnsi="Times New Roman" w:cs="Times New Roman"/>
      <w:b/>
      <w:bCs/>
      <w:sz w:val="20"/>
      <w:szCs w:val="20"/>
      <w:lang w:val="es-ES_tradnl" w:eastAsia="es-ES"/>
    </w:rPr>
  </w:style>
  <w:style w:type="character" w:customStyle="1" w:styleId="SinespaciadoCar">
    <w:name w:val="Sin espaciado Car"/>
    <w:link w:val="Sinespaciado"/>
    <w:uiPriority w:val="1"/>
    <w:locked/>
    <w:rsid w:val="003C2C1F"/>
    <w:rPr>
      <w:rFonts w:ascii="Calibri" w:eastAsia="Calibri"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447795">
      <w:bodyDiv w:val="1"/>
      <w:marLeft w:val="0"/>
      <w:marRight w:val="0"/>
      <w:marTop w:val="0"/>
      <w:marBottom w:val="0"/>
      <w:divBdr>
        <w:top w:val="none" w:sz="0" w:space="0" w:color="auto"/>
        <w:left w:val="none" w:sz="0" w:space="0" w:color="auto"/>
        <w:bottom w:val="none" w:sz="0" w:space="0" w:color="auto"/>
        <w:right w:val="none" w:sz="0" w:space="0" w:color="auto"/>
      </w:divBdr>
    </w:div>
    <w:div w:id="735081285">
      <w:bodyDiv w:val="1"/>
      <w:marLeft w:val="0"/>
      <w:marRight w:val="0"/>
      <w:marTop w:val="0"/>
      <w:marBottom w:val="0"/>
      <w:divBdr>
        <w:top w:val="none" w:sz="0" w:space="0" w:color="auto"/>
        <w:left w:val="none" w:sz="0" w:space="0" w:color="auto"/>
        <w:bottom w:val="none" w:sz="0" w:space="0" w:color="auto"/>
        <w:right w:val="none" w:sz="0" w:space="0" w:color="auto"/>
      </w:divBdr>
      <w:divsChild>
        <w:div w:id="2040934620">
          <w:marLeft w:val="0"/>
          <w:marRight w:val="0"/>
          <w:marTop w:val="0"/>
          <w:marBottom w:val="0"/>
          <w:divBdr>
            <w:top w:val="none" w:sz="0" w:space="0" w:color="auto"/>
            <w:left w:val="none" w:sz="0" w:space="0" w:color="auto"/>
            <w:bottom w:val="none" w:sz="0" w:space="0" w:color="auto"/>
            <w:right w:val="none" w:sz="0" w:space="0" w:color="auto"/>
          </w:divBdr>
        </w:div>
        <w:div w:id="1957835877">
          <w:marLeft w:val="0"/>
          <w:marRight w:val="0"/>
          <w:marTop w:val="0"/>
          <w:marBottom w:val="0"/>
          <w:divBdr>
            <w:top w:val="none" w:sz="0" w:space="0" w:color="auto"/>
            <w:left w:val="none" w:sz="0" w:space="0" w:color="auto"/>
            <w:bottom w:val="none" w:sz="0" w:space="0" w:color="auto"/>
            <w:right w:val="none" w:sz="0" w:space="0" w:color="auto"/>
          </w:divBdr>
        </w:div>
        <w:div w:id="795030575">
          <w:marLeft w:val="0"/>
          <w:marRight w:val="0"/>
          <w:marTop w:val="0"/>
          <w:marBottom w:val="0"/>
          <w:divBdr>
            <w:top w:val="none" w:sz="0" w:space="0" w:color="auto"/>
            <w:left w:val="none" w:sz="0" w:space="0" w:color="auto"/>
            <w:bottom w:val="none" w:sz="0" w:space="0" w:color="auto"/>
            <w:right w:val="none" w:sz="0" w:space="0" w:color="auto"/>
          </w:divBdr>
        </w:div>
        <w:div w:id="2023898636">
          <w:marLeft w:val="0"/>
          <w:marRight w:val="0"/>
          <w:marTop w:val="0"/>
          <w:marBottom w:val="0"/>
          <w:divBdr>
            <w:top w:val="none" w:sz="0" w:space="0" w:color="auto"/>
            <w:left w:val="none" w:sz="0" w:space="0" w:color="auto"/>
            <w:bottom w:val="none" w:sz="0" w:space="0" w:color="auto"/>
            <w:right w:val="none" w:sz="0" w:space="0" w:color="auto"/>
          </w:divBdr>
        </w:div>
        <w:div w:id="2031178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74b5aadda5854a1d"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Ana Lucia Caicedo Calderon</DisplayName>
        <AccountId>20</AccountId>
        <AccountType/>
      </UserInfo>
      <UserInfo>
        <DisplayName>German Dario Goez Vinasco</DisplayName>
        <AccountId>206</AccountId>
        <AccountType/>
      </UserInfo>
      <UserInfo>
        <DisplayName>Julio Cesar Salazar Muñoz</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B3C472-2A21-4ED3-9665-46D13C010BB7}">
  <ds:schemaRefs>
    <ds:schemaRef ds:uri="http://schemas.microsoft.com/sharepoint/v3/contenttype/forms"/>
  </ds:schemaRefs>
</ds:datastoreItem>
</file>

<file path=customXml/itemProps2.xml><?xml version="1.0" encoding="utf-8"?>
<ds:datastoreItem xmlns:ds="http://schemas.openxmlformats.org/officeDocument/2006/customXml" ds:itemID="{793F4AD3-78A2-4FBE-BE0E-2055AB106004}">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3900E53A-DCF8-489B-81F5-D7038AF89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1477</Words>
  <Characters>8125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Hermides Alonso Gaviria Ocampo</cp:lastModifiedBy>
  <cp:revision>13</cp:revision>
  <dcterms:created xsi:type="dcterms:W3CDTF">2022-02-09T14:10:00Z</dcterms:created>
  <dcterms:modified xsi:type="dcterms:W3CDTF">2022-03-24T20:26:00Z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