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9406" w14:textId="77777777" w:rsidR="00AE45E0" w:rsidRPr="00AE45E0" w:rsidRDefault="00AE45E0" w:rsidP="00AE45E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AE45E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2994F4" w14:textId="77777777" w:rsidR="00AE45E0" w:rsidRPr="00AE45E0" w:rsidRDefault="00AE45E0" w:rsidP="00AE45E0">
      <w:pPr>
        <w:spacing w:after="0" w:line="240" w:lineRule="auto"/>
        <w:jc w:val="both"/>
        <w:rPr>
          <w:rFonts w:ascii="Arial" w:eastAsia="Times New Roman" w:hAnsi="Arial" w:cs="Arial"/>
          <w:sz w:val="20"/>
          <w:szCs w:val="20"/>
          <w:lang w:val="es-419" w:eastAsia="es-ES"/>
        </w:rPr>
      </w:pPr>
    </w:p>
    <w:p w14:paraId="14A30C16" w14:textId="7DD922BF" w:rsidR="00AE45E0" w:rsidRPr="00AE45E0" w:rsidRDefault="00E752E8" w:rsidP="00AE45E0">
      <w:pPr>
        <w:spacing w:after="0" w:line="240" w:lineRule="auto"/>
        <w:jc w:val="both"/>
        <w:rPr>
          <w:rFonts w:ascii="Arial" w:eastAsia="Arial" w:hAnsi="Arial" w:cs="Arial"/>
          <w:color w:val="000000"/>
          <w:sz w:val="20"/>
          <w:szCs w:val="20"/>
          <w:lang w:val="es-ES" w:eastAsia="es-ES"/>
        </w:rPr>
      </w:pPr>
      <w:r w:rsidRPr="00AE45E0">
        <w:rPr>
          <w:rFonts w:ascii="Arial" w:eastAsia="Arial" w:hAnsi="Arial" w:cs="Arial"/>
          <w:b/>
          <w:bCs/>
          <w:color w:val="000000"/>
          <w:sz w:val="20"/>
          <w:szCs w:val="20"/>
          <w:u w:val="single"/>
          <w:lang w:val="es-419"/>
        </w:rPr>
        <w:t>TEMAS:</w:t>
      </w:r>
      <w:r w:rsidRPr="00AE45E0">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DOBLE RECONOCIMIENTO / POR LOS REGÍMENES COMÚN Y PROFESIONAL / IMPROCEDENCIA CUANDO SE FUNDAN EN EL MISMO RIESGO.</w:t>
      </w:r>
    </w:p>
    <w:p w14:paraId="4E135240" w14:textId="77777777" w:rsidR="00AE45E0" w:rsidRPr="00AE45E0" w:rsidRDefault="00AE45E0" w:rsidP="00AE45E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9570F9" w14:textId="77777777" w:rsidR="00A14087" w:rsidRPr="00A14087" w:rsidRDefault="00A14087" w:rsidP="00A140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14087">
        <w:rPr>
          <w:rFonts w:ascii="Arial" w:eastAsia="Arial" w:hAnsi="Arial" w:cs="Arial"/>
          <w:color w:val="000000"/>
          <w:sz w:val="20"/>
          <w:szCs w:val="20"/>
          <w:lang w:val="es-ES" w:eastAsia="es-ES"/>
        </w:rPr>
        <w:t xml:space="preserve">Se ha establecido en la jurisprudencia nacional que un mismo beneficiario no puede disfrutar dos pensiones, en aquellos casos en el que las normas que regulan la materia expresamente así lo indiquen o cuando tales prestaciones cubren un mismo riesgo. </w:t>
      </w:r>
    </w:p>
    <w:p w14:paraId="531BEA2E" w14:textId="77777777" w:rsidR="00A14087" w:rsidRPr="00A14087" w:rsidRDefault="00A14087" w:rsidP="00A140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14087">
        <w:rPr>
          <w:rFonts w:ascii="Arial" w:eastAsia="Arial" w:hAnsi="Arial" w:cs="Arial"/>
          <w:color w:val="000000"/>
          <w:sz w:val="20"/>
          <w:szCs w:val="20"/>
          <w:lang w:val="es-ES" w:eastAsia="es-ES"/>
        </w:rPr>
        <w:t xml:space="preserve"> </w:t>
      </w:r>
    </w:p>
    <w:p w14:paraId="70F3CBF0" w14:textId="77777777" w:rsidR="00A14087" w:rsidRPr="00A14087" w:rsidRDefault="00A14087" w:rsidP="00A140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14087">
        <w:rPr>
          <w:rFonts w:ascii="Arial" w:eastAsia="Arial" w:hAnsi="Arial" w:cs="Arial"/>
          <w:color w:val="000000"/>
          <w:sz w:val="20"/>
          <w:szCs w:val="20"/>
          <w:lang w:val="es-ES" w:eastAsia="es-ES"/>
        </w:rPr>
        <w:t xml:space="preserve">No obstante, es posible otorgar dos pensiones en cabeza de una misma persona, pero sólo cuando éstas, habiendo tenido fuentes de financiación independientes, se hayan generado a partir de eventos completamente diferentes que traen como consecuencia el cubrimiento de dos riesgos distintos. </w:t>
      </w:r>
    </w:p>
    <w:p w14:paraId="53E39F3C" w14:textId="77777777" w:rsidR="00A14087" w:rsidRPr="00A14087" w:rsidRDefault="00A14087" w:rsidP="00A140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474C2C" w14:textId="5E60B41C" w:rsidR="00AE45E0" w:rsidRPr="00AE45E0" w:rsidRDefault="00A14087" w:rsidP="00A1408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14087">
        <w:rPr>
          <w:rFonts w:ascii="Arial" w:eastAsia="Arial" w:hAnsi="Arial" w:cs="Arial"/>
          <w:color w:val="000000"/>
          <w:sz w:val="20"/>
          <w:szCs w:val="20"/>
          <w:lang w:val="es-ES" w:eastAsia="es-ES"/>
        </w:rPr>
        <w:t>En realidad, el artículo 15 de la Ley 776 de 2002 estableció que frente a un suceso que produce la muerte del afiliado, una vez se determine su origen profesional, la ARL reconocerá la pensión de sobrevivientes dentro del sistema de riesgos laborales y los beneficiarios podrán reclamar la devolución de saldos o la indemnización sustitutiva a que haya lugar dentro del sistema general de pensiones, dependiendo del régimen al que se encontraba afiliado el causante.</w:t>
      </w:r>
    </w:p>
    <w:p w14:paraId="0842158B" w14:textId="77777777" w:rsidR="00AE45E0" w:rsidRPr="00AE45E0" w:rsidRDefault="00AE45E0" w:rsidP="00AE45E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A413C00" w14:textId="7140643C" w:rsidR="00AE45E0" w:rsidRPr="00AE45E0" w:rsidRDefault="00A55F35" w:rsidP="00AE45E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55F35">
        <w:rPr>
          <w:rFonts w:ascii="Arial" w:eastAsia="Arial" w:hAnsi="Arial" w:cs="Arial"/>
          <w:color w:val="000000"/>
          <w:sz w:val="20"/>
          <w:szCs w:val="20"/>
          <w:lang w:val="es-ES" w:eastAsia="es-ES"/>
        </w:rPr>
        <w:t>no es dable efectuar el cobro simultáneo de pensiones otorgadas por los regímenes común y profesional, cuando estas se originan en un mismo evento o suceso, en este caso, en el fallecimiento del afiliado, menos aun cuando el reconocimiento pensional derivado del sistema general de pensiones, que catalogó como de origen común el deceso del afiliado, no ha sido controvertido y goza de presunción de legalidad.</w:t>
      </w:r>
    </w:p>
    <w:p w14:paraId="63A7C947" w14:textId="4E5255D2" w:rsidR="00AE45E0" w:rsidRDefault="00AE45E0" w:rsidP="00AE45E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D7A21C2" w14:textId="77777777" w:rsidR="00AE45E0" w:rsidRPr="00AE45E0" w:rsidRDefault="00AE45E0" w:rsidP="00AE45E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6DFFCB" w14:textId="77777777" w:rsidR="00AE45E0" w:rsidRPr="00AE45E0" w:rsidRDefault="00AE45E0" w:rsidP="00AE45E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A8B455F" w14:textId="77777777" w:rsidR="001919F7" w:rsidRPr="00640597" w:rsidRDefault="001919F7" w:rsidP="00640597">
      <w:pPr>
        <w:pStyle w:val="paragraph"/>
        <w:spacing w:before="0" w:beforeAutospacing="0" w:after="0" w:afterAutospacing="0" w:line="276" w:lineRule="auto"/>
        <w:jc w:val="center"/>
        <w:textAlignment w:val="baseline"/>
        <w:rPr>
          <w:rFonts w:ascii="Arial" w:hAnsi="Arial" w:cs="Arial"/>
        </w:rPr>
      </w:pPr>
      <w:r w:rsidRPr="00640597">
        <w:rPr>
          <w:rStyle w:val="normaltextrun"/>
          <w:rFonts w:ascii="Arial" w:hAnsi="Arial" w:cs="Arial"/>
          <w:b/>
          <w:bCs/>
        </w:rPr>
        <w:t>TRIBUNAL SUPERIOR DEL DISTRITO JUDICIAL</w:t>
      </w:r>
      <w:r w:rsidRPr="00640597">
        <w:rPr>
          <w:rStyle w:val="eop"/>
          <w:rFonts w:ascii="Arial" w:hAnsi="Arial" w:cs="Arial"/>
        </w:rPr>
        <w:t> </w:t>
      </w:r>
    </w:p>
    <w:p w14:paraId="4378D2BD" w14:textId="77777777" w:rsidR="001919F7" w:rsidRPr="00640597" w:rsidRDefault="001919F7" w:rsidP="00640597">
      <w:pPr>
        <w:pStyle w:val="paragraph"/>
        <w:spacing w:before="0" w:beforeAutospacing="0" w:after="0" w:afterAutospacing="0" w:line="276" w:lineRule="auto"/>
        <w:jc w:val="center"/>
        <w:textAlignment w:val="baseline"/>
        <w:rPr>
          <w:rFonts w:ascii="Arial" w:hAnsi="Arial" w:cs="Arial"/>
        </w:rPr>
      </w:pPr>
      <w:r w:rsidRPr="00640597">
        <w:rPr>
          <w:rStyle w:val="normaltextrun"/>
          <w:rFonts w:ascii="Arial" w:hAnsi="Arial" w:cs="Arial"/>
          <w:b/>
          <w:bCs/>
        </w:rPr>
        <w:t>SALA DE DECISIÓN LABORAL</w:t>
      </w:r>
    </w:p>
    <w:p w14:paraId="372A0692" w14:textId="77777777" w:rsidR="001919F7" w:rsidRPr="00640597" w:rsidRDefault="001919F7" w:rsidP="00640597">
      <w:pPr>
        <w:pStyle w:val="paragraph"/>
        <w:spacing w:before="0" w:beforeAutospacing="0" w:after="0" w:afterAutospacing="0" w:line="276" w:lineRule="auto"/>
        <w:jc w:val="center"/>
        <w:textAlignment w:val="baseline"/>
        <w:rPr>
          <w:rFonts w:ascii="Arial" w:hAnsi="Arial" w:cs="Arial"/>
        </w:rPr>
      </w:pPr>
      <w:r w:rsidRPr="00640597">
        <w:rPr>
          <w:rStyle w:val="normaltextrun"/>
          <w:rFonts w:ascii="Arial" w:hAnsi="Arial" w:cs="Arial"/>
          <w:b/>
          <w:bCs/>
        </w:rPr>
        <w:t>MAGISTRADO PONENTE: JULIO CÉSAR SALAZAR MUÑOZ </w:t>
      </w:r>
      <w:r w:rsidRPr="00640597">
        <w:rPr>
          <w:rStyle w:val="eop"/>
          <w:rFonts w:ascii="Arial" w:hAnsi="Arial" w:cs="Arial"/>
        </w:rPr>
        <w:t> </w:t>
      </w:r>
    </w:p>
    <w:p w14:paraId="553A46E0" w14:textId="77777777" w:rsidR="00640597" w:rsidRPr="00640597" w:rsidRDefault="00640597" w:rsidP="00640597">
      <w:pPr>
        <w:pStyle w:val="paragraph"/>
        <w:spacing w:before="0" w:beforeAutospacing="0" w:after="0" w:afterAutospacing="0" w:line="276" w:lineRule="auto"/>
        <w:jc w:val="center"/>
        <w:textAlignment w:val="baseline"/>
        <w:rPr>
          <w:rStyle w:val="normaltextrun"/>
          <w:rFonts w:ascii="Arial" w:hAnsi="Arial" w:cs="Arial"/>
          <w:bCs/>
        </w:rPr>
      </w:pPr>
    </w:p>
    <w:p w14:paraId="13F484CB" w14:textId="37BDF3F7" w:rsidR="001919F7" w:rsidRPr="00640597" w:rsidRDefault="00AE45E0" w:rsidP="00640597">
      <w:pPr>
        <w:pStyle w:val="paragraph"/>
        <w:spacing w:before="0" w:beforeAutospacing="0" w:after="0" w:afterAutospacing="0" w:line="276" w:lineRule="auto"/>
        <w:jc w:val="center"/>
        <w:textAlignment w:val="baseline"/>
        <w:rPr>
          <w:rStyle w:val="eop"/>
          <w:rFonts w:ascii="Arial" w:hAnsi="Arial" w:cs="Arial"/>
        </w:rPr>
      </w:pPr>
      <w:r w:rsidRPr="00640597">
        <w:rPr>
          <w:rStyle w:val="normaltextrun"/>
          <w:rFonts w:ascii="Arial" w:hAnsi="Arial" w:cs="Arial"/>
          <w:bCs/>
        </w:rPr>
        <w:t xml:space="preserve">Pereira, diecisiete de agosto de </w:t>
      </w:r>
      <w:r w:rsidR="00640597" w:rsidRPr="00640597">
        <w:rPr>
          <w:rStyle w:val="normaltextrun"/>
          <w:rFonts w:ascii="Arial" w:hAnsi="Arial" w:cs="Arial"/>
          <w:bCs/>
        </w:rPr>
        <w:t>dos mil veintidós</w:t>
      </w:r>
    </w:p>
    <w:p w14:paraId="17ED316F" w14:textId="007905ED" w:rsidR="0085785E" w:rsidRPr="00640597" w:rsidRDefault="0085785E" w:rsidP="00640597">
      <w:pPr>
        <w:pStyle w:val="paragraph"/>
        <w:spacing w:before="0" w:beforeAutospacing="0" w:after="0" w:afterAutospacing="0" w:line="276" w:lineRule="auto"/>
        <w:jc w:val="center"/>
        <w:textAlignment w:val="baseline"/>
        <w:rPr>
          <w:rFonts w:ascii="Arial" w:hAnsi="Arial" w:cs="Arial"/>
        </w:rPr>
      </w:pPr>
      <w:r w:rsidRPr="00640597">
        <w:rPr>
          <w:rStyle w:val="eop"/>
          <w:rFonts w:ascii="Arial" w:hAnsi="Arial" w:cs="Arial"/>
        </w:rPr>
        <w:t>Acta de Sala de Discusión No 126 de 16 de agosto de 2022</w:t>
      </w:r>
    </w:p>
    <w:p w14:paraId="09AF38FC" w14:textId="77777777" w:rsidR="001919F7" w:rsidRPr="00640597" w:rsidRDefault="001919F7" w:rsidP="00640597">
      <w:pPr>
        <w:pStyle w:val="paragraph"/>
        <w:spacing w:before="0" w:beforeAutospacing="0" w:after="0" w:afterAutospacing="0" w:line="276" w:lineRule="auto"/>
        <w:textAlignment w:val="baseline"/>
        <w:rPr>
          <w:rFonts w:ascii="Arial" w:hAnsi="Arial" w:cs="Arial"/>
        </w:rPr>
      </w:pPr>
      <w:r w:rsidRPr="00640597">
        <w:rPr>
          <w:rStyle w:val="eop"/>
          <w:rFonts w:ascii="Arial" w:hAnsi="Arial" w:cs="Arial"/>
        </w:rPr>
        <w:t> </w:t>
      </w:r>
    </w:p>
    <w:p w14:paraId="15AA318D" w14:textId="77777777" w:rsidR="001919F7" w:rsidRPr="00640597" w:rsidRDefault="001919F7" w:rsidP="00640597">
      <w:pPr>
        <w:pStyle w:val="Sinespaciado"/>
        <w:spacing w:line="276" w:lineRule="auto"/>
        <w:rPr>
          <w:rFonts w:ascii="Arial" w:hAnsi="Arial" w:cs="Arial"/>
          <w:sz w:val="24"/>
          <w:szCs w:val="24"/>
        </w:rPr>
      </w:pPr>
      <w:r w:rsidRPr="00640597">
        <w:rPr>
          <w:rStyle w:val="eop"/>
          <w:rFonts w:ascii="Arial" w:hAnsi="Arial" w:cs="Arial"/>
          <w:sz w:val="24"/>
          <w:szCs w:val="24"/>
        </w:rPr>
        <w:t> </w:t>
      </w:r>
    </w:p>
    <w:p w14:paraId="2788ACE8" w14:textId="54B4C51E" w:rsidR="001919F7" w:rsidRPr="00640597" w:rsidRDefault="001919F7" w:rsidP="00640597">
      <w:pPr>
        <w:suppressAutoHyphens/>
        <w:spacing w:after="0"/>
        <w:jc w:val="both"/>
        <w:rPr>
          <w:rStyle w:val="normaltextrun"/>
          <w:rFonts w:ascii="Arial" w:hAnsi="Arial" w:cs="Arial"/>
          <w:sz w:val="24"/>
          <w:szCs w:val="24"/>
        </w:rPr>
      </w:pPr>
      <w:r w:rsidRPr="00640597">
        <w:rPr>
          <w:rStyle w:val="normaltextrun"/>
          <w:rFonts w:ascii="Arial" w:hAnsi="Arial" w:cs="Arial"/>
          <w:sz w:val="24"/>
          <w:szCs w:val="24"/>
        </w:rPr>
        <w:t xml:space="preserve">Se resuelve el </w:t>
      </w:r>
      <w:r w:rsidR="003F60CF" w:rsidRPr="00640597">
        <w:rPr>
          <w:rStyle w:val="normaltextrun"/>
          <w:rFonts w:ascii="Arial" w:hAnsi="Arial" w:cs="Arial"/>
          <w:sz w:val="24"/>
          <w:szCs w:val="24"/>
        </w:rPr>
        <w:t xml:space="preserve">grado jurisdiccional de consulta ordenado en favor de la señora </w:t>
      </w:r>
      <w:r w:rsidR="00640597" w:rsidRPr="00640597">
        <w:rPr>
          <w:rStyle w:val="normaltextrun"/>
          <w:rFonts w:ascii="Arial" w:hAnsi="Arial" w:cs="Arial"/>
          <w:b/>
          <w:sz w:val="24"/>
          <w:szCs w:val="24"/>
        </w:rPr>
        <w:t>Andrea Liliana Pereira</w:t>
      </w:r>
      <w:r w:rsidR="00640597" w:rsidRPr="00640597">
        <w:rPr>
          <w:rStyle w:val="normaltextrun"/>
          <w:rFonts w:ascii="Arial" w:hAnsi="Arial" w:cs="Arial"/>
          <w:sz w:val="24"/>
          <w:szCs w:val="24"/>
        </w:rPr>
        <w:t xml:space="preserve"> </w:t>
      </w:r>
      <w:r w:rsidR="003F60CF" w:rsidRPr="00640597">
        <w:rPr>
          <w:rStyle w:val="normaltextrun"/>
          <w:rFonts w:ascii="Arial" w:hAnsi="Arial" w:cs="Arial"/>
          <w:sz w:val="24"/>
          <w:szCs w:val="24"/>
        </w:rPr>
        <w:t xml:space="preserve">y los menores </w:t>
      </w:r>
      <w:r w:rsidR="00640597" w:rsidRPr="00640597">
        <w:rPr>
          <w:rStyle w:val="normaltextrun"/>
          <w:rFonts w:ascii="Arial" w:hAnsi="Arial" w:cs="Arial"/>
          <w:b/>
          <w:sz w:val="24"/>
          <w:szCs w:val="24"/>
        </w:rPr>
        <w:t>Johan Steven</w:t>
      </w:r>
      <w:r w:rsidR="00640597" w:rsidRPr="00640597">
        <w:rPr>
          <w:rStyle w:val="normaltextrun"/>
          <w:rFonts w:ascii="Arial" w:hAnsi="Arial" w:cs="Arial"/>
          <w:sz w:val="24"/>
          <w:szCs w:val="24"/>
        </w:rPr>
        <w:t xml:space="preserve"> </w:t>
      </w:r>
      <w:r w:rsidR="003F60CF" w:rsidRPr="00640597">
        <w:rPr>
          <w:rStyle w:val="normaltextrun"/>
          <w:rFonts w:ascii="Arial" w:hAnsi="Arial" w:cs="Arial"/>
          <w:sz w:val="24"/>
          <w:szCs w:val="24"/>
        </w:rPr>
        <w:t xml:space="preserve">y </w:t>
      </w:r>
      <w:r w:rsidR="00640597" w:rsidRPr="00640597">
        <w:rPr>
          <w:rStyle w:val="normaltextrun"/>
          <w:rFonts w:ascii="Arial" w:hAnsi="Arial" w:cs="Arial"/>
          <w:b/>
          <w:sz w:val="24"/>
          <w:szCs w:val="24"/>
        </w:rPr>
        <w:t>Santiago Mejía Pereira</w:t>
      </w:r>
      <w:r w:rsidR="003F60CF" w:rsidRPr="00640597">
        <w:rPr>
          <w:rStyle w:val="normaltextrun"/>
          <w:rFonts w:ascii="Arial" w:hAnsi="Arial" w:cs="Arial"/>
          <w:sz w:val="24"/>
          <w:szCs w:val="24"/>
        </w:rPr>
        <w:t xml:space="preserve">, frente a la sentencia </w:t>
      </w:r>
      <w:r w:rsidRPr="00640597">
        <w:rPr>
          <w:rStyle w:val="normaltextrun"/>
          <w:rFonts w:ascii="Arial" w:hAnsi="Arial" w:cs="Arial"/>
          <w:sz w:val="24"/>
          <w:szCs w:val="24"/>
        </w:rPr>
        <w:t xml:space="preserve">proferida por el Juzgado </w:t>
      </w:r>
      <w:r w:rsidR="003F60CF" w:rsidRPr="00640597">
        <w:rPr>
          <w:rStyle w:val="normaltextrun"/>
          <w:rFonts w:ascii="Arial" w:hAnsi="Arial" w:cs="Arial"/>
          <w:sz w:val="24"/>
          <w:szCs w:val="24"/>
        </w:rPr>
        <w:t>Quinto</w:t>
      </w:r>
      <w:r w:rsidRPr="00640597">
        <w:rPr>
          <w:rStyle w:val="normaltextrun"/>
          <w:rFonts w:ascii="Arial" w:hAnsi="Arial" w:cs="Arial"/>
          <w:sz w:val="24"/>
          <w:szCs w:val="24"/>
        </w:rPr>
        <w:t xml:space="preserve"> Laboral del Circuito de Pereira el </w:t>
      </w:r>
      <w:r w:rsidR="003F60CF" w:rsidRPr="00640597">
        <w:rPr>
          <w:rStyle w:val="normaltextrun"/>
          <w:rFonts w:ascii="Arial" w:hAnsi="Arial" w:cs="Arial"/>
          <w:sz w:val="24"/>
          <w:szCs w:val="24"/>
        </w:rPr>
        <w:t>18 de abril de 2022</w:t>
      </w:r>
      <w:r w:rsidRPr="00640597">
        <w:rPr>
          <w:rStyle w:val="normaltextrun"/>
          <w:rFonts w:ascii="Arial" w:hAnsi="Arial" w:cs="Arial"/>
          <w:sz w:val="24"/>
          <w:szCs w:val="24"/>
        </w:rPr>
        <w:t xml:space="preserve">, dentro del proceso </w:t>
      </w:r>
      <w:r w:rsidRPr="00640597">
        <w:rPr>
          <w:rStyle w:val="normaltextrun"/>
          <w:rFonts w:ascii="Arial" w:hAnsi="Arial" w:cs="Arial"/>
          <w:b/>
          <w:sz w:val="24"/>
          <w:szCs w:val="24"/>
        </w:rPr>
        <w:t>ordinario laboral</w:t>
      </w:r>
      <w:r w:rsidRPr="00640597">
        <w:rPr>
          <w:rStyle w:val="normaltextrun"/>
          <w:rFonts w:ascii="Arial" w:hAnsi="Arial" w:cs="Arial"/>
          <w:sz w:val="24"/>
          <w:szCs w:val="24"/>
        </w:rPr>
        <w:t xml:space="preserve"> que promueve</w:t>
      </w:r>
      <w:r w:rsidR="003F60CF" w:rsidRPr="00640597">
        <w:rPr>
          <w:rStyle w:val="normaltextrun"/>
          <w:rFonts w:ascii="Arial" w:hAnsi="Arial" w:cs="Arial"/>
          <w:sz w:val="24"/>
          <w:szCs w:val="24"/>
        </w:rPr>
        <w:t xml:space="preserve">n </w:t>
      </w:r>
      <w:r w:rsidRPr="00640597">
        <w:rPr>
          <w:rStyle w:val="normaltextrun"/>
          <w:rFonts w:ascii="Arial" w:hAnsi="Arial" w:cs="Arial"/>
          <w:sz w:val="24"/>
          <w:szCs w:val="24"/>
        </w:rPr>
        <w:t>contra</w:t>
      </w:r>
      <w:r w:rsidR="003F60CF" w:rsidRPr="00640597">
        <w:rPr>
          <w:rStyle w:val="normaltextrun"/>
          <w:rFonts w:ascii="Arial" w:hAnsi="Arial" w:cs="Arial"/>
          <w:sz w:val="24"/>
          <w:szCs w:val="24"/>
        </w:rPr>
        <w:t xml:space="preserve"> </w:t>
      </w:r>
      <w:r w:rsidR="00640597" w:rsidRPr="00640597">
        <w:rPr>
          <w:rStyle w:val="normaltextrun"/>
          <w:rFonts w:ascii="Arial" w:hAnsi="Arial" w:cs="Arial"/>
          <w:b/>
          <w:sz w:val="24"/>
          <w:szCs w:val="24"/>
        </w:rPr>
        <w:t>Positiva Compañía de Seguros</w:t>
      </w:r>
      <w:r w:rsidR="003F60CF" w:rsidRPr="00640597">
        <w:rPr>
          <w:rStyle w:val="normaltextrun"/>
          <w:rFonts w:ascii="Arial" w:hAnsi="Arial" w:cs="Arial"/>
          <w:sz w:val="24"/>
          <w:szCs w:val="24"/>
        </w:rPr>
        <w:t xml:space="preserve">, la </w:t>
      </w:r>
      <w:r w:rsidR="00640597" w:rsidRPr="00640597">
        <w:rPr>
          <w:rStyle w:val="normaltextrun"/>
          <w:rFonts w:ascii="Arial" w:hAnsi="Arial" w:cs="Arial"/>
          <w:b/>
          <w:sz w:val="24"/>
          <w:szCs w:val="24"/>
        </w:rPr>
        <w:t xml:space="preserve">Cooperativa de Trabajo Asociado Colaborar </w:t>
      </w:r>
      <w:r w:rsidR="003F60CF" w:rsidRPr="00640597">
        <w:rPr>
          <w:rStyle w:val="normaltextrun"/>
          <w:rFonts w:ascii="Arial" w:hAnsi="Arial" w:cs="Arial"/>
          <w:sz w:val="24"/>
          <w:szCs w:val="24"/>
        </w:rPr>
        <w:t xml:space="preserve">y la señora </w:t>
      </w:r>
      <w:r w:rsidR="00640597" w:rsidRPr="00640597">
        <w:rPr>
          <w:rStyle w:val="normaltextrun"/>
          <w:rFonts w:ascii="Arial" w:hAnsi="Arial" w:cs="Arial"/>
          <w:b/>
          <w:sz w:val="24"/>
          <w:szCs w:val="24"/>
        </w:rPr>
        <w:t>Ofelia Riaño Peláez</w:t>
      </w:r>
      <w:r w:rsidRPr="00640597">
        <w:rPr>
          <w:rStyle w:val="normaltextrun"/>
          <w:rFonts w:ascii="Arial" w:hAnsi="Arial" w:cs="Arial"/>
          <w:sz w:val="24"/>
          <w:szCs w:val="24"/>
        </w:rPr>
        <w:t>,</w:t>
      </w:r>
      <w:r w:rsidR="003F60CF" w:rsidRPr="00640597">
        <w:rPr>
          <w:rStyle w:val="normaltextrun"/>
          <w:rFonts w:ascii="Arial" w:hAnsi="Arial" w:cs="Arial"/>
          <w:sz w:val="24"/>
          <w:szCs w:val="24"/>
        </w:rPr>
        <w:t xml:space="preserve"> trámite al cual fueron vinculados </w:t>
      </w:r>
      <w:r w:rsidR="00A801FB" w:rsidRPr="00A801FB">
        <w:rPr>
          <w:rStyle w:val="normaltextrun"/>
          <w:rFonts w:ascii="Arial" w:hAnsi="Arial" w:cs="Arial"/>
          <w:b/>
          <w:sz w:val="24"/>
          <w:szCs w:val="24"/>
        </w:rPr>
        <w:t xml:space="preserve">Karen Juliana Mejía Pereira, </w:t>
      </w:r>
      <w:r w:rsidR="00A801FB" w:rsidRPr="00A801FB">
        <w:rPr>
          <w:rFonts w:ascii="Arial" w:hAnsi="Arial" w:cs="Arial"/>
          <w:b/>
          <w:bCs/>
          <w:sz w:val="24"/>
          <w:szCs w:val="24"/>
        </w:rPr>
        <w:t>María Gladys Vélez Ayala,</w:t>
      </w:r>
      <w:r w:rsidR="00A801FB" w:rsidRPr="00A801FB">
        <w:rPr>
          <w:rStyle w:val="normaltextrun"/>
          <w:rFonts w:ascii="Arial" w:hAnsi="Arial" w:cs="Arial"/>
          <w:b/>
          <w:sz w:val="24"/>
          <w:szCs w:val="24"/>
        </w:rPr>
        <w:t xml:space="preserve"> Johan Manuel Mejía Vélez, </w:t>
      </w:r>
      <w:r w:rsidR="00A801FB" w:rsidRPr="00A801FB">
        <w:rPr>
          <w:rFonts w:ascii="Arial" w:hAnsi="Arial" w:cs="Arial"/>
          <w:b/>
          <w:bCs/>
          <w:sz w:val="24"/>
          <w:szCs w:val="24"/>
        </w:rPr>
        <w:t>Carlos Andrés Mejía Fajardo</w:t>
      </w:r>
      <w:r w:rsidR="00A801FB" w:rsidRPr="00A801FB">
        <w:rPr>
          <w:rStyle w:val="normaltextrun"/>
          <w:rFonts w:ascii="Arial" w:hAnsi="Arial" w:cs="Arial"/>
          <w:sz w:val="24"/>
          <w:szCs w:val="24"/>
        </w:rPr>
        <w:t>, la</w:t>
      </w:r>
      <w:r w:rsidR="00A801FB" w:rsidRPr="00A801FB">
        <w:rPr>
          <w:rStyle w:val="normaltextrun"/>
          <w:rFonts w:ascii="Arial" w:hAnsi="Arial" w:cs="Arial"/>
          <w:b/>
          <w:sz w:val="24"/>
          <w:szCs w:val="24"/>
        </w:rPr>
        <w:t xml:space="preserve"> Cooperativa de Taxis de Risaralda Ltda. </w:t>
      </w:r>
      <w:proofErr w:type="spellStart"/>
      <w:r w:rsidR="00A801FB" w:rsidRPr="00A801FB">
        <w:rPr>
          <w:rStyle w:val="normaltextrun"/>
          <w:rFonts w:ascii="Arial" w:hAnsi="Arial" w:cs="Arial"/>
          <w:b/>
          <w:sz w:val="24"/>
          <w:szCs w:val="24"/>
        </w:rPr>
        <w:t>Coovichoralda</w:t>
      </w:r>
      <w:proofErr w:type="spellEnd"/>
      <w:r w:rsidR="003F60CF" w:rsidRPr="00640597">
        <w:rPr>
          <w:rStyle w:val="normaltextrun"/>
          <w:rFonts w:ascii="Arial" w:hAnsi="Arial" w:cs="Arial"/>
          <w:sz w:val="24"/>
          <w:szCs w:val="24"/>
        </w:rPr>
        <w:t>,</w:t>
      </w:r>
      <w:r w:rsidRPr="00640597">
        <w:rPr>
          <w:rStyle w:val="normaltextrun"/>
          <w:rFonts w:ascii="Arial" w:hAnsi="Arial" w:cs="Arial"/>
          <w:sz w:val="24"/>
          <w:szCs w:val="24"/>
        </w:rPr>
        <w:t xml:space="preserve"> </w:t>
      </w:r>
      <w:r w:rsidR="00F01F51" w:rsidRPr="00640597">
        <w:rPr>
          <w:rStyle w:val="normaltextrun"/>
          <w:rFonts w:ascii="Arial" w:hAnsi="Arial" w:cs="Arial"/>
          <w:sz w:val="24"/>
          <w:szCs w:val="24"/>
        </w:rPr>
        <w:t xml:space="preserve">y la </w:t>
      </w:r>
      <w:r w:rsidR="00A801FB" w:rsidRPr="00A801FB">
        <w:rPr>
          <w:rFonts w:ascii="Arial" w:hAnsi="Arial" w:cs="Arial"/>
          <w:b/>
          <w:sz w:val="24"/>
          <w:szCs w:val="24"/>
        </w:rPr>
        <w:t>Administradora Colombiana de Pensiones</w:t>
      </w:r>
      <w:r w:rsidR="00A801FB">
        <w:rPr>
          <w:rFonts w:ascii="Arial" w:hAnsi="Arial" w:cs="Arial"/>
          <w:b/>
          <w:sz w:val="24"/>
          <w:szCs w:val="24"/>
        </w:rPr>
        <w:t xml:space="preserve"> –</w:t>
      </w:r>
      <w:r w:rsidR="00A801FB" w:rsidRPr="00A801FB">
        <w:rPr>
          <w:rFonts w:ascii="Arial" w:hAnsi="Arial" w:cs="Arial"/>
          <w:b/>
          <w:sz w:val="24"/>
          <w:szCs w:val="24"/>
        </w:rPr>
        <w:t xml:space="preserve"> Colpensiones</w:t>
      </w:r>
      <w:r w:rsidR="00F01F51" w:rsidRPr="00640597">
        <w:rPr>
          <w:rFonts w:ascii="Arial" w:hAnsi="Arial" w:cs="Arial"/>
          <w:sz w:val="24"/>
          <w:szCs w:val="24"/>
        </w:rPr>
        <w:t xml:space="preserve">, </w:t>
      </w:r>
      <w:r w:rsidRPr="00640597">
        <w:rPr>
          <w:rStyle w:val="normaltextrun"/>
          <w:rFonts w:ascii="Arial" w:hAnsi="Arial" w:cs="Arial"/>
          <w:sz w:val="24"/>
          <w:szCs w:val="24"/>
        </w:rPr>
        <w:t>cuya radicación corresponde al número 66001310500</w:t>
      </w:r>
      <w:r w:rsidR="003F60CF" w:rsidRPr="00640597">
        <w:rPr>
          <w:rStyle w:val="normaltextrun"/>
          <w:rFonts w:ascii="Arial" w:hAnsi="Arial" w:cs="Arial"/>
          <w:sz w:val="24"/>
          <w:szCs w:val="24"/>
        </w:rPr>
        <w:t>520160014901</w:t>
      </w:r>
      <w:r w:rsidRPr="00640597">
        <w:rPr>
          <w:rStyle w:val="normaltextrun"/>
          <w:rFonts w:ascii="Arial" w:hAnsi="Arial" w:cs="Arial"/>
          <w:sz w:val="24"/>
          <w:szCs w:val="24"/>
        </w:rPr>
        <w:t>.</w:t>
      </w:r>
      <w:r w:rsidR="00096262" w:rsidRPr="00640597">
        <w:rPr>
          <w:rStyle w:val="normaltextrun"/>
          <w:rFonts w:ascii="Arial" w:hAnsi="Arial" w:cs="Arial"/>
          <w:sz w:val="24"/>
          <w:szCs w:val="24"/>
        </w:rPr>
        <w:t xml:space="preserve"> </w:t>
      </w:r>
    </w:p>
    <w:p w14:paraId="672A6659" w14:textId="77777777" w:rsidR="001919F7" w:rsidRPr="00640597" w:rsidRDefault="001919F7" w:rsidP="00640597">
      <w:pPr>
        <w:suppressAutoHyphens/>
        <w:spacing w:after="0"/>
        <w:jc w:val="both"/>
        <w:rPr>
          <w:rStyle w:val="normaltextrun"/>
          <w:rFonts w:ascii="Arial" w:hAnsi="Arial" w:cs="Arial"/>
          <w:sz w:val="24"/>
          <w:szCs w:val="24"/>
        </w:rPr>
      </w:pPr>
    </w:p>
    <w:p w14:paraId="4FD0E465" w14:textId="77777777" w:rsidR="001919F7" w:rsidRPr="00640597" w:rsidRDefault="001919F7" w:rsidP="00640597">
      <w:pPr>
        <w:suppressAutoHyphens/>
        <w:spacing w:after="0"/>
        <w:jc w:val="center"/>
        <w:rPr>
          <w:rStyle w:val="normaltextrun"/>
          <w:rFonts w:ascii="Arial" w:hAnsi="Arial" w:cs="Arial"/>
          <w:b/>
          <w:bCs/>
          <w:sz w:val="24"/>
          <w:szCs w:val="24"/>
        </w:rPr>
      </w:pPr>
      <w:r w:rsidRPr="00640597">
        <w:rPr>
          <w:rStyle w:val="normaltextrun"/>
          <w:rFonts w:ascii="Arial" w:hAnsi="Arial" w:cs="Arial"/>
          <w:b/>
          <w:bCs/>
          <w:sz w:val="24"/>
          <w:szCs w:val="24"/>
        </w:rPr>
        <w:t>AUTO</w:t>
      </w:r>
    </w:p>
    <w:p w14:paraId="0A37501D" w14:textId="77777777" w:rsidR="004922B7" w:rsidRPr="00640597" w:rsidRDefault="004922B7" w:rsidP="00640597">
      <w:pPr>
        <w:pStyle w:val="Sinespaciado"/>
        <w:spacing w:line="276" w:lineRule="auto"/>
        <w:rPr>
          <w:rStyle w:val="normaltextrun"/>
          <w:rFonts w:ascii="Arial" w:hAnsi="Arial" w:cs="Arial"/>
          <w:b/>
          <w:bCs/>
          <w:sz w:val="24"/>
          <w:szCs w:val="24"/>
        </w:rPr>
      </w:pPr>
    </w:p>
    <w:p w14:paraId="6D5DFC53" w14:textId="5D1C3137" w:rsidR="003F60CF" w:rsidRPr="00640597" w:rsidRDefault="00A801FB" w:rsidP="00640597">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5DAB6C7B" w14:textId="77777777" w:rsidR="001919F7" w:rsidRPr="00640597" w:rsidRDefault="001919F7" w:rsidP="00A801FB">
      <w:pPr>
        <w:spacing w:after="0"/>
        <w:rPr>
          <w:rFonts w:ascii="Arial" w:hAnsi="Arial" w:cs="Arial"/>
          <w:b/>
          <w:sz w:val="24"/>
          <w:szCs w:val="24"/>
        </w:rPr>
      </w:pPr>
    </w:p>
    <w:p w14:paraId="0F10BAA5" w14:textId="77777777" w:rsidR="001919F7" w:rsidRPr="00640597" w:rsidRDefault="001919F7" w:rsidP="00640597">
      <w:pPr>
        <w:spacing w:after="0"/>
        <w:jc w:val="center"/>
        <w:rPr>
          <w:rFonts w:ascii="Arial" w:hAnsi="Arial" w:cs="Arial"/>
          <w:b/>
          <w:sz w:val="24"/>
          <w:szCs w:val="24"/>
        </w:rPr>
      </w:pPr>
      <w:r w:rsidRPr="00640597">
        <w:rPr>
          <w:rFonts w:ascii="Arial" w:hAnsi="Arial" w:cs="Arial"/>
          <w:b/>
          <w:sz w:val="24"/>
          <w:szCs w:val="24"/>
        </w:rPr>
        <w:t>ANTECEDENTES</w:t>
      </w:r>
    </w:p>
    <w:p w14:paraId="02EB378F" w14:textId="77777777" w:rsidR="001919F7" w:rsidRPr="00640597" w:rsidRDefault="001919F7" w:rsidP="00640597">
      <w:pPr>
        <w:spacing w:after="0"/>
        <w:jc w:val="center"/>
        <w:rPr>
          <w:rFonts w:ascii="Arial" w:hAnsi="Arial" w:cs="Arial"/>
          <w:b/>
          <w:sz w:val="24"/>
          <w:szCs w:val="24"/>
        </w:rPr>
      </w:pPr>
    </w:p>
    <w:p w14:paraId="7B1B94AB" w14:textId="313F05F6" w:rsidR="001919F7" w:rsidRPr="00640597" w:rsidRDefault="001919F7" w:rsidP="00640597">
      <w:pPr>
        <w:spacing w:after="0"/>
        <w:jc w:val="both"/>
        <w:rPr>
          <w:rFonts w:ascii="Arial" w:hAnsi="Arial" w:cs="Arial"/>
          <w:sz w:val="24"/>
          <w:szCs w:val="24"/>
        </w:rPr>
      </w:pPr>
      <w:r w:rsidRPr="00640597">
        <w:rPr>
          <w:rFonts w:ascii="Arial" w:hAnsi="Arial" w:cs="Arial"/>
          <w:sz w:val="24"/>
          <w:szCs w:val="24"/>
        </w:rPr>
        <w:t xml:space="preserve">Pretende la señora </w:t>
      </w:r>
      <w:r w:rsidR="004922B7" w:rsidRPr="00640597">
        <w:rPr>
          <w:rFonts w:ascii="Arial" w:hAnsi="Arial" w:cs="Arial"/>
          <w:sz w:val="24"/>
          <w:szCs w:val="24"/>
        </w:rPr>
        <w:t>Andrea Liliana Pereira</w:t>
      </w:r>
      <w:r w:rsidRPr="00640597">
        <w:rPr>
          <w:rFonts w:ascii="Arial" w:hAnsi="Arial" w:cs="Arial"/>
          <w:sz w:val="24"/>
          <w:szCs w:val="24"/>
        </w:rPr>
        <w:t xml:space="preserve"> que la justicia laboral declare </w:t>
      </w:r>
      <w:r w:rsidR="004922B7" w:rsidRPr="00640597">
        <w:rPr>
          <w:rFonts w:ascii="Arial" w:hAnsi="Arial" w:cs="Arial"/>
          <w:sz w:val="24"/>
          <w:szCs w:val="24"/>
        </w:rPr>
        <w:t xml:space="preserve">que la CTA Colaborar incurrió en violación de la Ley al servir como intermediaria para el pago de la seguridad social del causante José Alirio Mejía Jiménez, </w:t>
      </w:r>
      <w:r w:rsidR="001E0DE4" w:rsidRPr="00640597">
        <w:rPr>
          <w:rFonts w:ascii="Arial" w:hAnsi="Arial" w:cs="Arial"/>
          <w:sz w:val="24"/>
          <w:szCs w:val="24"/>
        </w:rPr>
        <w:t xml:space="preserve">pues la señora Ofelia </w:t>
      </w:r>
      <w:r w:rsidR="001E0DE4" w:rsidRPr="00640597">
        <w:rPr>
          <w:rFonts w:ascii="Arial" w:hAnsi="Arial" w:cs="Arial"/>
          <w:sz w:val="24"/>
          <w:szCs w:val="24"/>
        </w:rPr>
        <w:lastRenderedPageBreak/>
        <w:t>Riaño Peláez es responsable de la afiliación y pago de los aportes a la seguridad social del causante</w:t>
      </w:r>
      <w:r w:rsidR="008D363C">
        <w:rPr>
          <w:rFonts w:ascii="Arial" w:hAnsi="Arial" w:cs="Arial"/>
          <w:sz w:val="24"/>
          <w:szCs w:val="24"/>
        </w:rPr>
        <w:t>,</w:t>
      </w:r>
      <w:r w:rsidR="00E62884" w:rsidRPr="00640597">
        <w:rPr>
          <w:rFonts w:ascii="Arial" w:hAnsi="Arial" w:cs="Arial"/>
          <w:sz w:val="24"/>
          <w:szCs w:val="24"/>
        </w:rPr>
        <w:t xml:space="preserve"> </w:t>
      </w:r>
      <w:r w:rsidR="004922B7" w:rsidRPr="00640597">
        <w:rPr>
          <w:rFonts w:ascii="Arial" w:hAnsi="Arial" w:cs="Arial"/>
          <w:sz w:val="24"/>
          <w:szCs w:val="24"/>
        </w:rPr>
        <w:t xml:space="preserve">quien falleció por causa o con ocasión del trabajo. Con base en lo anterior, aspira que se condene a la ARL Positiva Compañía de Seguros a reconocer y pagar la pensión de sobrevivientes en favor de la demandante y sus hijos menores, a partir del 5 de febrero de 2014, el retroactivo pensional junto con los intereses moratorios o en subsidio la indexación de las condenas, más las costas del proceso a su favor.  </w:t>
      </w:r>
    </w:p>
    <w:p w14:paraId="6A05A809" w14:textId="77777777" w:rsidR="001919F7" w:rsidRPr="00640597" w:rsidRDefault="001919F7" w:rsidP="00640597">
      <w:pPr>
        <w:spacing w:after="0"/>
        <w:jc w:val="both"/>
        <w:rPr>
          <w:rFonts w:ascii="Arial" w:hAnsi="Arial" w:cs="Arial"/>
          <w:sz w:val="24"/>
          <w:szCs w:val="24"/>
        </w:rPr>
      </w:pPr>
    </w:p>
    <w:p w14:paraId="2F9896FC" w14:textId="59D48B5A" w:rsidR="006A6F6A" w:rsidRPr="00640597" w:rsidRDefault="00DE4156" w:rsidP="00640597">
      <w:pPr>
        <w:spacing w:after="0"/>
        <w:jc w:val="both"/>
        <w:rPr>
          <w:rFonts w:ascii="Arial" w:hAnsi="Arial" w:cs="Arial"/>
          <w:sz w:val="24"/>
          <w:szCs w:val="24"/>
        </w:rPr>
      </w:pPr>
      <w:r w:rsidRPr="00640597">
        <w:rPr>
          <w:rFonts w:ascii="Arial" w:hAnsi="Arial" w:cs="Arial"/>
          <w:sz w:val="24"/>
          <w:szCs w:val="24"/>
        </w:rPr>
        <w:t>R</w:t>
      </w:r>
      <w:r w:rsidR="001919F7" w:rsidRPr="00640597">
        <w:rPr>
          <w:rFonts w:ascii="Arial" w:hAnsi="Arial" w:cs="Arial"/>
          <w:sz w:val="24"/>
          <w:szCs w:val="24"/>
        </w:rPr>
        <w:t xml:space="preserve">efiere que </w:t>
      </w:r>
      <w:r w:rsidRPr="00640597">
        <w:rPr>
          <w:rFonts w:ascii="Arial" w:hAnsi="Arial" w:cs="Arial"/>
          <w:sz w:val="24"/>
          <w:szCs w:val="24"/>
        </w:rPr>
        <w:t xml:space="preserve">el señor </w:t>
      </w:r>
      <w:r w:rsidR="00E22039" w:rsidRPr="00640597">
        <w:rPr>
          <w:rFonts w:ascii="Arial" w:hAnsi="Arial" w:cs="Arial"/>
          <w:sz w:val="24"/>
          <w:szCs w:val="24"/>
        </w:rPr>
        <w:t xml:space="preserve">José Alirio </w:t>
      </w:r>
      <w:r w:rsidRPr="00640597">
        <w:rPr>
          <w:rFonts w:ascii="Arial" w:hAnsi="Arial" w:cs="Arial"/>
          <w:sz w:val="24"/>
          <w:szCs w:val="24"/>
        </w:rPr>
        <w:t xml:space="preserve">Mejía Jiménez se desempeñaba como </w:t>
      </w:r>
      <w:r w:rsidR="004922B7" w:rsidRPr="00640597">
        <w:rPr>
          <w:rFonts w:ascii="Arial" w:hAnsi="Arial" w:cs="Arial"/>
          <w:sz w:val="24"/>
          <w:szCs w:val="24"/>
        </w:rPr>
        <w:t xml:space="preserve">conductor de taxi afiliado a la </w:t>
      </w:r>
      <w:r w:rsidRPr="00640597">
        <w:rPr>
          <w:rFonts w:ascii="Arial" w:hAnsi="Arial" w:cs="Arial"/>
          <w:sz w:val="24"/>
          <w:szCs w:val="24"/>
        </w:rPr>
        <w:t xml:space="preserve">Cooperativa </w:t>
      </w:r>
      <w:proofErr w:type="spellStart"/>
      <w:r w:rsidRPr="00640597">
        <w:rPr>
          <w:rFonts w:ascii="Arial" w:hAnsi="Arial" w:cs="Arial"/>
          <w:sz w:val="24"/>
          <w:szCs w:val="24"/>
        </w:rPr>
        <w:t>Covichoralda</w:t>
      </w:r>
      <w:proofErr w:type="spellEnd"/>
      <w:r w:rsidRPr="00640597">
        <w:rPr>
          <w:rFonts w:ascii="Arial" w:hAnsi="Arial" w:cs="Arial"/>
          <w:sz w:val="24"/>
          <w:szCs w:val="24"/>
        </w:rPr>
        <w:t xml:space="preserve"> Ltda., a la cual estuvo vinculado por </w:t>
      </w:r>
      <w:r w:rsidR="004922B7" w:rsidRPr="00640597">
        <w:rPr>
          <w:rFonts w:ascii="Arial" w:hAnsi="Arial" w:cs="Arial"/>
          <w:sz w:val="24"/>
          <w:szCs w:val="24"/>
        </w:rPr>
        <w:t>más de 30 años</w:t>
      </w:r>
      <w:r w:rsidRPr="00640597">
        <w:rPr>
          <w:rFonts w:ascii="Arial" w:hAnsi="Arial" w:cs="Arial"/>
          <w:sz w:val="24"/>
          <w:szCs w:val="24"/>
        </w:rPr>
        <w:t xml:space="preserve">; que </w:t>
      </w:r>
      <w:r w:rsidR="007A39B4" w:rsidRPr="00640597">
        <w:rPr>
          <w:rFonts w:ascii="Arial" w:hAnsi="Arial" w:cs="Arial"/>
          <w:sz w:val="24"/>
          <w:szCs w:val="24"/>
        </w:rPr>
        <w:t xml:space="preserve">estaba afiliado </w:t>
      </w:r>
      <w:r w:rsidRPr="00640597">
        <w:rPr>
          <w:rFonts w:ascii="Arial" w:hAnsi="Arial" w:cs="Arial"/>
          <w:sz w:val="24"/>
          <w:szCs w:val="24"/>
        </w:rPr>
        <w:t>a la ARL Positiva Compañía de Seguros S.A.</w:t>
      </w:r>
      <w:r w:rsidR="007A39B4" w:rsidRPr="00640597">
        <w:rPr>
          <w:rFonts w:ascii="Arial" w:hAnsi="Arial" w:cs="Arial"/>
          <w:sz w:val="24"/>
          <w:szCs w:val="24"/>
        </w:rPr>
        <w:t xml:space="preserve"> por cuenta de la CTA Colaborar</w:t>
      </w:r>
      <w:r w:rsidRPr="00640597">
        <w:rPr>
          <w:rFonts w:ascii="Arial" w:hAnsi="Arial" w:cs="Arial"/>
          <w:sz w:val="24"/>
          <w:szCs w:val="24"/>
        </w:rPr>
        <w:t xml:space="preserve">; el 1 de febrero de 2013 </w:t>
      </w:r>
      <w:r w:rsidR="004922B7" w:rsidRPr="00640597">
        <w:rPr>
          <w:rFonts w:ascii="Arial" w:hAnsi="Arial" w:cs="Arial"/>
          <w:sz w:val="24"/>
          <w:szCs w:val="24"/>
        </w:rPr>
        <w:t xml:space="preserve">empezó a laborar como conductor del taxi A-465 de placas WHN-622 de propiedad de la señora </w:t>
      </w:r>
      <w:r w:rsidRPr="00640597">
        <w:rPr>
          <w:rFonts w:ascii="Arial" w:hAnsi="Arial" w:cs="Arial"/>
          <w:sz w:val="24"/>
          <w:szCs w:val="24"/>
        </w:rPr>
        <w:t xml:space="preserve">Ofelia Riaño Peláez, y que mientras laboraba, el 5 de febrero de 2014 fue atacado por un pasajero que le propinó un disparo en la cabeza y le causó la muerte; que para ese momento se encontraba en unión marital con la demandante, con quien compartía techo, lecho y mesa desde el año 1996 y </w:t>
      </w:r>
      <w:r w:rsidR="00F43B83" w:rsidRPr="00640597">
        <w:rPr>
          <w:rFonts w:ascii="Arial" w:hAnsi="Arial" w:cs="Arial"/>
          <w:sz w:val="24"/>
          <w:szCs w:val="24"/>
        </w:rPr>
        <w:t xml:space="preserve">había procreado </w:t>
      </w:r>
      <w:r w:rsidRPr="00640597">
        <w:rPr>
          <w:rFonts w:ascii="Arial" w:hAnsi="Arial" w:cs="Arial"/>
          <w:sz w:val="24"/>
          <w:szCs w:val="24"/>
        </w:rPr>
        <w:t>tres hijos</w:t>
      </w:r>
      <w:r w:rsidR="00F43B83" w:rsidRPr="00640597">
        <w:rPr>
          <w:rFonts w:ascii="Arial" w:hAnsi="Arial" w:cs="Arial"/>
          <w:sz w:val="24"/>
          <w:szCs w:val="24"/>
        </w:rPr>
        <w:t xml:space="preserve">: </w:t>
      </w:r>
      <w:r w:rsidRPr="00640597">
        <w:rPr>
          <w:rFonts w:ascii="Arial" w:hAnsi="Arial" w:cs="Arial"/>
          <w:sz w:val="24"/>
          <w:szCs w:val="24"/>
        </w:rPr>
        <w:t xml:space="preserve">Johan Steven, Santiago y Karen Yuliana Mejía Pereira, siendo los dos primeros menores de edad. Relata que el 9 de septiembre de 2015 solicitó ante la ARL Positiva Compañía de Seguros la pensión de sobrevivientes, </w:t>
      </w:r>
      <w:r w:rsidR="006A6F6A" w:rsidRPr="00640597">
        <w:rPr>
          <w:rFonts w:ascii="Arial" w:hAnsi="Arial" w:cs="Arial"/>
          <w:sz w:val="24"/>
          <w:szCs w:val="24"/>
        </w:rPr>
        <w:t>sin embargo, mediante oficio del 15 de octubre de ese mismo año, la entidad negó su reconocimiento determinando que se trata de un evento sin cobertura, dado que, para el momento del deceso, el afiliado se encontraba realizando actividades en favor de la señora Ofelia Riaño Peláez, empleador diferente al que lo afilió al sistema de riesgos laborales. Finalmente, aduce que entre el causante y la señora Ofelia Riaño Peláez existía un contrato de trabajo verbal, pues el primero se comprometió a conducir el taxi de servicio público de propiedad de ésta.</w:t>
      </w:r>
    </w:p>
    <w:p w14:paraId="5A39BBE3" w14:textId="77777777" w:rsidR="00DE4156" w:rsidRPr="00640597" w:rsidRDefault="00DE4156" w:rsidP="00640597">
      <w:pPr>
        <w:spacing w:after="0"/>
        <w:jc w:val="both"/>
        <w:rPr>
          <w:rFonts w:ascii="Arial" w:hAnsi="Arial" w:cs="Arial"/>
          <w:sz w:val="24"/>
          <w:szCs w:val="24"/>
        </w:rPr>
      </w:pPr>
    </w:p>
    <w:p w14:paraId="32518F4B" w14:textId="58358C14" w:rsidR="00F43B83" w:rsidRPr="00640597" w:rsidRDefault="001919F7" w:rsidP="00640597">
      <w:pPr>
        <w:spacing w:after="0"/>
        <w:jc w:val="both"/>
        <w:rPr>
          <w:rFonts w:ascii="Arial" w:hAnsi="Arial" w:cs="Arial"/>
          <w:bCs/>
          <w:sz w:val="24"/>
          <w:szCs w:val="24"/>
        </w:rPr>
      </w:pPr>
      <w:r w:rsidRPr="00640597">
        <w:rPr>
          <w:rFonts w:ascii="Arial" w:hAnsi="Arial" w:cs="Arial"/>
          <w:sz w:val="24"/>
          <w:szCs w:val="24"/>
        </w:rPr>
        <w:t xml:space="preserve">Al dar respuesta a la demanda, </w:t>
      </w:r>
      <w:r w:rsidR="006A6F6A" w:rsidRPr="00640597">
        <w:rPr>
          <w:rFonts w:ascii="Arial" w:hAnsi="Arial" w:cs="Arial"/>
          <w:sz w:val="24"/>
          <w:szCs w:val="24"/>
        </w:rPr>
        <w:t>Positiva Compañía de Seguros S.A. manifestó que, no está obligada a reconocer la prestación reclamada, por cuanto el causante al momento de su deceso se encontraba realizando una labor para la cual no estaba afiliado ni cubierto por parte de la C</w:t>
      </w:r>
      <w:r w:rsidR="00F43B83" w:rsidRPr="00640597">
        <w:rPr>
          <w:rFonts w:ascii="Arial" w:hAnsi="Arial" w:cs="Arial"/>
          <w:sz w:val="24"/>
          <w:szCs w:val="24"/>
        </w:rPr>
        <w:t xml:space="preserve">TA Colaborar, pues se encontraba prestando el servicio en favor de la señora Ofelia Riaño Peláez; agregando que la demandante se encuentra disfrutando de una pensión de sobrevivientes por riesgo común. Se opuso a la prosperidad de las pretensiones y formuló como excepciones de fondo: </w:t>
      </w:r>
      <w:r w:rsidR="00F43B83" w:rsidRPr="00640597">
        <w:rPr>
          <w:rFonts w:ascii="Arial" w:hAnsi="Arial" w:cs="Arial"/>
          <w:bCs/>
          <w:sz w:val="24"/>
          <w:szCs w:val="24"/>
        </w:rPr>
        <w:t>“</w:t>
      </w:r>
      <w:r w:rsidR="00F43B83" w:rsidRPr="00640597">
        <w:rPr>
          <w:rFonts w:ascii="Arial" w:hAnsi="Arial" w:cs="Arial"/>
          <w:bCs/>
          <w:i/>
          <w:sz w:val="24"/>
          <w:szCs w:val="24"/>
        </w:rPr>
        <w:t>Inexistencia del derecho e inexistencia de la obligación”; “Falta de legitimación en la causa por pasiva”; “Buena fe de la entidad demandada”; “Enriquecimiento sin causa”; Prescripción</w:t>
      </w:r>
      <w:r w:rsidR="0024607C" w:rsidRPr="00640597">
        <w:rPr>
          <w:rFonts w:ascii="Arial" w:hAnsi="Arial" w:cs="Arial"/>
          <w:bCs/>
          <w:sz w:val="24"/>
          <w:szCs w:val="24"/>
        </w:rPr>
        <w:t>” y</w:t>
      </w:r>
      <w:r w:rsidR="00F43B83" w:rsidRPr="00640597">
        <w:rPr>
          <w:rFonts w:ascii="Arial" w:hAnsi="Arial" w:cs="Arial"/>
          <w:bCs/>
          <w:sz w:val="24"/>
          <w:szCs w:val="24"/>
        </w:rPr>
        <w:t xml:space="preserve"> </w:t>
      </w:r>
      <w:r w:rsidR="00F43B83" w:rsidRPr="00640597">
        <w:rPr>
          <w:rFonts w:ascii="Arial" w:hAnsi="Arial" w:cs="Arial"/>
          <w:bCs/>
          <w:i/>
          <w:sz w:val="24"/>
          <w:szCs w:val="24"/>
        </w:rPr>
        <w:t>“Innominada o Genérica</w:t>
      </w:r>
      <w:r w:rsidR="00F43B83" w:rsidRPr="00640597">
        <w:rPr>
          <w:rFonts w:ascii="Arial" w:hAnsi="Arial" w:cs="Arial"/>
          <w:bCs/>
          <w:sz w:val="24"/>
          <w:szCs w:val="24"/>
        </w:rPr>
        <w:t xml:space="preserve">”, (archivo 27 del expediente digital). </w:t>
      </w:r>
    </w:p>
    <w:p w14:paraId="41C8F396" w14:textId="77777777" w:rsidR="00175BC8" w:rsidRPr="00640597" w:rsidRDefault="00175BC8" w:rsidP="00640597">
      <w:pPr>
        <w:spacing w:after="0"/>
        <w:jc w:val="both"/>
        <w:rPr>
          <w:rFonts w:ascii="Arial" w:hAnsi="Arial" w:cs="Arial"/>
          <w:sz w:val="24"/>
          <w:szCs w:val="24"/>
        </w:rPr>
      </w:pPr>
    </w:p>
    <w:p w14:paraId="55309480" w14:textId="31BEB6D3" w:rsidR="00175BC8" w:rsidRPr="00640597" w:rsidRDefault="00175BC8" w:rsidP="00640597">
      <w:pPr>
        <w:spacing w:after="0"/>
        <w:jc w:val="both"/>
        <w:rPr>
          <w:rFonts w:ascii="Arial" w:hAnsi="Arial" w:cs="Arial"/>
          <w:sz w:val="24"/>
          <w:szCs w:val="24"/>
        </w:rPr>
      </w:pPr>
      <w:r w:rsidRPr="00640597">
        <w:rPr>
          <w:rFonts w:ascii="Arial" w:hAnsi="Arial" w:cs="Arial"/>
          <w:sz w:val="24"/>
          <w:szCs w:val="24"/>
        </w:rPr>
        <w:t xml:space="preserve">Por su parte, </w:t>
      </w:r>
      <w:r w:rsidR="00BA111F" w:rsidRPr="00640597">
        <w:rPr>
          <w:rFonts w:ascii="Arial" w:hAnsi="Arial" w:cs="Arial"/>
          <w:sz w:val="24"/>
          <w:szCs w:val="24"/>
        </w:rPr>
        <w:t xml:space="preserve">la CTA </w:t>
      </w:r>
      <w:proofErr w:type="spellStart"/>
      <w:r w:rsidR="00BA111F" w:rsidRPr="00640597">
        <w:rPr>
          <w:rFonts w:ascii="Arial" w:hAnsi="Arial" w:cs="Arial"/>
          <w:sz w:val="24"/>
          <w:szCs w:val="24"/>
        </w:rPr>
        <w:t>Coolaborar</w:t>
      </w:r>
      <w:proofErr w:type="spellEnd"/>
      <w:r w:rsidR="00BA111F" w:rsidRPr="00640597">
        <w:rPr>
          <w:rFonts w:ascii="Arial" w:hAnsi="Arial" w:cs="Arial"/>
          <w:sz w:val="24"/>
          <w:szCs w:val="24"/>
        </w:rPr>
        <w:t xml:space="preserve"> en respuesta</w:t>
      </w:r>
      <w:r w:rsidR="005F1D29" w:rsidRPr="00640597">
        <w:rPr>
          <w:rFonts w:ascii="Arial" w:hAnsi="Arial" w:cs="Arial"/>
          <w:sz w:val="24"/>
          <w:szCs w:val="24"/>
        </w:rPr>
        <w:t xml:space="preserve"> a la demanda</w:t>
      </w:r>
      <w:r w:rsidR="00BA111F" w:rsidRPr="00640597">
        <w:rPr>
          <w:rFonts w:ascii="Arial" w:hAnsi="Arial" w:cs="Arial"/>
          <w:sz w:val="24"/>
          <w:szCs w:val="24"/>
        </w:rPr>
        <w:t xml:space="preserve"> se opuso a </w:t>
      </w:r>
      <w:r w:rsidR="005F1D29" w:rsidRPr="00640597">
        <w:rPr>
          <w:rFonts w:ascii="Arial" w:hAnsi="Arial" w:cs="Arial"/>
          <w:sz w:val="24"/>
          <w:szCs w:val="24"/>
        </w:rPr>
        <w:t>pretensión encaminada a que se le</w:t>
      </w:r>
      <w:r w:rsidR="00BA111F" w:rsidRPr="00640597">
        <w:rPr>
          <w:rFonts w:ascii="Arial" w:hAnsi="Arial" w:cs="Arial"/>
          <w:sz w:val="24"/>
          <w:szCs w:val="24"/>
        </w:rPr>
        <w:t xml:space="preserve"> declare como intermediaria del pago de la seguridad social y </w:t>
      </w:r>
      <w:r w:rsidR="005F1D29" w:rsidRPr="00640597">
        <w:rPr>
          <w:rFonts w:ascii="Arial" w:hAnsi="Arial" w:cs="Arial"/>
          <w:sz w:val="24"/>
          <w:szCs w:val="24"/>
        </w:rPr>
        <w:t>como responsable a</w:t>
      </w:r>
      <w:r w:rsidR="00BA111F" w:rsidRPr="00640597">
        <w:rPr>
          <w:rFonts w:ascii="Arial" w:hAnsi="Arial" w:cs="Arial"/>
          <w:sz w:val="24"/>
          <w:szCs w:val="24"/>
        </w:rPr>
        <w:t xml:space="preserve"> la señora Ofelia Riaño Peláez</w:t>
      </w:r>
      <w:r w:rsidR="005F1D29" w:rsidRPr="00640597">
        <w:rPr>
          <w:rFonts w:ascii="Arial" w:hAnsi="Arial" w:cs="Arial"/>
          <w:sz w:val="24"/>
          <w:szCs w:val="24"/>
        </w:rPr>
        <w:t xml:space="preserve">, </w:t>
      </w:r>
      <w:r w:rsidR="00AA5300" w:rsidRPr="00640597">
        <w:rPr>
          <w:rFonts w:ascii="Arial" w:hAnsi="Arial" w:cs="Arial"/>
          <w:sz w:val="24"/>
          <w:szCs w:val="24"/>
        </w:rPr>
        <w:t>por considerar que</w:t>
      </w:r>
      <w:r w:rsidR="005F1D29" w:rsidRPr="00640597">
        <w:rPr>
          <w:rFonts w:ascii="Arial" w:hAnsi="Arial" w:cs="Arial"/>
          <w:sz w:val="24"/>
          <w:szCs w:val="24"/>
        </w:rPr>
        <w:t xml:space="preserve"> la autogestión de la cooperativa se limita a la explotación de vehículos de transporte público de pasajeros en la modalidad de taxi, principalmente en vehículos que adquiere en calidad de arrendamiento, como ocurrió en el presente caso, </w:t>
      </w:r>
      <w:r w:rsidR="00254828" w:rsidRPr="00640597">
        <w:rPr>
          <w:rFonts w:ascii="Arial" w:hAnsi="Arial" w:cs="Arial"/>
          <w:sz w:val="24"/>
          <w:szCs w:val="24"/>
        </w:rPr>
        <w:t xml:space="preserve">de modo que, al haber efectuado el pago de los aportes a la seguridad social, es </w:t>
      </w:r>
      <w:r w:rsidR="005F1D29" w:rsidRPr="00640597">
        <w:rPr>
          <w:rFonts w:ascii="Arial" w:hAnsi="Arial" w:cs="Arial"/>
          <w:sz w:val="24"/>
          <w:szCs w:val="24"/>
        </w:rPr>
        <w:t>la ARL Positiva la llamada a responder por el</w:t>
      </w:r>
      <w:r w:rsidR="00B44C0B" w:rsidRPr="00640597">
        <w:rPr>
          <w:rFonts w:ascii="Arial" w:hAnsi="Arial" w:cs="Arial"/>
          <w:sz w:val="24"/>
          <w:szCs w:val="24"/>
        </w:rPr>
        <w:t xml:space="preserve"> accidente de trabajo sufrido por el señor José Alirio Mejía Jiménez. Propuso como </w:t>
      </w:r>
      <w:r w:rsidR="00254828" w:rsidRPr="00640597">
        <w:rPr>
          <w:rFonts w:ascii="Arial" w:hAnsi="Arial" w:cs="Arial"/>
          <w:sz w:val="24"/>
          <w:szCs w:val="24"/>
        </w:rPr>
        <w:t>excepción de mérito la que denominó: “</w:t>
      </w:r>
      <w:r w:rsidR="00254828" w:rsidRPr="00640597">
        <w:rPr>
          <w:rFonts w:ascii="Arial" w:hAnsi="Arial" w:cs="Arial"/>
          <w:i/>
          <w:sz w:val="24"/>
          <w:szCs w:val="24"/>
        </w:rPr>
        <w:t>Inexistencia de las obligaciones demandadas</w:t>
      </w:r>
      <w:r w:rsidR="00254828" w:rsidRPr="00640597">
        <w:rPr>
          <w:rFonts w:ascii="Arial" w:hAnsi="Arial" w:cs="Arial"/>
          <w:sz w:val="24"/>
          <w:szCs w:val="24"/>
        </w:rPr>
        <w:t xml:space="preserve">”, (archivo 29 del expediente digital). </w:t>
      </w:r>
      <w:r w:rsidR="00B44C0B" w:rsidRPr="00640597">
        <w:rPr>
          <w:rFonts w:ascii="Arial" w:hAnsi="Arial" w:cs="Arial"/>
          <w:sz w:val="24"/>
          <w:szCs w:val="24"/>
        </w:rPr>
        <w:t xml:space="preserve"> </w:t>
      </w:r>
    </w:p>
    <w:p w14:paraId="72A3D3EC" w14:textId="77777777" w:rsidR="00096262" w:rsidRPr="00640597" w:rsidRDefault="00096262" w:rsidP="00640597">
      <w:pPr>
        <w:spacing w:after="0"/>
        <w:jc w:val="both"/>
        <w:rPr>
          <w:rFonts w:ascii="Arial" w:hAnsi="Arial" w:cs="Arial"/>
          <w:sz w:val="24"/>
          <w:szCs w:val="24"/>
        </w:rPr>
      </w:pPr>
    </w:p>
    <w:p w14:paraId="7E38387B" w14:textId="1D98F9BA" w:rsidR="00F2045E" w:rsidRPr="00640597" w:rsidRDefault="00F2045E" w:rsidP="00640597">
      <w:pPr>
        <w:spacing w:after="0"/>
        <w:jc w:val="both"/>
        <w:rPr>
          <w:rFonts w:ascii="Arial" w:hAnsi="Arial" w:cs="Arial"/>
          <w:sz w:val="24"/>
          <w:szCs w:val="24"/>
        </w:rPr>
      </w:pPr>
      <w:r w:rsidRPr="00640597">
        <w:rPr>
          <w:rFonts w:ascii="Arial" w:hAnsi="Arial" w:cs="Arial"/>
          <w:sz w:val="24"/>
          <w:szCs w:val="24"/>
        </w:rPr>
        <w:lastRenderedPageBreak/>
        <w:t>Ofelia Riaño Peláez dio respuesta a la demanda indicando que</w:t>
      </w:r>
      <w:r w:rsidR="00823DEA" w:rsidRPr="00640597">
        <w:rPr>
          <w:rFonts w:ascii="Arial" w:hAnsi="Arial" w:cs="Arial"/>
          <w:sz w:val="24"/>
          <w:szCs w:val="24"/>
        </w:rPr>
        <w:t xml:space="preserve"> </w:t>
      </w:r>
      <w:r w:rsidRPr="00640597">
        <w:rPr>
          <w:rFonts w:ascii="Arial" w:hAnsi="Arial" w:cs="Arial"/>
          <w:sz w:val="24"/>
          <w:szCs w:val="24"/>
        </w:rPr>
        <w:t xml:space="preserve">entre ella y el causante </w:t>
      </w:r>
      <w:r w:rsidR="00823DEA" w:rsidRPr="00640597">
        <w:rPr>
          <w:rFonts w:ascii="Arial" w:hAnsi="Arial" w:cs="Arial"/>
          <w:sz w:val="24"/>
          <w:szCs w:val="24"/>
        </w:rPr>
        <w:t>no existió vínculo laboral alguno, pues lo que se desarrolló fue un contrato comercial con la CTA Colaborar, a quien le arrendó el vehículo tipo taxi A-465 de placas WHN-622, sin que ella tuviese ningún tipo de contacto con el conductor asignado. Se opuso a las pretensiones y formuló en su defensa las excepciones de: “</w:t>
      </w:r>
      <w:r w:rsidR="00823DEA" w:rsidRPr="00640597">
        <w:rPr>
          <w:rFonts w:ascii="Arial" w:hAnsi="Arial" w:cs="Arial"/>
          <w:i/>
          <w:sz w:val="24"/>
          <w:szCs w:val="24"/>
          <w:lang w:val="es-ES"/>
        </w:rPr>
        <w:t>Inexistencia de la causa de la obligación que se alega”</w:t>
      </w:r>
      <w:r w:rsidR="00096262" w:rsidRPr="00640597">
        <w:rPr>
          <w:rFonts w:ascii="Arial" w:hAnsi="Arial" w:cs="Arial"/>
          <w:i/>
          <w:sz w:val="24"/>
          <w:szCs w:val="24"/>
          <w:lang w:val="es-ES"/>
        </w:rPr>
        <w:t xml:space="preserve">, </w:t>
      </w:r>
      <w:r w:rsidR="00AA5300" w:rsidRPr="00640597">
        <w:rPr>
          <w:rFonts w:ascii="Arial" w:hAnsi="Arial" w:cs="Arial"/>
          <w:i/>
          <w:sz w:val="24"/>
          <w:szCs w:val="24"/>
          <w:lang w:val="es-ES"/>
        </w:rPr>
        <w:t>“</w:t>
      </w:r>
      <w:r w:rsidR="00823DEA" w:rsidRPr="00640597">
        <w:rPr>
          <w:rFonts w:ascii="Arial" w:hAnsi="Arial" w:cs="Arial"/>
          <w:i/>
          <w:sz w:val="24"/>
          <w:szCs w:val="24"/>
          <w:lang w:val="es-ES"/>
        </w:rPr>
        <w:t>Reclamación jurídica de lo no debido</w:t>
      </w:r>
      <w:r w:rsidR="00823DEA" w:rsidRPr="00640597">
        <w:rPr>
          <w:rFonts w:ascii="Arial" w:hAnsi="Arial" w:cs="Arial"/>
          <w:sz w:val="24"/>
          <w:szCs w:val="24"/>
          <w:lang w:val="es-ES"/>
        </w:rPr>
        <w:t>”</w:t>
      </w:r>
      <w:r w:rsidR="0024607C" w:rsidRPr="00640597">
        <w:rPr>
          <w:rFonts w:ascii="Arial" w:hAnsi="Arial" w:cs="Arial"/>
          <w:sz w:val="24"/>
          <w:szCs w:val="24"/>
          <w:lang w:val="es-ES"/>
        </w:rPr>
        <w:t xml:space="preserve"> y </w:t>
      </w:r>
      <w:r w:rsidR="00823DEA" w:rsidRPr="00640597">
        <w:rPr>
          <w:rFonts w:ascii="Arial" w:hAnsi="Arial" w:cs="Arial"/>
          <w:i/>
          <w:sz w:val="24"/>
          <w:szCs w:val="24"/>
          <w:lang w:val="es-ES"/>
        </w:rPr>
        <w:t>“Buena fe</w:t>
      </w:r>
      <w:r w:rsidR="00823DEA" w:rsidRPr="00640597">
        <w:rPr>
          <w:rFonts w:ascii="Arial" w:hAnsi="Arial" w:cs="Arial"/>
          <w:sz w:val="24"/>
          <w:szCs w:val="24"/>
          <w:lang w:val="es-ES"/>
        </w:rPr>
        <w:t>”,</w:t>
      </w:r>
      <w:r w:rsidR="00823DEA" w:rsidRPr="00640597">
        <w:rPr>
          <w:rFonts w:ascii="Arial" w:hAnsi="Arial" w:cs="Arial"/>
          <w:b/>
          <w:sz w:val="24"/>
          <w:szCs w:val="24"/>
          <w:lang w:val="es-ES"/>
        </w:rPr>
        <w:t xml:space="preserve"> </w:t>
      </w:r>
      <w:r w:rsidR="00823DEA" w:rsidRPr="00640597">
        <w:rPr>
          <w:rFonts w:ascii="Arial" w:hAnsi="Arial" w:cs="Arial"/>
          <w:sz w:val="24"/>
          <w:szCs w:val="24"/>
          <w:lang w:val="es-ES"/>
        </w:rPr>
        <w:t>(archivo</w:t>
      </w:r>
      <w:r w:rsidRPr="00640597">
        <w:rPr>
          <w:rFonts w:ascii="Arial" w:hAnsi="Arial" w:cs="Arial"/>
          <w:sz w:val="24"/>
          <w:szCs w:val="24"/>
        </w:rPr>
        <w:t xml:space="preserve"> 32 del expediente digital).</w:t>
      </w:r>
    </w:p>
    <w:p w14:paraId="0D0B940D" w14:textId="77777777" w:rsidR="00AD1423" w:rsidRPr="00640597" w:rsidRDefault="00AD1423" w:rsidP="00640597">
      <w:pPr>
        <w:spacing w:after="0"/>
        <w:jc w:val="both"/>
        <w:rPr>
          <w:rFonts w:ascii="Arial" w:hAnsi="Arial" w:cs="Arial"/>
          <w:sz w:val="24"/>
          <w:szCs w:val="24"/>
        </w:rPr>
      </w:pPr>
    </w:p>
    <w:p w14:paraId="0BB33022" w14:textId="77777777" w:rsidR="00AD1423" w:rsidRPr="00640597" w:rsidRDefault="00AD1423" w:rsidP="00640597">
      <w:pPr>
        <w:spacing w:after="0"/>
        <w:jc w:val="both"/>
        <w:rPr>
          <w:rFonts w:ascii="Arial" w:hAnsi="Arial" w:cs="Arial"/>
          <w:sz w:val="24"/>
          <w:szCs w:val="24"/>
        </w:rPr>
      </w:pPr>
      <w:r w:rsidRPr="00640597">
        <w:rPr>
          <w:rFonts w:ascii="Arial" w:hAnsi="Arial" w:cs="Arial"/>
          <w:sz w:val="24"/>
          <w:szCs w:val="24"/>
          <w:lang w:val="es-ES"/>
        </w:rPr>
        <w:t xml:space="preserve">Mediante proveídos del 12 de abril de 2016 y 24 de julio de 2019 se ordenó vincular a </w:t>
      </w:r>
      <w:r w:rsidRPr="00640597">
        <w:rPr>
          <w:rFonts w:ascii="Arial" w:hAnsi="Arial" w:cs="Arial"/>
          <w:bCs/>
          <w:sz w:val="24"/>
          <w:szCs w:val="24"/>
        </w:rPr>
        <w:t>Karen Juliana Mejía Pereira</w:t>
      </w:r>
      <w:r w:rsidRPr="00640597">
        <w:rPr>
          <w:rFonts w:ascii="Arial" w:hAnsi="Arial" w:cs="Arial"/>
          <w:sz w:val="24"/>
          <w:szCs w:val="24"/>
        </w:rPr>
        <w:t xml:space="preserve"> y </w:t>
      </w:r>
      <w:r w:rsidRPr="00640597">
        <w:rPr>
          <w:rFonts w:ascii="Arial" w:hAnsi="Arial" w:cs="Arial"/>
          <w:bCs/>
          <w:sz w:val="24"/>
          <w:szCs w:val="24"/>
        </w:rPr>
        <w:t>María Gladys Vélez Ayala, en calidad de hija y esposa del causante, respectivamente, sin embargo,</w:t>
      </w:r>
      <w:r w:rsidRPr="00640597">
        <w:rPr>
          <w:rFonts w:ascii="Arial" w:hAnsi="Arial" w:cs="Arial"/>
          <w:b/>
          <w:bCs/>
          <w:sz w:val="24"/>
          <w:szCs w:val="24"/>
        </w:rPr>
        <w:t xml:space="preserve"> </w:t>
      </w:r>
      <w:r w:rsidRPr="00640597">
        <w:rPr>
          <w:rFonts w:ascii="Arial" w:hAnsi="Arial" w:cs="Arial"/>
          <w:sz w:val="24"/>
          <w:szCs w:val="24"/>
        </w:rPr>
        <w:t>desistieron de cualquier derecho que eventualmente les llega</w:t>
      </w:r>
      <w:r w:rsidR="008D1D0F" w:rsidRPr="00640597">
        <w:rPr>
          <w:rFonts w:ascii="Arial" w:hAnsi="Arial" w:cs="Arial"/>
          <w:sz w:val="24"/>
          <w:szCs w:val="24"/>
        </w:rPr>
        <w:t>se</w:t>
      </w:r>
      <w:r w:rsidRPr="00640597">
        <w:rPr>
          <w:rFonts w:ascii="Arial" w:hAnsi="Arial" w:cs="Arial"/>
          <w:sz w:val="24"/>
          <w:szCs w:val="24"/>
        </w:rPr>
        <w:t xml:space="preserve"> a corresponder (archivos 21 y 77 y del expediente digital).</w:t>
      </w:r>
    </w:p>
    <w:p w14:paraId="0E27B00A" w14:textId="77777777" w:rsidR="00F2045E" w:rsidRPr="00640597" w:rsidRDefault="00F2045E" w:rsidP="00640597">
      <w:pPr>
        <w:rPr>
          <w:rFonts w:ascii="Arial" w:eastAsiaTheme="minorHAnsi" w:hAnsi="Arial" w:cs="Arial"/>
          <w:b/>
          <w:bCs/>
          <w:sz w:val="24"/>
          <w:szCs w:val="24"/>
        </w:rPr>
      </w:pPr>
      <w:bookmarkStart w:id="1" w:name="_Hlk110429353"/>
    </w:p>
    <w:bookmarkEnd w:id="1"/>
    <w:p w14:paraId="4C527D66" w14:textId="77777777" w:rsidR="006A6F6A" w:rsidRPr="00640597" w:rsidRDefault="00BC2735" w:rsidP="00640597">
      <w:pPr>
        <w:spacing w:after="0"/>
        <w:jc w:val="both"/>
        <w:rPr>
          <w:rFonts w:ascii="Arial" w:hAnsi="Arial" w:cs="Arial"/>
          <w:sz w:val="24"/>
          <w:szCs w:val="24"/>
        </w:rPr>
      </w:pPr>
      <w:r w:rsidRPr="00640597">
        <w:rPr>
          <w:rFonts w:ascii="Arial" w:hAnsi="Arial" w:cs="Arial"/>
          <w:sz w:val="24"/>
          <w:szCs w:val="24"/>
        </w:rPr>
        <w:t>Posteriormente, en</w:t>
      </w:r>
      <w:r w:rsidR="00823DEA" w:rsidRPr="00640597">
        <w:rPr>
          <w:rFonts w:ascii="Arial" w:hAnsi="Arial" w:cs="Arial"/>
          <w:sz w:val="24"/>
          <w:szCs w:val="24"/>
        </w:rPr>
        <w:t xml:space="preserve"> auto </w:t>
      </w:r>
      <w:r w:rsidR="008D1D0F" w:rsidRPr="00640597">
        <w:rPr>
          <w:rFonts w:ascii="Arial" w:hAnsi="Arial" w:cs="Arial"/>
          <w:sz w:val="24"/>
          <w:szCs w:val="24"/>
        </w:rPr>
        <w:t>d</w:t>
      </w:r>
      <w:r w:rsidR="00823DEA" w:rsidRPr="00640597">
        <w:rPr>
          <w:rFonts w:ascii="Arial" w:hAnsi="Arial" w:cs="Arial"/>
          <w:sz w:val="24"/>
          <w:szCs w:val="24"/>
        </w:rPr>
        <w:t>el 16 de septiembre de 2016</w:t>
      </w:r>
      <w:r w:rsidR="00E81DC8" w:rsidRPr="00640597">
        <w:rPr>
          <w:rFonts w:ascii="Arial" w:hAnsi="Arial" w:cs="Arial"/>
          <w:sz w:val="24"/>
          <w:szCs w:val="24"/>
        </w:rPr>
        <w:t xml:space="preserve">, </w:t>
      </w:r>
      <w:r w:rsidR="00823DEA" w:rsidRPr="00640597">
        <w:rPr>
          <w:rFonts w:ascii="Arial" w:hAnsi="Arial" w:cs="Arial"/>
          <w:sz w:val="24"/>
          <w:szCs w:val="24"/>
        </w:rPr>
        <w:t xml:space="preserve">el Juzgado de conocimiento </w:t>
      </w:r>
      <w:r w:rsidR="00E81DC8" w:rsidRPr="00640597">
        <w:rPr>
          <w:rFonts w:ascii="Arial" w:hAnsi="Arial" w:cs="Arial"/>
          <w:sz w:val="24"/>
          <w:szCs w:val="24"/>
        </w:rPr>
        <w:t xml:space="preserve">accedió a la vinculación de la Cooperativa de Vivienda de Choferes de Risaralda – </w:t>
      </w:r>
      <w:proofErr w:type="spellStart"/>
      <w:r w:rsidR="00E81DC8" w:rsidRPr="00640597">
        <w:rPr>
          <w:rFonts w:ascii="Arial" w:hAnsi="Arial" w:cs="Arial"/>
          <w:sz w:val="24"/>
          <w:szCs w:val="24"/>
        </w:rPr>
        <w:t>Covichoralda</w:t>
      </w:r>
      <w:proofErr w:type="spellEnd"/>
      <w:r w:rsidR="00E81DC8" w:rsidRPr="00640597">
        <w:rPr>
          <w:rFonts w:ascii="Arial" w:hAnsi="Arial" w:cs="Arial"/>
          <w:sz w:val="24"/>
          <w:szCs w:val="24"/>
        </w:rPr>
        <w:t xml:space="preserve"> Ltda., quien una vez notificada de la demanda, se pronunció indicando que</w:t>
      </w:r>
      <w:r w:rsidR="00C473D8" w:rsidRPr="00640597">
        <w:rPr>
          <w:rFonts w:ascii="Arial" w:hAnsi="Arial" w:cs="Arial"/>
          <w:sz w:val="24"/>
          <w:szCs w:val="24"/>
        </w:rPr>
        <w:t xml:space="preserve">, </w:t>
      </w:r>
      <w:r w:rsidR="00160373" w:rsidRPr="00640597">
        <w:rPr>
          <w:rFonts w:ascii="Arial" w:hAnsi="Arial" w:cs="Arial"/>
          <w:sz w:val="24"/>
          <w:szCs w:val="24"/>
        </w:rPr>
        <w:t>no se opone a las pretensiones toda vez que no afectan los intereses de la entidad</w:t>
      </w:r>
      <w:r w:rsidR="00C473D8" w:rsidRPr="00640597">
        <w:rPr>
          <w:rFonts w:ascii="Arial" w:hAnsi="Arial" w:cs="Arial"/>
          <w:sz w:val="24"/>
          <w:szCs w:val="24"/>
        </w:rPr>
        <w:t xml:space="preserve">. </w:t>
      </w:r>
      <w:r w:rsidR="00160373" w:rsidRPr="00640597">
        <w:rPr>
          <w:rFonts w:ascii="Arial" w:hAnsi="Arial" w:cs="Arial"/>
          <w:sz w:val="24"/>
          <w:szCs w:val="24"/>
        </w:rPr>
        <w:t>Propuso como excepciones de fondo las de: “</w:t>
      </w:r>
      <w:r w:rsidR="00160373" w:rsidRPr="00640597">
        <w:rPr>
          <w:rFonts w:ascii="Arial" w:hAnsi="Arial" w:cs="Arial"/>
          <w:i/>
          <w:sz w:val="24"/>
          <w:szCs w:val="24"/>
        </w:rPr>
        <w:t>Falta de legitimación en la causa por parte del sujeto pasivo de la pretensión (entidad llamada en garantía)</w:t>
      </w:r>
      <w:r w:rsidR="00160373" w:rsidRPr="00640597">
        <w:rPr>
          <w:rFonts w:ascii="Arial" w:hAnsi="Arial" w:cs="Arial"/>
          <w:sz w:val="24"/>
          <w:szCs w:val="24"/>
        </w:rPr>
        <w:t>”</w:t>
      </w:r>
      <w:r w:rsidR="00E81DC8" w:rsidRPr="00640597">
        <w:rPr>
          <w:rFonts w:ascii="Arial" w:hAnsi="Arial" w:cs="Arial"/>
          <w:sz w:val="24"/>
          <w:szCs w:val="24"/>
        </w:rPr>
        <w:t xml:space="preserve"> </w:t>
      </w:r>
      <w:r w:rsidR="00C473D8" w:rsidRPr="00640597">
        <w:rPr>
          <w:rFonts w:ascii="Arial" w:hAnsi="Arial" w:cs="Arial"/>
          <w:sz w:val="24"/>
          <w:szCs w:val="24"/>
        </w:rPr>
        <w:t>y “</w:t>
      </w:r>
      <w:r w:rsidR="00C473D8" w:rsidRPr="00640597">
        <w:rPr>
          <w:rFonts w:ascii="Arial" w:hAnsi="Arial" w:cs="Arial"/>
          <w:i/>
          <w:sz w:val="24"/>
          <w:szCs w:val="24"/>
        </w:rPr>
        <w:t>Prescripción</w:t>
      </w:r>
      <w:r w:rsidR="00C473D8" w:rsidRPr="00640597">
        <w:rPr>
          <w:rFonts w:ascii="Arial" w:hAnsi="Arial" w:cs="Arial"/>
          <w:sz w:val="24"/>
          <w:szCs w:val="24"/>
        </w:rPr>
        <w:t xml:space="preserve">”, (archivo 39 del expediente digital). </w:t>
      </w:r>
    </w:p>
    <w:p w14:paraId="60061E4C" w14:textId="77777777" w:rsidR="00AA5300" w:rsidRPr="00640597" w:rsidRDefault="00AA5300" w:rsidP="00640597">
      <w:pPr>
        <w:spacing w:after="0"/>
        <w:jc w:val="both"/>
        <w:rPr>
          <w:rFonts w:ascii="Arial" w:hAnsi="Arial" w:cs="Arial"/>
          <w:sz w:val="24"/>
          <w:szCs w:val="24"/>
        </w:rPr>
      </w:pPr>
    </w:p>
    <w:p w14:paraId="649C0671" w14:textId="77777777" w:rsidR="0058382C" w:rsidRPr="00640597" w:rsidRDefault="00BC2735" w:rsidP="00640597">
      <w:pPr>
        <w:spacing w:after="0"/>
        <w:jc w:val="both"/>
        <w:rPr>
          <w:rFonts w:ascii="Arial" w:hAnsi="Arial" w:cs="Arial"/>
          <w:sz w:val="24"/>
          <w:szCs w:val="24"/>
          <w:lang w:val="es-ES"/>
        </w:rPr>
      </w:pPr>
      <w:r w:rsidRPr="00640597">
        <w:rPr>
          <w:rFonts w:ascii="Arial" w:hAnsi="Arial" w:cs="Arial"/>
          <w:sz w:val="24"/>
          <w:szCs w:val="24"/>
        </w:rPr>
        <w:t>Por</w:t>
      </w:r>
      <w:r w:rsidR="006E1712" w:rsidRPr="00640597">
        <w:rPr>
          <w:rFonts w:ascii="Arial" w:hAnsi="Arial" w:cs="Arial"/>
          <w:sz w:val="24"/>
          <w:szCs w:val="24"/>
        </w:rPr>
        <w:t xml:space="preserve"> auto del </w:t>
      </w:r>
      <w:r w:rsidR="00E70AD0" w:rsidRPr="00640597">
        <w:rPr>
          <w:rFonts w:ascii="Arial" w:hAnsi="Arial" w:cs="Arial"/>
          <w:sz w:val="24"/>
          <w:szCs w:val="24"/>
        </w:rPr>
        <w:t xml:space="preserve">17 de abril de 2018, </w:t>
      </w:r>
      <w:r w:rsidR="008D1D0F" w:rsidRPr="00640597">
        <w:rPr>
          <w:rFonts w:ascii="Arial" w:hAnsi="Arial" w:cs="Arial"/>
          <w:sz w:val="24"/>
          <w:szCs w:val="24"/>
        </w:rPr>
        <w:t xml:space="preserve">el juzgado </w:t>
      </w:r>
      <w:r w:rsidR="00E70AD0" w:rsidRPr="00640597">
        <w:rPr>
          <w:rFonts w:ascii="Arial" w:hAnsi="Arial" w:cs="Arial"/>
          <w:sz w:val="24"/>
          <w:szCs w:val="24"/>
        </w:rPr>
        <w:t xml:space="preserve">dispuso </w:t>
      </w:r>
      <w:r w:rsidR="003A753D" w:rsidRPr="00640597">
        <w:rPr>
          <w:rFonts w:ascii="Arial" w:hAnsi="Arial" w:cs="Arial"/>
          <w:sz w:val="24"/>
          <w:szCs w:val="24"/>
        </w:rPr>
        <w:t>vincular a</w:t>
      </w:r>
      <w:r w:rsidR="00E70AD0" w:rsidRPr="00640597">
        <w:rPr>
          <w:rFonts w:ascii="Arial" w:hAnsi="Arial" w:cs="Arial"/>
          <w:sz w:val="24"/>
          <w:szCs w:val="24"/>
        </w:rPr>
        <w:t xml:space="preserve"> la Administradora Colombiana de Pensiones</w:t>
      </w:r>
      <w:r w:rsidR="003A753D" w:rsidRPr="00640597">
        <w:rPr>
          <w:rFonts w:ascii="Arial" w:hAnsi="Arial" w:cs="Arial"/>
          <w:sz w:val="24"/>
          <w:szCs w:val="24"/>
        </w:rPr>
        <w:t xml:space="preserve">, quien dio respuesta indicando que </w:t>
      </w:r>
      <w:r w:rsidR="0058382C" w:rsidRPr="00640597">
        <w:rPr>
          <w:rFonts w:ascii="Arial" w:hAnsi="Arial" w:cs="Arial"/>
          <w:bCs/>
          <w:sz w:val="24"/>
          <w:szCs w:val="24"/>
          <w:lang w:val="es-ES"/>
        </w:rPr>
        <w:t xml:space="preserve">reconoció a la </w:t>
      </w:r>
      <w:r w:rsidR="00F01F51" w:rsidRPr="00640597">
        <w:rPr>
          <w:rFonts w:ascii="Arial" w:hAnsi="Arial" w:cs="Arial"/>
          <w:bCs/>
          <w:sz w:val="24"/>
          <w:szCs w:val="24"/>
          <w:lang w:val="es-ES"/>
        </w:rPr>
        <w:t xml:space="preserve">actora </w:t>
      </w:r>
      <w:r w:rsidR="0058382C" w:rsidRPr="00640597">
        <w:rPr>
          <w:rFonts w:ascii="Arial" w:hAnsi="Arial" w:cs="Arial"/>
          <w:bCs/>
          <w:sz w:val="24"/>
          <w:szCs w:val="24"/>
          <w:lang w:val="es-ES"/>
        </w:rPr>
        <w:t>pensión de sobrevivientes con ocasión del fallecimiento de</w:t>
      </w:r>
      <w:r w:rsidR="003A753D" w:rsidRPr="00640597">
        <w:rPr>
          <w:rFonts w:ascii="Arial" w:hAnsi="Arial" w:cs="Arial"/>
          <w:bCs/>
          <w:sz w:val="24"/>
          <w:szCs w:val="24"/>
          <w:lang w:val="es-ES"/>
        </w:rPr>
        <w:t xml:space="preserve">l afiliado José Alirio Mejía Jiménez y que carece de legitimación ante la solicitud de </w:t>
      </w:r>
      <w:r w:rsidR="0058382C" w:rsidRPr="00640597">
        <w:rPr>
          <w:rFonts w:ascii="Arial" w:hAnsi="Arial" w:cs="Arial"/>
          <w:bCs/>
          <w:sz w:val="24"/>
          <w:szCs w:val="24"/>
          <w:lang w:val="es-ES"/>
        </w:rPr>
        <w:t xml:space="preserve">una prestación a cargo del Sistema de Riesgos Laborales. </w:t>
      </w:r>
      <w:r w:rsidR="008D1D0F" w:rsidRPr="00640597">
        <w:rPr>
          <w:rFonts w:ascii="Arial" w:hAnsi="Arial" w:cs="Arial"/>
          <w:bCs/>
          <w:sz w:val="24"/>
          <w:szCs w:val="24"/>
          <w:lang w:val="es-ES"/>
        </w:rPr>
        <w:t>Propuso</w:t>
      </w:r>
      <w:r w:rsidR="0058382C" w:rsidRPr="00640597">
        <w:rPr>
          <w:rFonts w:ascii="Arial" w:hAnsi="Arial" w:cs="Arial"/>
          <w:bCs/>
          <w:sz w:val="24"/>
          <w:szCs w:val="24"/>
          <w:lang w:val="es-ES"/>
        </w:rPr>
        <w:t xml:space="preserve"> las excepciones de</w:t>
      </w:r>
      <w:r w:rsidR="003A753D" w:rsidRPr="00640597">
        <w:rPr>
          <w:rFonts w:ascii="Arial" w:hAnsi="Arial" w:cs="Arial"/>
          <w:bCs/>
          <w:sz w:val="24"/>
          <w:szCs w:val="24"/>
          <w:lang w:val="es-ES"/>
        </w:rPr>
        <w:t xml:space="preserve"> fondo de:</w:t>
      </w:r>
      <w:r w:rsidR="0058382C" w:rsidRPr="00640597">
        <w:rPr>
          <w:rFonts w:ascii="Arial" w:hAnsi="Arial" w:cs="Arial"/>
          <w:bCs/>
          <w:sz w:val="24"/>
          <w:szCs w:val="24"/>
          <w:lang w:val="es-ES"/>
        </w:rPr>
        <w:t xml:space="preserve"> </w:t>
      </w:r>
      <w:r w:rsidR="0058382C" w:rsidRPr="00640597">
        <w:rPr>
          <w:rFonts w:ascii="Arial" w:hAnsi="Arial" w:cs="Arial"/>
          <w:sz w:val="24"/>
          <w:szCs w:val="24"/>
          <w:lang w:val="es-ES"/>
        </w:rPr>
        <w:t>“</w:t>
      </w:r>
      <w:r w:rsidR="0058382C" w:rsidRPr="00640597">
        <w:rPr>
          <w:rFonts w:ascii="Arial" w:hAnsi="Arial" w:cs="Arial"/>
          <w:i/>
          <w:sz w:val="24"/>
          <w:szCs w:val="24"/>
          <w:lang w:val="es-ES"/>
        </w:rPr>
        <w:t xml:space="preserve">Falta de legitimación en la causa por pasiva de la </w:t>
      </w:r>
      <w:r w:rsidR="006B31ED" w:rsidRPr="00640597">
        <w:rPr>
          <w:rFonts w:ascii="Arial" w:hAnsi="Arial" w:cs="Arial"/>
          <w:i/>
          <w:sz w:val="24"/>
          <w:szCs w:val="24"/>
          <w:lang w:val="es-ES"/>
        </w:rPr>
        <w:t>A</w:t>
      </w:r>
      <w:r w:rsidR="0058382C" w:rsidRPr="00640597">
        <w:rPr>
          <w:rFonts w:ascii="Arial" w:hAnsi="Arial" w:cs="Arial"/>
          <w:i/>
          <w:sz w:val="24"/>
          <w:szCs w:val="24"/>
          <w:lang w:val="es-ES"/>
        </w:rPr>
        <w:t xml:space="preserve">dministradora </w:t>
      </w:r>
      <w:r w:rsidR="006B31ED" w:rsidRPr="00640597">
        <w:rPr>
          <w:rFonts w:ascii="Arial" w:hAnsi="Arial" w:cs="Arial"/>
          <w:i/>
          <w:sz w:val="24"/>
          <w:szCs w:val="24"/>
          <w:lang w:val="es-ES"/>
        </w:rPr>
        <w:t>C</w:t>
      </w:r>
      <w:r w:rsidR="0058382C" w:rsidRPr="00640597">
        <w:rPr>
          <w:rFonts w:ascii="Arial" w:hAnsi="Arial" w:cs="Arial"/>
          <w:i/>
          <w:sz w:val="24"/>
          <w:szCs w:val="24"/>
          <w:lang w:val="es-ES"/>
        </w:rPr>
        <w:t xml:space="preserve">olombiana de </w:t>
      </w:r>
      <w:r w:rsidR="006B31ED" w:rsidRPr="00640597">
        <w:rPr>
          <w:rFonts w:ascii="Arial" w:hAnsi="Arial" w:cs="Arial"/>
          <w:i/>
          <w:sz w:val="24"/>
          <w:szCs w:val="24"/>
          <w:lang w:val="es-ES"/>
        </w:rPr>
        <w:t>P</w:t>
      </w:r>
      <w:r w:rsidR="0058382C" w:rsidRPr="00640597">
        <w:rPr>
          <w:rFonts w:ascii="Arial" w:hAnsi="Arial" w:cs="Arial"/>
          <w:i/>
          <w:sz w:val="24"/>
          <w:szCs w:val="24"/>
          <w:lang w:val="es-ES"/>
        </w:rPr>
        <w:t>ensiones Colpensiones”</w:t>
      </w:r>
      <w:r w:rsidR="006B31ED" w:rsidRPr="00640597">
        <w:rPr>
          <w:rFonts w:ascii="Arial" w:hAnsi="Arial" w:cs="Arial"/>
          <w:i/>
          <w:sz w:val="24"/>
          <w:szCs w:val="24"/>
          <w:lang w:val="es-ES"/>
        </w:rPr>
        <w:t xml:space="preserve">, </w:t>
      </w:r>
      <w:r w:rsidR="0058382C" w:rsidRPr="00640597">
        <w:rPr>
          <w:rFonts w:ascii="Arial" w:hAnsi="Arial" w:cs="Arial"/>
          <w:i/>
          <w:sz w:val="24"/>
          <w:szCs w:val="24"/>
          <w:lang w:val="es-ES"/>
        </w:rPr>
        <w:t>“Inexistencia de la obligación</w:t>
      </w:r>
      <w:r w:rsidR="000E5E9B" w:rsidRPr="00640597">
        <w:rPr>
          <w:rFonts w:ascii="Arial" w:hAnsi="Arial" w:cs="Arial"/>
          <w:i/>
          <w:sz w:val="24"/>
          <w:szCs w:val="24"/>
          <w:lang w:val="es-ES"/>
        </w:rPr>
        <w:t xml:space="preserve">” </w:t>
      </w:r>
      <w:r w:rsidR="0058382C" w:rsidRPr="00640597">
        <w:rPr>
          <w:rFonts w:ascii="Arial" w:hAnsi="Arial" w:cs="Arial"/>
          <w:i/>
          <w:sz w:val="24"/>
          <w:szCs w:val="24"/>
          <w:lang w:val="es-ES"/>
        </w:rPr>
        <w:t>“Prescripción”</w:t>
      </w:r>
      <w:r w:rsidR="006B31ED" w:rsidRPr="00640597">
        <w:rPr>
          <w:rFonts w:ascii="Arial" w:hAnsi="Arial" w:cs="Arial"/>
          <w:i/>
          <w:sz w:val="24"/>
          <w:szCs w:val="24"/>
          <w:lang w:val="es-ES"/>
        </w:rPr>
        <w:t xml:space="preserve">, </w:t>
      </w:r>
      <w:r w:rsidR="0058382C" w:rsidRPr="00640597">
        <w:rPr>
          <w:rFonts w:ascii="Arial" w:hAnsi="Arial" w:cs="Arial"/>
          <w:i/>
          <w:sz w:val="24"/>
          <w:szCs w:val="24"/>
          <w:lang w:val="es-ES"/>
        </w:rPr>
        <w:t>“Imposibilidad jurídica para reconocer y pagar derechos por fuera del ordenamiento legal”</w:t>
      </w:r>
      <w:r w:rsidR="006B31ED" w:rsidRPr="00640597">
        <w:rPr>
          <w:rFonts w:ascii="Arial" w:hAnsi="Arial" w:cs="Arial"/>
          <w:i/>
          <w:sz w:val="24"/>
          <w:szCs w:val="24"/>
          <w:lang w:val="es-ES"/>
        </w:rPr>
        <w:t>,</w:t>
      </w:r>
      <w:r w:rsidR="0058382C" w:rsidRPr="00640597">
        <w:rPr>
          <w:rFonts w:ascii="Arial" w:hAnsi="Arial" w:cs="Arial"/>
          <w:i/>
          <w:sz w:val="24"/>
          <w:szCs w:val="24"/>
          <w:lang w:val="es-ES"/>
        </w:rPr>
        <w:t xml:space="preserve"> “Buena fe</w:t>
      </w:r>
      <w:r w:rsidR="0058382C" w:rsidRPr="00640597">
        <w:rPr>
          <w:rFonts w:ascii="Arial" w:hAnsi="Arial" w:cs="Arial"/>
          <w:sz w:val="24"/>
          <w:szCs w:val="24"/>
          <w:lang w:val="es-ES"/>
        </w:rPr>
        <w:t>”</w:t>
      </w:r>
      <w:r w:rsidR="0058382C" w:rsidRPr="00640597">
        <w:rPr>
          <w:rFonts w:ascii="Arial" w:hAnsi="Arial" w:cs="Arial"/>
          <w:bCs/>
          <w:sz w:val="24"/>
          <w:szCs w:val="24"/>
          <w:lang w:val="es-ES"/>
        </w:rPr>
        <w:t xml:space="preserve"> e </w:t>
      </w:r>
      <w:r w:rsidR="0058382C" w:rsidRPr="00640597">
        <w:rPr>
          <w:rFonts w:ascii="Arial" w:hAnsi="Arial" w:cs="Arial"/>
          <w:sz w:val="24"/>
          <w:szCs w:val="24"/>
          <w:lang w:val="es-ES"/>
        </w:rPr>
        <w:t>“</w:t>
      </w:r>
      <w:r w:rsidR="0058382C" w:rsidRPr="00640597">
        <w:rPr>
          <w:rFonts w:ascii="Arial" w:hAnsi="Arial" w:cs="Arial"/>
          <w:i/>
          <w:sz w:val="24"/>
          <w:szCs w:val="24"/>
          <w:lang w:val="es-ES"/>
        </w:rPr>
        <w:t>Imposibilidad de condena en costas</w:t>
      </w:r>
      <w:r w:rsidR="0058382C" w:rsidRPr="00640597">
        <w:rPr>
          <w:rFonts w:ascii="Arial" w:hAnsi="Arial" w:cs="Arial"/>
          <w:sz w:val="24"/>
          <w:szCs w:val="24"/>
          <w:lang w:val="es-ES"/>
        </w:rPr>
        <w:t>”</w:t>
      </w:r>
      <w:r w:rsidR="003A753D" w:rsidRPr="00640597">
        <w:rPr>
          <w:rFonts w:ascii="Arial" w:hAnsi="Arial" w:cs="Arial"/>
          <w:sz w:val="24"/>
          <w:szCs w:val="24"/>
          <w:lang w:val="es-ES"/>
        </w:rPr>
        <w:t>, (archivo 50 del expediente</w:t>
      </w:r>
      <w:r w:rsidR="008D1D0F" w:rsidRPr="00640597">
        <w:rPr>
          <w:rFonts w:ascii="Arial" w:hAnsi="Arial" w:cs="Arial"/>
          <w:sz w:val="24"/>
          <w:szCs w:val="24"/>
          <w:lang w:val="es-ES"/>
        </w:rPr>
        <w:t xml:space="preserve"> digital</w:t>
      </w:r>
      <w:r w:rsidR="003A753D" w:rsidRPr="00640597">
        <w:rPr>
          <w:rFonts w:ascii="Arial" w:hAnsi="Arial" w:cs="Arial"/>
          <w:sz w:val="24"/>
          <w:szCs w:val="24"/>
          <w:lang w:val="es-ES"/>
        </w:rPr>
        <w:t>).</w:t>
      </w:r>
    </w:p>
    <w:p w14:paraId="44EAFD9C" w14:textId="77777777" w:rsidR="0007001F" w:rsidRPr="00640597" w:rsidRDefault="0007001F" w:rsidP="00640597">
      <w:pPr>
        <w:spacing w:after="0"/>
        <w:jc w:val="both"/>
        <w:rPr>
          <w:rFonts w:ascii="Arial" w:hAnsi="Arial" w:cs="Arial"/>
          <w:sz w:val="24"/>
          <w:szCs w:val="24"/>
        </w:rPr>
      </w:pPr>
    </w:p>
    <w:p w14:paraId="3DB1ACA6" w14:textId="77777777" w:rsidR="0058382C" w:rsidRPr="00640597" w:rsidRDefault="008D1D0F" w:rsidP="00640597">
      <w:pPr>
        <w:spacing w:after="0"/>
        <w:jc w:val="both"/>
        <w:rPr>
          <w:rFonts w:ascii="Arial" w:hAnsi="Arial" w:cs="Arial"/>
          <w:sz w:val="24"/>
          <w:szCs w:val="24"/>
        </w:rPr>
      </w:pPr>
      <w:r w:rsidRPr="00640597">
        <w:rPr>
          <w:rFonts w:ascii="Arial" w:hAnsi="Arial" w:cs="Arial"/>
          <w:sz w:val="24"/>
          <w:szCs w:val="24"/>
        </w:rPr>
        <w:t>E</w:t>
      </w:r>
      <w:r w:rsidR="00BC2735" w:rsidRPr="00640597">
        <w:rPr>
          <w:rFonts w:ascii="Arial" w:hAnsi="Arial" w:cs="Arial"/>
          <w:sz w:val="24"/>
          <w:szCs w:val="24"/>
        </w:rPr>
        <w:t>n</w:t>
      </w:r>
      <w:r w:rsidR="0007001F" w:rsidRPr="00640597">
        <w:rPr>
          <w:rFonts w:ascii="Arial" w:hAnsi="Arial" w:cs="Arial"/>
          <w:sz w:val="24"/>
          <w:szCs w:val="24"/>
        </w:rPr>
        <w:t xml:space="preserve"> auto del 10 de agosto de 2018, se ordenó vincular a Johan</w:t>
      </w:r>
      <w:r w:rsidR="003724E7" w:rsidRPr="00640597">
        <w:rPr>
          <w:rFonts w:ascii="Arial" w:hAnsi="Arial" w:cs="Arial"/>
          <w:sz w:val="24"/>
          <w:szCs w:val="24"/>
        </w:rPr>
        <w:t xml:space="preserve"> Manuel</w:t>
      </w:r>
      <w:r w:rsidR="0007001F" w:rsidRPr="00640597">
        <w:rPr>
          <w:rFonts w:ascii="Arial" w:hAnsi="Arial" w:cs="Arial"/>
          <w:sz w:val="24"/>
          <w:szCs w:val="24"/>
        </w:rPr>
        <w:t xml:space="preserve"> Mejía Vélez</w:t>
      </w:r>
      <w:r w:rsidR="00AB0E7F" w:rsidRPr="00640597">
        <w:rPr>
          <w:rFonts w:ascii="Arial" w:hAnsi="Arial" w:cs="Arial"/>
          <w:sz w:val="24"/>
          <w:szCs w:val="24"/>
        </w:rPr>
        <w:t xml:space="preserve">, quien </w:t>
      </w:r>
      <w:r w:rsidR="00BC2735" w:rsidRPr="00640597">
        <w:rPr>
          <w:rFonts w:ascii="Arial" w:hAnsi="Arial" w:cs="Arial"/>
          <w:sz w:val="24"/>
          <w:szCs w:val="24"/>
        </w:rPr>
        <w:t>pese</w:t>
      </w:r>
      <w:r w:rsidR="00AB0E7F" w:rsidRPr="00640597">
        <w:rPr>
          <w:rFonts w:ascii="Arial" w:hAnsi="Arial" w:cs="Arial"/>
          <w:sz w:val="24"/>
          <w:szCs w:val="24"/>
        </w:rPr>
        <w:t xml:space="preserve"> intentarse vanamente su notificación personal, </w:t>
      </w:r>
      <w:r w:rsidRPr="00640597">
        <w:rPr>
          <w:rFonts w:ascii="Arial" w:hAnsi="Arial" w:cs="Arial"/>
          <w:sz w:val="24"/>
          <w:szCs w:val="24"/>
        </w:rPr>
        <w:t xml:space="preserve">no fue hallado, </w:t>
      </w:r>
      <w:r w:rsidR="00AB0E7F" w:rsidRPr="00640597">
        <w:rPr>
          <w:rFonts w:ascii="Arial" w:hAnsi="Arial" w:cs="Arial"/>
          <w:sz w:val="24"/>
          <w:szCs w:val="24"/>
        </w:rPr>
        <w:t>motivo por el que se l</w:t>
      </w:r>
      <w:r w:rsidR="00666030" w:rsidRPr="00640597">
        <w:rPr>
          <w:rFonts w:ascii="Arial" w:hAnsi="Arial" w:cs="Arial"/>
          <w:sz w:val="24"/>
          <w:szCs w:val="24"/>
        </w:rPr>
        <w:t>e designó curador ad-litem</w:t>
      </w:r>
      <w:r w:rsidR="00344909" w:rsidRPr="00640597">
        <w:rPr>
          <w:rFonts w:ascii="Arial" w:hAnsi="Arial" w:cs="Arial"/>
          <w:sz w:val="24"/>
          <w:szCs w:val="24"/>
        </w:rPr>
        <w:t xml:space="preserve"> </w:t>
      </w:r>
      <w:r w:rsidRPr="00640597">
        <w:rPr>
          <w:rFonts w:ascii="Arial" w:hAnsi="Arial" w:cs="Arial"/>
          <w:sz w:val="24"/>
          <w:szCs w:val="24"/>
        </w:rPr>
        <w:t xml:space="preserve">en representación de sus intereses, quien </w:t>
      </w:r>
      <w:r w:rsidR="00344909" w:rsidRPr="00640597">
        <w:rPr>
          <w:rFonts w:ascii="Arial" w:hAnsi="Arial" w:cs="Arial"/>
          <w:sz w:val="24"/>
          <w:szCs w:val="24"/>
        </w:rPr>
        <w:t>al dar respuesta a la demanda, manifestó que, a través de</w:t>
      </w:r>
      <w:r w:rsidR="0058382C" w:rsidRPr="00640597">
        <w:rPr>
          <w:rFonts w:ascii="Arial" w:hAnsi="Arial" w:cs="Arial"/>
          <w:bCs/>
          <w:sz w:val="24"/>
          <w:szCs w:val="24"/>
          <w:lang w:val="es-ES"/>
        </w:rPr>
        <w:t xml:space="preserve"> la red social </w:t>
      </w:r>
      <w:r w:rsidR="00344909" w:rsidRPr="00640597">
        <w:rPr>
          <w:rFonts w:ascii="Arial" w:hAnsi="Arial" w:cs="Arial"/>
          <w:bCs/>
          <w:sz w:val="24"/>
          <w:szCs w:val="24"/>
          <w:lang w:val="es-ES"/>
        </w:rPr>
        <w:t>de Facebook</w:t>
      </w:r>
      <w:r w:rsidR="0058382C" w:rsidRPr="00640597">
        <w:rPr>
          <w:rFonts w:ascii="Arial" w:hAnsi="Arial" w:cs="Arial"/>
          <w:bCs/>
          <w:sz w:val="24"/>
          <w:szCs w:val="24"/>
          <w:lang w:val="es-ES"/>
        </w:rPr>
        <w:t xml:space="preserve"> se puso en contacto con su representado, quien </w:t>
      </w:r>
      <w:r w:rsidR="00344909" w:rsidRPr="00640597">
        <w:rPr>
          <w:rFonts w:ascii="Arial" w:hAnsi="Arial" w:cs="Arial"/>
          <w:bCs/>
          <w:sz w:val="24"/>
          <w:szCs w:val="24"/>
          <w:lang w:val="es-ES"/>
        </w:rPr>
        <w:t xml:space="preserve">le </w:t>
      </w:r>
      <w:r w:rsidR="0058382C" w:rsidRPr="00640597">
        <w:rPr>
          <w:rFonts w:ascii="Arial" w:hAnsi="Arial" w:cs="Arial"/>
          <w:bCs/>
          <w:sz w:val="24"/>
          <w:szCs w:val="24"/>
          <w:lang w:val="es-ES"/>
        </w:rPr>
        <w:t xml:space="preserve">manifestó que se encuentra domiciliado en Chile y que para </w:t>
      </w:r>
      <w:r w:rsidR="00344909" w:rsidRPr="00640597">
        <w:rPr>
          <w:rFonts w:ascii="Arial" w:hAnsi="Arial" w:cs="Arial"/>
          <w:bCs/>
          <w:sz w:val="24"/>
          <w:szCs w:val="24"/>
          <w:lang w:val="es-ES"/>
        </w:rPr>
        <w:t xml:space="preserve">la fecha del deceso del causante </w:t>
      </w:r>
      <w:r w:rsidR="0058382C" w:rsidRPr="00640597">
        <w:rPr>
          <w:rFonts w:ascii="Arial" w:hAnsi="Arial" w:cs="Arial"/>
          <w:bCs/>
          <w:sz w:val="24"/>
          <w:szCs w:val="24"/>
          <w:lang w:val="es-ES"/>
        </w:rPr>
        <w:t>no dependía económicamente de él</w:t>
      </w:r>
      <w:r w:rsidR="00344909" w:rsidRPr="00640597">
        <w:rPr>
          <w:rFonts w:ascii="Arial" w:hAnsi="Arial" w:cs="Arial"/>
          <w:bCs/>
          <w:sz w:val="24"/>
          <w:szCs w:val="24"/>
          <w:lang w:val="es-ES"/>
        </w:rPr>
        <w:t xml:space="preserve"> y </w:t>
      </w:r>
      <w:r w:rsidR="0058382C" w:rsidRPr="00640597">
        <w:rPr>
          <w:rFonts w:ascii="Arial" w:hAnsi="Arial" w:cs="Arial"/>
          <w:bCs/>
          <w:sz w:val="24"/>
          <w:szCs w:val="24"/>
          <w:lang w:val="es-ES"/>
        </w:rPr>
        <w:t xml:space="preserve">no se encontraba estudiando. En cuanto a las pretensiones, </w:t>
      </w:r>
      <w:r w:rsidR="00344909" w:rsidRPr="00640597">
        <w:rPr>
          <w:rFonts w:ascii="Arial" w:hAnsi="Arial" w:cs="Arial"/>
          <w:bCs/>
          <w:sz w:val="24"/>
          <w:szCs w:val="24"/>
          <w:lang w:val="es-ES"/>
        </w:rPr>
        <w:t xml:space="preserve">manifestó que se atiene a lo demostrado en el </w:t>
      </w:r>
      <w:r w:rsidR="0058382C" w:rsidRPr="00640597">
        <w:rPr>
          <w:rFonts w:ascii="Arial" w:hAnsi="Arial" w:cs="Arial"/>
          <w:bCs/>
          <w:sz w:val="24"/>
          <w:szCs w:val="24"/>
          <w:lang w:val="es-ES"/>
        </w:rPr>
        <w:t>proceso, sin formular excepciones</w:t>
      </w:r>
      <w:r w:rsidR="00344909" w:rsidRPr="00640597">
        <w:rPr>
          <w:rFonts w:ascii="Arial" w:hAnsi="Arial" w:cs="Arial"/>
          <w:bCs/>
          <w:sz w:val="24"/>
          <w:szCs w:val="24"/>
          <w:lang w:val="es-ES"/>
        </w:rPr>
        <w:t>, (archivo 66 expediente digital)</w:t>
      </w:r>
      <w:r w:rsidR="0058382C" w:rsidRPr="00640597">
        <w:rPr>
          <w:rFonts w:ascii="Arial" w:hAnsi="Arial" w:cs="Arial"/>
          <w:bCs/>
          <w:sz w:val="24"/>
          <w:szCs w:val="24"/>
          <w:lang w:val="es-ES"/>
        </w:rPr>
        <w:t xml:space="preserve">. </w:t>
      </w:r>
    </w:p>
    <w:p w14:paraId="4B94D5A5" w14:textId="77777777" w:rsidR="0058382C" w:rsidRPr="00640597" w:rsidRDefault="0058382C" w:rsidP="00640597">
      <w:pPr>
        <w:spacing w:after="0"/>
        <w:jc w:val="both"/>
        <w:rPr>
          <w:rFonts w:ascii="Arial" w:hAnsi="Arial" w:cs="Arial"/>
          <w:sz w:val="24"/>
          <w:szCs w:val="24"/>
        </w:rPr>
      </w:pPr>
    </w:p>
    <w:p w14:paraId="01EC0DB4" w14:textId="77777777" w:rsidR="0058382C" w:rsidRPr="00640597" w:rsidRDefault="00D408B7" w:rsidP="00640597">
      <w:pPr>
        <w:spacing w:after="0"/>
        <w:jc w:val="both"/>
        <w:rPr>
          <w:rFonts w:ascii="Arial" w:hAnsi="Arial" w:cs="Arial"/>
          <w:sz w:val="24"/>
          <w:szCs w:val="24"/>
        </w:rPr>
      </w:pPr>
      <w:r w:rsidRPr="00640597">
        <w:rPr>
          <w:rFonts w:ascii="Arial" w:hAnsi="Arial" w:cs="Arial"/>
          <w:sz w:val="24"/>
          <w:szCs w:val="24"/>
        </w:rPr>
        <w:t xml:space="preserve">Finalmente, mediante auto del 4 de junio de 2021 se ordenó vincular a </w:t>
      </w:r>
      <w:r w:rsidRPr="00640597">
        <w:rPr>
          <w:rFonts w:ascii="Arial" w:hAnsi="Arial" w:cs="Arial"/>
          <w:bCs/>
          <w:sz w:val="24"/>
          <w:szCs w:val="24"/>
        </w:rPr>
        <w:t xml:space="preserve">Carlos Andrés Mejía Fajardo, quien guardó silencio dentro del término otorgado para contestar la demanda. </w:t>
      </w:r>
    </w:p>
    <w:p w14:paraId="3DEEC669" w14:textId="77777777" w:rsidR="001919F7" w:rsidRPr="00640597" w:rsidRDefault="001919F7" w:rsidP="00640597">
      <w:pPr>
        <w:spacing w:after="0"/>
        <w:jc w:val="both"/>
        <w:rPr>
          <w:rFonts w:ascii="Arial" w:hAnsi="Arial" w:cs="Arial"/>
          <w:sz w:val="24"/>
          <w:szCs w:val="24"/>
        </w:rPr>
      </w:pPr>
    </w:p>
    <w:p w14:paraId="7D795DFA" w14:textId="77777777" w:rsidR="00C07361" w:rsidRPr="00640597" w:rsidRDefault="001919F7" w:rsidP="00640597">
      <w:pPr>
        <w:spacing w:after="0"/>
        <w:jc w:val="both"/>
        <w:rPr>
          <w:rFonts w:ascii="Arial" w:hAnsi="Arial" w:cs="Arial"/>
          <w:sz w:val="24"/>
          <w:szCs w:val="24"/>
        </w:rPr>
      </w:pPr>
      <w:r w:rsidRPr="00640597">
        <w:rPr>
          <w:rFonts w:ascii="Arial" w:hAnsi="Arial" w:cs="Arial"/>
          <w:sz w:val="24"/>
          <w:szCs w:val="24"/>
        </w:rPr>
        <w:t xml:space="preserve">En sentencia de </w:t>
      </w:r>
      <w:r w:rsidR="00BC2735" w:rsidRPr="00640597">
        <w:rPr>
          <w:rFonts w:ascii="Arial" w:hAnsi="Arial" w:cs="Arial"/>
          <w:sz w:val="24"/>
          <w:szCs w:val="24"/>
        </w:rPr>
        <w:t>18 de abril de 2022</w:t>
      </w:r>
      <w:r w:rsidRPr="00640597">
        <w:rPr>
          <w:rFonts w:ascii="Arial" w:hAnsi="Arial" w:cs="Arial"/>
          <w:sz w:val="24"/>
          <w:szCs w:val="24"/>
        </w:rPr>
        <w:t xml:space="preserve">, </w:t>
      </w:r>
      <w:r w:rsidR="003107F5" w:rsidRPr="00640597">
        <w:rPr>
          <w:rFonts w:ascii="Arial" w:hAnsi="Arial" w:cs="Arial"/>
          <w:sz w:val="24"/>
          <w:szCs w:val="24"/>
        </w:rPr>
        <w:t>el</w:t>
      </w:r>
      <w:r w:rsidRPr="00640597">
        <w:rPr>
          <w:rFonts w:ascii="Arial" w:hAnsi="Arial" w:cs="Arial"/>
          <w:sz w:val="24"/>
          <w:szCs w:val="24"/>
        </w:rPr>
        <w:t xml:space="preserve"> funcionari</w:t>
      </w:r>
      <w:r w:rsidR="003107F5" w:rsidRPr="00640597">
        <w:rPr>
          <w:rFonts w:ascii="Arial" w:hAnsi="Arial" w:cs="Arial"/>
          <w:sz w:val="24"/>
          <w:szCs w:val="24"/>
        </w:rPr>
        <w:t>o</w:t>
      </w:r>
      <w:r w:rsidRPr="00640597">
        <w:rPr>
          <w:rFonts w:ascii="Arial" w:hAnsi="Arial" w:cs="Arial"/>
          <w:sz w:val="24"/>
          <w:szCs w:val="24"/>
        </w:rPr>
        <w:t xml:space="preserve"> de primer grado, </w:t>
      </w:r>
      <w:r w:rsidR="0036433C" w:rsidRPr="00640597">
        <w:rPr>
          <w:rFonts w:ascii="Arial" w:hAnsi="Arial" w:cs="Arial"/>
          <w:sz w:val="24"/>
          <w:szCs w:val="24"/>
        </w:rPr>
        <w:t xml:space="preserve">empezó por </w:t>
      </w:r>
      <w:r w:rsidR="00FC7E26" w:rsidRPr="00640597">
        <w:rPr>
          <w:rFonts w:ascii="Arial" w:hAnsi="Arial" w:cs="Arial"/>
          <w:sz w:val="24"/>
          <w:szCs w:val="24"/>
        </w:rPr>
        <w:t xml:space="preserve">citar los supuestos fácticos probados </w:t>
      </w:r>
      <w:r w:rsidR="00F642B8" w:rsidRPr="00640597">
        <w:rPr>
          <w:rFonts w:ascii="Arial" w:hAnsi="Arial" w:cs="Arial"/>
          <w:sz w:val="24"/>
          <w:szCs w:val="24"/>
        </w:rPr>
        <w:t xml:space="preserve">en </w:t>
      </w:r>
      <w:r w:rsidR="00FC7E26" w:rsidRPr="00640597">
        <w:rPr>
          <w:rFonts w:ascii="Arial" w:hAnsi="Arial" w:cs="Arial"/>
          <w:sz w:val="24"/>
          <w:szCs w:val="24"/>
        </w:rPr>
        <w:t>el proceso,</w:t>
      </w:r>
      <w:r w:rsidR="0036433C" w:rsidRPr="00640597">
        <w:rPr>
          <w:rFonts w:ascii="Arial" w:hAnsi="Arial" w:cs="Arial"/>
          <w:sz w:val="24"/>
          <w:szCs w:val="24"/>
        </w:rPr>
        <w:t xml:space="preserve"> e inmediatamente pasó a resolver </w:t>
      </w:r>
      <w:r w:rsidR="00FC7E26" w:rsidRPr="00640597">
        <w:rPr>
          <w:rFonts w:ascii="Arial" w:hAnsi="Arial" w:cs="Arial"/>
          <w:sz w:val="24"/>
          <w:szCs w:val="24"/>
        </w:rPr>
        <w:t xml:space="preserve">la excepción de prescripción propuesta por las demandas Colpensiones, ARL Positiva </w:t>
      </w:r>
      <w:r w:rsidR="00FC7E26" w:rsidRPr="00640597">
        <w:rPr>
          <w:rFonts w:ascii="Arial" w:hAnsi="Arial" w:cs="Arial"/>
          <w:sz w:val="24"/>
          <w:szCs w:val="24"/>
        </w:rPr>
        <w:lastRenderedPageBreak/>
        <w:t xml:space="preserve">Compañía de Seguros y Cooperativa de Taxis del Risaralda Ltda., para lo cual </w:t>
      </w:r>
      <w:r w:rsidR="00136E67" w:rsidRPr="00640597">
        <w:rPr>
          <w:rFonts w:ascii="Arial" w:hAnsi="Arial" w:cs="Arial"/>
          <w:sz w:val="24"/>
          <w:szCs w:val="24"/>
        </w:rPr>
        <w:t>citó</w:t>
      </w:r>
      <w:r w:rsidR="00FC7E26" w:rsidRPr="00640597">
        <w:rPr>
          <w:rFonts w:ascii="Arial" w:hAnsi="Arial" w:cs="Arial"/>
          <w:sz w:val="24"/>
          <w:szCs w:val="24"/>
        </w:rPr>
        <w:t xml:space="preserve"> las normas </w:t>
      </w:r>
      <w:r w:rsidR="00136E67" w:rsidRPr="00640597">
        <w:rPr>
          <w:rFonts w:ascii="Arial" w:hAnsi="Arial" w:cs="Arial"/>
          <w:sz w:val="24"/>
          <w:szCs w:val="24"/>
        </w:rPr>
        <w:t>aplicables</w:t>
      </w:r>
      <w:r w:rsidR="00CE2256" w:rsidRPr="00640597">
        <w:rPr>
          <w:rFonts w:ascii="Arial" w:hAnsi="Arial" w:cs="Arial"/>
          <w:sz w:val="24"/>
          <w:szCs w:val="24"/>
        </w:rPr>
        <w:t xml:space="preserve">, </w:t>
      </w:r>
      <w:r w:rsidR="0036433C" w:rsidRPr="00640597">
        <w:rPr>
          <w:rFonts w:ascii="Arial" w:hAnsi="Arial" w:cs="Arial"/>
          <w:sz w:val="24"/>
          <w:szCs w:val="24"/>
        </w:rPr>
        <w:t xml:space="preserve">y seguidamente determinó </w:t>
      </w:r>
      <w:r w:rsidR="00FC7E26" w:rsidRPr="00640597">
        <w:rPr>
          <w:rFonts w:ascii="Arial" w:hAnsi="Arial" w:cs="Arial"/>
          <w:sz w:val="24"/>
          <w:szCs w:val="24"/>
        </w:rPr>
        <w:t>que</w:t>
      </w:r>
      <w:r w:rsidR="00A43A65" w:rsidRPr="00640597">
        <w:rPr>
          <w:rFonts w:ascii="Arial" w:hAnsi="Arial" w:cs="Arial"/>
          <w:sz w:val="24"/>
          <w:szCs w:val="24"/>
        </w:rPr>
        <w:t>, en los términos del artículo 94 del CGP, la presentación de la demanda no logró interrumpir dicho fenómeno extintivo, pues</w:t>
      </w:r>
      <w:r w:rsidR="00136E67" w:rsidRPr="00640597">
        <w:rPr>
          <w:rFonts w:ascii="Arial" w:hAnsi="Arial" w:cs="Arial"/>
          <w:sz w:val="24"/>
          <w:szCs w:val="24"/>
        </w:rPr>
        <w:t xml:space="preserve"> </w:t>
      </w:r>
      <w:r w:rsidR="00A43A65" w:rsidRPr="00640597">
        <w:rPr>
          <w:rFonts w:ascii="Arial" w:hAnsi="Arial" w:cs="Arial"/>
          <w:sz w:val="24"/>
          <w:szCs w:val="24"/>
        </w:rPr>
        <w:t>Colpensiones</w:t>
      </w:r>
      <w:r w:rsidR="00136E67" w:rsidRPr="00640597">
        <w:rPr>
          <w:rFonts w:ascii="Arial" w:hAnsi="Arial" w:cs="Arial"/>
          <w:sz w:val="24"/>
          <w:szCs w:val="24"/>
        </w:rPr>
        <w:t xml:space="preserve">, como litisconsorte necesario de la parte pasiva, se </w:t>
      </w:r>
      <w:r w:rsidR="00C07361" w:rsidRPr="00640597">
        <w:rPr>
          <w:rFonts w:ascii="Arial" w:hAnsi="Arial" w:cs="Arial"/>
          <w:sz w:val="24"/>
          <w:szCs w:val="24"/>
        </w:rPr>
        <w:t xml:space="preserve">notificó </w:t>
      </w:r>
      <w:r w:rsidR="00136E67" w:rsidRPr="00640597">
        <w:rPr>
          <w:rFonts w:ascii="Arial" w:hAnsi="Arial" w:cs="Arial"/>
          <w:sz w:val="24"/>
          <w:szCs w:val="24"/>
        </w:rPr>
        <w:t xml:space="preserve">de </w:t>
      </w:r>
      <w:r w:rsidR="00C07361" w:rsidRPr="00640597">
        <w:rPr>
          <w:rFonts w:ascii="Arial" w:hAnsi="Arial" w:cs="Arial"/>
          <w:sz w:val="24"/>
          <w:szCs w:val="24"/>
        </w:rPr>
        <w:t xml:space="preserve">la demanda </w:t>
      </w:r>
      <w:r w:rsidR="00A43A65" w:rsidRPr="00640597">
        <w:rPr>
          <w:rFonts w:ascii="Arial" w:hAnsi="Arial" w:cs="Arial"/>
          <w:sz w:val="24"/>
          <w:szCs w:val="24"/>
        </w:rPr>
        <w:t>el 3 de mayo de 2018, es decir,</w:t>
      </w:r>
      <w:r w:rsidR="00C07361" w:rsidRPr="00640597">
        <w:rPr>
          <w:rFonts w:ascii="Arial" w:hAnsi="Arial" w:cs="Arial"/>
          <w:sz w:val="24"/>
          <w:szCs w:val="24"/>
        </w:rPr>
        <w:t xml:space="preserve"> por fuera del término de un año contado a partir del</w:t>
      </w:r>
      <w:r w:rsidR="00406760" w:rsidRPr="00640597">
        <w:rPr>
          <w:rFonts w:ascii="Arial" w:hAnsi="Arial" w:cs="Arial"/>
          <w:sz w:val="24"/>
          <w:szCs w:val="24"/>
        </w:rPr>
        <w:t xml:space="preserve"> 13 de abril de 2016,</w:t>
      </w:r>
      <w:r w:rsidR="00C07361" w:rsidRPr="00640597">
        <w:rPr>
          <w:rFonts w:ascii="Arial" w:hAnsi="Arial" w:cs="Arial"/>
          <w:sz w:val="24"/>
          <w:szCs w:val="24"/>
        </w:rPr>
        <w:t xml:space="preserve"> día siguiente a la notificación del auto admisorio de la demanda</w:t>
      </w:r>
      <w:r w:rsidR="00406760" w:rsidRPr="00640597">
        <w:rPr>
          <w:rFonts w:ascii="Arial" w:hAnsi="Arial" w:cs="Arial"/>
          <w:sz w:val="24"/>
          <w:szCs w:val="24"/>
        </w:rPr>
        <w:t xml:space="preserve">. Por </w:t>
      </w:r>
      <w:r w:rsidR="0036433C" w:rsidRPr="00640597">
        <w:rPr>
          <w:rFonts w:ascii="Arial" w:hAnsi="Arial" w:cs="Arial"/>
          <w:sz w:val="24"/>
          <w:szCs w:val="24"/>
        </w:rPr>
        <w:t xml:space="preserve">tal motivo, consideró </w:t>
      </w:r>
      <w:r w:rsidR="008B5567" w:rsidRPr="00640597">
        <w:rPr>
          <w:rFonts w:ascii="Arial" w:hAnsi="Arial" w:cs="Arial"/>
          <w:sz w:val="24"/>
          <w:szCs w:val="24"/>
        </w:rPr>
        <w:t>prescrita la</w:t>
      </w:r>
      <w:r w:rsidR="00CE78AC" w:rsidRPr="00640597">
        <w:rPr>
          <w:rFonts w:ascii="Arial" w:hAnsi="Arial" w:cs="Arial"/>
          <w:sz w:val="24"/>
          <w:szCs w:val="24"/>
        </w:rPr>
        <w:t xml:space="preserve"> </w:t>
      </w:r>
      <w:r w:rsidR="0036433C" w:rsidRPr="00640597">
        <w:rPr>
          <w:rFonts w:ascii="Arial" w:hAnsi="Arial" w:cs="Arial"/>
          <w:sz w:val="24"/>
          <w:szCs w:val="24"/>
        </w:rPr>
        <w:t>acción</w:t>
      </w:r>
      <w:r w:rsidR="00CE78AC" w:rsidRPr="00640597">
        <w:rPr>
          <w:rFonts w:ascii="Arial" w:hAnsi="Arial" w:cs="Arial"/>
          <w:sz w:val="24"/>
          <w:szCs w:val="24"/>
        </w:rPr>
        <w:t xml:space="preserve"> que tenía la parte</w:t>
      </w:r>
      <w:r w:rsidR="00406760" w:rsidRPr="00640597">
        <w:rPr>
          <w:rFonts w:ascii="Arial" w:hAnsi="Arial" w:cs="Arial"/>
          <w:sz w:val="24"/>
          <w:szCs w:val="24"/>
        </w:rPr>
        <w:t xml:space="preserve"> actora, </w:t>
      </w:r>
      <w:r w:rsidR="00361A0C" w:rsidRPr="00640597">
        <w:rPr>
          <w:rFonts w:ascii="Arial" w:hAnsi="Arial" w:cs="Arial"/>
          <w:sz w:val="24"/>
          <w:szCs w:val="24"/>
        </w:rPr>
        <w:t>para</w:t>
      </w:r>
      <w:r w:rsidR="00CE78AC" w:rsidRPr="00640597">
        <w:rPr>
          <w:rFonts w:ascii="Arial" w:hAnsi="Arial" w:cs="Arial"/>
          <w:sz w:val="24"/>
          <w:szCs w:val="24"/>
        </w:rPr>
        <w:t xml:space="preserve"> obtener </w:t>
      </w:r>
      <w:r w:rsidR="00406760" w:rsidRPr="00640597">
        <w:rPr>
          <w:rFonts w:ascii="Arial" w:hAnsi="Arial" w:cs="Arial"/>
          <w:sz w:val="24"/>
          <w:szCs w:val="24"/>
        </w:rPr>
        <w:t xml:space="preserve">por parte </w:t>
      </w:r>
      <w:r w:rsidR="00CE78AC" w:rsidRPr="00640597">
        <w:rPr>
          <w:rFonts w:ascii="Arial" w:hAnsi="Arial" w:cs="Arial"/>
          <w:sz w:val="24"/>
          <w:szCs w:val="24"/>
        </w:rPr>
        <w:t>de la judicatura</w:t>
      </w:r>
      <w:r w:rsidR="00406760" w:rsidRPr="00640597">
        <w:rPr>
          <w:rFonts w:ascii="Arial" w:hAnsi="Arial" w:cs="Arial"/>
          <w:sz w:val="24"/>
          <w:szCs w:val="24"/>
        </w:rPr>
        <w:t xml:space="preserve"> </w:t>
      </w:r>
      <w:r w:rsidR="00CE78AC" w:rsidRPr="00640597">
        <w:rPr>
          <w:rFonts w:ascii="Arial" w:hAnsi="Arial" w:cs="Arial"/>
          <w:sz w:val="24"/>
          <w:szCs w:val="24"/>
        </w:rPr>
        <w:t>una determinación diferente respecto al origen de</w:t>
      </w:r>
      <w:r w:rsidR="00406760" w:rsidRPr="00640597">
        <w:rPr>
          <w:rFonts w:ascii="Arial" w:hAnsi="Arial" w:cs="Arial"/>
          <w:sz w:val="24"/>
          <w:szCs w:val="24"/>
        </w:rPr>
        <w:t>l fallecimiento d</w:t>
      </w:r>
      <w:r w:rsidR="00CE78AC" w:rsidRPr="00640597">
        <w:rPr>
          <w:rFonts w:ascii="Arial" w:hAnsi="Arial" w:cs="Arial"/>
          <w:sz w:val="24"/>
          <w:szCs w:val="24"/>
        </w:rPr>
        <w:t>el señor José Alirio Mejía Jiménez, pues mediante Resolución GNR 29800 de</w:t>
      </w:r>
      <w:r w:rsidR="00406760" w:rsidRPr="00640597">
        <w:rPr>
          <w:rFonts w:ascii="Arial" w:hAnsi="Arial" w:cs="Arial"/>
          <w:sz w:val="24"/>
          <w:szCs w:val="24"/>
        </w:rPr>
        <w:t>l</w:t>
      </w:r>
      <w:r w:rsidR="00CE78AC" w:rsidRPr="00640597">
        <w:rPr>
          <w:rFonts w:ascii="Arial" w:hAnsi="Arial" w:cs="Arial"/>
          <w:sz w:val="24"/>
          <w:szCs w:val="24"/>
        </w:rPr>
        <w:t xml:space="preserve"> 10 de febrero de 2015, </w:t>
      </w:r>
      <w:r w:rsidR="00862C91" w:rsidRPr="00640597">
        <w:rPr>
          <w:rFonts w:ascii="Arial" w:hAnsi="Arial" w:cs="Arial"/>
          <w:sz w:val="24"/>
          <w:szCs w:val="24"/>
        </w:rPr>
        <w:t xml:space="preserve">ejecutoriada el 22 de febrero de ese mismo año, </w:t>
      </w:r>
      <w:r w:rsidR="008B5567" w:rsidRPr="00640597">
        <w:rPr>
          <w:rFonts w:ascii="Arial" w:hAnsi="Arial" w:cs="Arial"/>
          <w:sz w:val="24"/>
          <w:szCs w:val="24"/>
        </w:rPr>
        <w:t xml:space="preserve">el deceso </w:t>
      </w:r>
      <w:r w:rsidR="00CE78AC" w:rsidRPr="00640597">
        <w:rPr>
          <w:rFonts w:ascii="Arial" w:hAnsi="Arial" w:cs="Arial"/>
          <w:sz w:val="24"/>
          <w:szCs w:val="24"/>
        </w:rPr>
        <w:t>se calificó de origen común</w:t>
      </w:r>
      <w:r w:rsidR="008B5567" w:rsidRPr="00640597">
        <w:rPr>
          <w:rFonts w:ascii="Arial" w:hAnsi="Arial" w:cs="Arial"/>
          <w:sz w:val="24"/>
          <w:szCs w:val="24"/>
        </w:rPr>
        <w:t xml:space="preserve"> y derivó en el reconocimiento y pago de una pensión de sobrevivientes a cargo del </w:t>
      </w:r>
      <w:r w:rsidR="00361A0C" w:rsidRPr="00640597">
        <w:rPr>
          <w:rFonts w:ascii="Arial" w:hAnsi="Arial" w:cs="Arial"/>
          <w:sz w:val="24"/>
          <w:szCs w:val="24"/>
        </w:rPr>
        <w:t>S</w:t>
      </w:r>
      <w:r w:rsidR="008B5567" w:rsidRPr="00640597">
        <w:rPr>
          <w:rFonts w:ascii="Arial" w:hAnsi="Arial" w:cs="Arial"/>
          <w:sz w:val="24"/>
          <w:szCs w:val="24"/>
        </w:rPr>
        <w:t xml:space="preserve">istema </w:t>
      </w:r>
      <w:r w:rsidR="00361A0C" w:rsidRPr="00640597">
        <w:rPr>
          <w:rFonts w:ascii="Arial" w:hAnsi="Arial" w:cs="Arial"/>
          <w:sz w:val="24"/>
          <w:szCs w:val="24"/>
        </w:rPr>
        <w:t>G</w:t>
      </w:r>
      <w:r w:rsidR="008B5567" w:rsidRPr="00640597">
        <w:rPr>
          <w:rFonts w:ascii="Arial" w:hAnsi="Arial" w:cs="Arial"/>
          <w:sz w:val="24"/>
          <w:szCs w:val="24"/>
        </w:rPr>
        <w:t xml:space="preserve">eneral de </w:t>
      </w:r>
      <w:r w:rsidR="00361A0C" w:rsidRPr="00640597">
        <w:rPr>
          <w:rFonts w:ascii="Arial" w:hAnsi="Arial" w:cs="Arial"/>
          <w:sz w:val="24"/>
          <w:szCs w:val="24"/>
        </w:rPr>
        <w:t>P</w:t>
      </w:r>
      <w:r w:rsidR="008B5567" w:rsidRPr="00640597">
        <w:rPr>
          <w:rFonts w:ascii="Arial" w:hAnsi="Arial" w:cs="Arial"/>
          <w:sz w:val="24"/>
          <w:szCs w:val="24"/>
        </w:rPr>
        <w:t>ensiones</w:t>
      </w:r>
      <w:r w:rsidR="00427887" w:rsidRPr="00640597">
        <w:rPr>
          <w:rFonts w:ascii="Arial" w:hAnsi="Arial" w:cs="Arial"/>
          <w:sz w:val="24"/>
          <w:szCs w:val="24"/>
        </w:rPr>
        <w:t xml:space="preserve">, concretamente, </w:t>
      </w:r>
      <w:r w:rsidR="008B5567" w:rsidRPr="00640597">
        <w:rPr>
          <w:rFonts w:ascii="Arial" w:hAnsi="Arial" w:cs="Arial"/>
          <w:sz w:val="24"/>
          <w:szCs w:val="24"/>
        </w:rPr>
        <w:t xml:space="preserve">por cuenta de </w:t>
      </w:r>
      <w:r w:rsidR="0036433C" w:rsidRPr="00640597">
        <w:rPr>
          <w:rFonts w:ascii="Arial" w:hAnsi="Arial" w:cs="Arial"/>
          <w:sz w:val="24"/>
          <w:szCs w:val="24"/>
        </w:rPr>
        <w:t>Colpensiones.</w:t>
      </w:r>
    </w:p>
    <w:p w14:paraId="3656B9AB" w14:textId="77777777" w:rsidR="008B5567" w:rsidRPr="00640597" w:rsidRDefault="008B5567" w:rsidP="00640597">
      <w:pPr>
        <w:spacing w:after="0"/>
        <w:jc w:val="both"/>
        <w:rPr>
          <w:rFonts w:ascii="Arial" w:hAnsi="Arial" w:cs="Arial"/>
          <w:sz w:val="24"/>
          <w:szCs w:val="24"/>
        </w:rPr>
      </w:pPr>
    </w:p>
    <w:p w14:paraId="55FEBABC" w14:textId="77777777" w:rsidR="00C91C9C" w:rsidRPr="00640597" w:rsidRDefault="0036433C" w:rsidP="00640597">
      <w:pPr>
        <w:spacing w:after="0"/>
        <w:jc w:val="both"/>
        <w:rPr>
          <w:rFonts w:ascii="Arial" w:hAnsi="Arial" w:cs="Arial"/>
          <w:sz w:val="24"/>
          <w:szCs w:val="24"/>
        </w:rPr>
      </w:pPr>
      <w:r w:rsidRPr="00640597">
        <w:rPr>
          <w:rFonts w:ascii="Arial" w:hAnsi="Arial" w:cs="Arial"/>
          <w:sz w:val="24"/>
          <w:szCs w:val="24"/>
        </w:rPr>
        <w:t>En ese orden, sostuvo</w:t>
      </w:r>
      <w:r w:rsidR="008B5567" w:rsidRPr="00640597">
        <w:rPr>
          <w:rFonts w:ascii="Arial" w:hAnsi="Arial" w:cs="Arial"/>
          <w:sz w:val="24"/>
          <w:szCs w:val="24"/>
        </w:rPr>
        <w:t xml:space="preserve"> que</w:t>
      </w:r>
      <w:r w:rsidRPr="00640597">
        <w:rPr>
          <w:rFonts w:ascii="Arial" w:hAnsi="Arial" w:cs="Arial"/>
          <w:sz w:val="24"/>
          <w:szCs w:val="24"/>
        </w:rPr>
        <w:t xml:space="preserve">, no puede pretenderse </w:t>
      </w:r>
      <w:r w:rsidR="008B5567" w:rsidRPr="00640597">
        <w:rPr>
          <w:rFonts w:ascii="Arial" w:hAnsi="Arial" w:cs="Arial"/>
          <w:sz w:val="24"/>
          <w:szCs w:val="24"/>
        </w:rPr>
        <w:t>el pago concomitante de la misma prestación</w:t>
      </w:r>
      <w:r w:rsidRPr="00640597">
        <w:rPr>
          <w:rFonts w:ascii="Arial" w:hAnsi="Arial" w:cs="Arial"/>
          <w:sz w:val="24"/>
          <w:szCs w:val="24"/>
        </w:rPr>
        <w:t>, ahora</w:t>
      </w:r>
      <w:r w:rsidR="008B5567" w:rsidRPr="00640597">
        <w:rPr>
          <w:rFonts w:ascii="Arial" w:hAnsi="Arial" w:cs="Arial"/>
          <w:sz w:val="24"/>
          <w:szCs w:val="24"/>
        </w:rPr>
        <w:t xml:space="preserve"> por cuenta de la administradora de riesgos laborales,</w:t>
      </w:r>
      <w:r w:rsidR="00427887" w:rsidRPr="00640597">
        <w:rPr>
          <w:rFonts w:ascii="Arial" w:hAnsi="Arial" w:cs="Arial"/>
          <w:sz w:val="24"/>
          <w:szCs w:val="24"/>
        </w:rPr>
        <w:t xml:space="preserve"> pues</w:t>
      </w:r>
      <w:r w:rsidR="008B5567" w:rsidRPr="00640597">
        <w:rPr>
          <w:rFonts w:ascii="Arial" w:hAnsi="Arial" w:cs="Arial"/>
          <w:sz w:val="24"/>
          <w:szCs w:val="24"/>
        </w:rPr>
        <w:t xml:space="preserve"> el evento generador de la </w:t>
      </w:r>
      <w:r w:rsidRPr="00640597">
        <w:rPr>
          <w:rFonts w:ascii="Arial" w:hAnsi="Arial" w:cs="Arial"/>
          <w:sz w:val="24"/>
          <w:szCs w:val="24"/>
        </w:rPr>
        <w:t>pensión</w:t>
      </w:r>
      <w:r w:rsidR="008B5567" w:rsidRPr="00640597">
        <w:rPr>
          <w:rFonts w:ascii="Arial" w:hAnsi="Arial" w:cs="Arial"/>
          <w:sz w:val="24"/>
          <w:szCs w:val="24"/>
        </w:rPr>
        <w:t xml:space="preserve"> es el mismo, </w:t>
      </w:r>
      <w:r w:rsidRPr="00640597">
        <w:rPr>
          <w:rFonts w:ascii="Arial" w:hAnsi="Arial" w:cs="Arial"/>
          <w:sz w:val="24"/>
          <w:szCs w:val="24"/>
        </w:rPr>
        <w:t xml:space="preserve">el deceso del afiliado Mejía Jiménez, </w:t>
      </w:r>
      <w:r w:rsidR="00427887" w:rsidRPr="00640597">
        <w:rPr>
          <w:rFonts w:ascii="Arial" w:hAnsi="Arial" w:cs="Arial"/>
          <w:sz w:val="24"/>
          <w:szCs w:val="24"/>
        </w:rPr>
        <w:t xml:space="preserve">máxime cuando </w:t>
      </w:r>
      <w:r w:rsidR="008B5567" w:rsidRPr="00640597">
        <w:rPr>
          <w:rFonts w:ascii="Arial" w:hAnsi="Arial" w:cs="Arial"/>
          <w:sz w:val="24"/>
          <w:szCs w:val="24"/>
        </w:rPr>
        <w:t xml:space="preserve">el acto administrativo mediante el cual Colpensiones reconoció el </w:t>
      </w:r>
      <w:r w:rsidR="00427887" w:rsidRPr="00640597">
        <w:rPr>
          <w:rFonts w:ascii="Arial" w:hAnsi="Arial" w:cs="Arial"/>
          <w:sz w:val="24"/>
          <w:szCs w:val="24"/>
        </w:rPr>
        <w:t>derecho</w:t>
      </w:r>
      <w:r w:rsidR="008B5567" w:rsidRPr="00640597">
        <w:rPr>
          <w:rFonts w:ascii="Arial" w:hAnsi="Arial" w:cs="Arial"/>
          <w:sz w:val="24"/>
          <w:szCs w:val="24"/>
        </w:rPr>
        <w:t xml:space="preserve"> pensional</w:t>
      </w:r>
      <w:r w:rsidR="00427887" w:rsidRPr="00640597">
        <w:rPr>
          <w:rFonts w:ascii="Arial" w:hAnsi="Arial" w:cs="Arial"/>
          <w:sz w:val="24"/>
          <w:szCs w:val="24"/>
        </w:rPr>
        <w:t xml:space="preserve"> y calificó el </w:t>
      </w:r>
      <w:r w:rsidR="00361A0C" w:rsidRPr="00640597">
        <w:rPr>
          <w:rFonts w:ascii="Arial" w:hAnsi="Arial" w:cs="Arial"/>
          <w:sz w:val="24"/>
          <w:szCs w:val="24"/>
        </w:rPr>
        <w:t>suceso</w:t>
      </w:r>
      <w:r w:rsidR="00427887" w:rsidRPr="00640597">
        <w:rPr>
          <w:rFonts w:ascii="Arial" w:hAnsi="Arial" w:cs="Arial"/>
          <w:sz w:val="24"/>
          <w:szCs w:val="24"/>
        </w:rPr>
        <w:t xml:space="preserve"> como un riesgo de origen </w:t>
      </w:r>
      <w:r w:rsidR="00862C91" w:rsidRPr="00640597">
        <w:rPr>
          <w:rFonts w:ascii="Arial" w:hAnsi="Arial" w:cs="Arial"/>
          <w:sz w:val="24"/>
          <w:szCs w:val="24"/>
        </w:rPr>
        <w:t>común, goza de presunción de legalidad</w:t>
      </w:r>
      <w:r w:rsidR="00427887" w:rsidRPr="00640597">
        <w:rPr>
          <w:rFonts w:ascii="Arial" w:hAnsi="Arial" w:cs="Arial"/>
          <w:sz w:val="24"/>
          <w:szCs w:val="24"/>
        </w:rPr>
        <w:t xml:space="preserve">, </w:t>
      </w:r>
      <w:r w:rsidRPr="00640597">
        <w:rPr>
          <w:rFonts w:ascii="Arial" w:hAnsi="Arial" w:cs="Arial"/>
          <w:sz w:val="24"/>
          <w:szCs w:val="24"/>
        </w:rPr>
        <w:t xml:space="preserve">por no haber sido </w:t>
      </w:r>
      <w:r w:rsidR="00427887" w:rsidRPr="00640597">
        <w:rPr>
          <w:rFonts w:ascii="Arial" w:hAnsi="Arial" w:cs="Arial"/>
          <w:sz w:val="24"/>
          <w:szCs w:val="24"/>
        </w:rPr>
        <w:t>controvertido.</w:t>
      </w:r>
      <w:r w:rsidR="00C91C9C" w:rsidRPr="00640597">
        <w:rPr>
          <w:rFonts w:ascii="Arial" w:hAnsi="Arial" w:cs="Arial"/>
          <w:sz w:val="24"/>
          <w:szCs w:val="24"/>
        </w:rPr>
        <w:t xml:space="preserve"> </w:t>
      </w:r>
    </w:p>
    <w:p w14:paraId="45FB0818" w14:textId="77777777" w:rsidR="00C91C9C" w:rsidRPr="00640597" w:rsidRDefault="00C91C9C" w:rsidP="00640597">
      <w:pPr>
        <w:spacing w:after="0"/>
        <w:jc w:val="both"/>
        <w:rPr>
          <w:rFonts w:ascii="Arial" w:hAnsi="Arial" w:cs="Arial"/>
          <w:sz w:val="24"/>
          <w:szCs w:val="24"/>
        </w:rPr>
      </w:pPr>
    </w:p>
    <w:p w14:paraId="52661D29" w14:textId="77777777" w:rsidR="001919F7" w:rsidRPr="00640597" w:rsidRDefault="008C2DF9" w:rsidP="00640597">
      <w:pPr>
        <w:spacing w:after="0"/>
        <w:jc w:val="both"/>
        <w:rPr>
          <w:rFonts w:ascii="Arial" w:hAnsi="Arial" w:cs="Arial"/>
          <w:sz w:val="24"/>
          <w:szCs w:val="24"/>
        </w:rPr>
      </w:pPr>
      <w:r w:rsidRPr="00640597">
        <w:rPr>
          <w:rFonts w:ascii="Arial" w:hAnsi="Arial" w:cs="Arial"/>
          <w:sz w:val="24"/>
          <w:szCs w:val="24"/>
        </w:rPr>
        <w:t xml:space="preserve">Por lo anterior, declaró probada la excepción de prescripción y negó la totalidad de las pretensiones de la demanda, condenando en costas procesales a la parte vencida en juicio en un 100% de las causadas. </w:t>
      </w:r>
    </w:p>
    <w:p w14:paraId="049F31CB" w14:textId="77777777" w:rsidR="00C91C9C" w:rsidRPr="00640597" w:rsidRDefault="00C91C9C" w:rsidP="00640597">
      <w:pPr>
        <w:spacing w:after="0"/>
        <w:jc w:val="both"/>
        <w:rPr>
          <w:rFonts w:ascii="Arial" w:hAnsi="Arial" w:cs="Arial"/>
          <w:sz w:val="24"/>
          <w:szCs w:val="24"/>
        </w:rPr>
      </w:pPr>
    </w:p>
    <w:p w14:paraId="0CD12E5B" w14:textId="77777777" w:rsidR="00C91C9C" w:rsidRPr="00640597" w:rsidRDefault="00C91C9C" w:rsidP="00640597">
      <w:pPr>
        <w:spacing w:after="0"/>
        <w:jc w:val="both"/>
        <w:rPr>
          <w:rFonts w:ascii="Arial" w:hAnsi="Arial" w:cs="Arial"/>
          <w:sz w:val="24"/>
          <w:szCs w:val="24"/>
        </w:rPr>
      </w:pPr>
      <w:r w:rsidRPr="00640597">
        <w:rPr>
          <w:rFonts w:ascii="Arial" w:hAnsi="Arial" w:cs="Arial"/>
          <w:sz w:val="24"/>
          <w:szCs w:val="24"/>
        </w:rPr>
        <w:t>La parte actora no recurrió la decisión, por lo que, al haber resultado la decisión adversa a sus intereses, se dispuso el grado jurisdiccional de consulta a su favor.</w:t>
      </w:r>
    </w:p>
    <w:p w14:paraId="53128261" w14:textId="77777777" w:rsidR="00C91C9C" w:rsidRPr="00640597" w:rsidRDefault="00C91C9C" w:rsidP="00640597">
      <w:pPr>
        <w:spacing w:after="0"/>
        <w:jc w:val="center"/>
        <w:textAlignment w:val="baseline"/>
        <w:rPr>
          <w:rFonts w:ascii="Arial" w:eastAsia="Times New Roman" w:hAnsi="Arial" w:cs="Arial"/>
          <w:b/>
          <w:bCs/>
          <w:sz w:val="24"/>
          <w:szCs w:val="24"/>
          <w:lang w:eastAsia="es-CO"/>
        </w:rPr>
      </w:pPr>
    </w:p>
    <w:p w14:paraId="0F223A33" w14:textId="54FE0AFA" w:rsidR="001919F7" w:rsidRPr="00640597" w:rsidRDefault="001919F7" w:rsidP="00640597">
      <w:pPr>
        <w:spacing w:after="0"/>
        <w:jc w:val="center"/>
        <w:textAlignment w:val="baseline"/>
        <w:rPr>
          <w:rFonts w:ascii="Arial" w:eastAsia="Times New Roman" w:hAnsi="Arial" w:cs="Arial"/>
          <w:sz w:val="24"/>
          <w:szCs w:val="24"/>
          <w:lang w:eastAsia="es-CO"/>
        </w:rPr>
      </w:pPr>
      <w:r w:rsidRPr="00640597">
        <w:rPr>
          <w:rFonts w:ascii="Arial" w:eastAsia="Times New Roman" w:hAnsi="Arial" w:cs="Arial"/>
          <w:b/>
          <w:bCs/>
          <w:sz w:val="24"/>
          <w:szCs w:val="24"/>
          <w:lang w:eastAsia="es-CO"/>
        </w:rPr>
        <w:t>ALEGATOS DE CONCLUSIÓN</w:t>
      </w:r>
    </w:p>
    <w:p w14:paraId="01512BE8" w14:textId="77777777" w:rsidR="001919F7" w:rsidRPr="00640597" w:rsidRDefault="001919F7" w:rsidP="00640597">
      <w:pPr>
        <w:pStyle w:val="Sinespaciado"/>
        <w:spacing w:line="276" w:lineRule="auto"/>
        <w:rPr>
          <w:rFonts w:ascii="Arial" w:hAnsi="Arial" w:cs="Arial"/>
          <w:sz w:val="24"/>
          <w:szCs w:val="24"/>
          <w:lang w:eastAsia="es-CO"/>
        </w:rPr>
      </w:pPr>
      <w:r w:rsidRPr="00640597">
        <w:rPr>
          <w:rFonts w:ascii="Arial" w:hAnsi="Arial" w:cs="Arial"/>
          <w:sz w:val="24"/>
          <w:szCs w:val="24"/>
          <w:lang w:eastAsia="es-CO"/>
        </w:rPr>
        <w:t> </w:t>
      </w:r>
    </w:p>
    <w:p w14:paraId="2109679F" w14:textId="77777777" w:rsidR="001919F7" w:rsidRPr="00640597" w:rsidRDefault="001919F7"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 xml:space="preserve">Conforme se dejó plasmado en la constancia emitida por la Secretaría de la Corporación, únicamente la </w:t>
      </w:r>
      <w:r w:rsidR="00C91C9C" w:rsidRPr="00640597">
        <w:rPr>
          <w:rFonts w:ascii="Arial" w:eastAsia="Times New Roman" w:hAnsi="Arial" w:cs="Arial"/>
          <w:sz w:val="24"/>
          <w:szCs w:val="24"/>
          <w:lang w:eastAsia="es-CO"/>
        </w:rPr>
        <w:t>Administradora Colombiana de Pensiones hiz</w:t>
      </w:r>
      <w:r w:rsidRPr="00640597">
        <w:rPr>
          <w:rFonts w:ascii="Arial" w:eastAsia="Times New Roman" w:hAnsi="Arial" w:cs="Arial"/>
          <w:sz w:val="24"/>
          <w:szCs w:val="24"/>
          <w:lang w:eastAsia="es-CO"/>
        </w:rPr>
        <w:t>o uso del derecho a presentar alegatos de conclusión en esta instancia.</w:t>
      </w:r>
    </w:p>
    <w:p w14:paraId="071D9F84" w14:textId="274C1010" w:rsidR="6E27BB9E" w:rsidRPr="00640597" w:rsidRDefault="6E27BB9E" w:rsidP="00640597">
      <w:pPr>
        <w:spacing w:after="0"/>
        <w:jc w:val="both"/>
        <w:rPr>
          <w:rFonts w:ascii="Arial" w:eastAsia="Times New Roman" w:hAnsi="Arial" w:cs="Arial"/>
          <w:sz w:val="24"/>
          <w:szCs w:val="24"/>
          <w:lang w:eastAsia="es-CO"/>
        </w:rPr>
      </w:pPr>
    </w:p>
    <w:p w14:paraId="6FDE34BE" w14:textId="75CF9FDD" w:rsidR="001919F7" w:rsidRPr="00640597" w:rsidRDefault="001919F7"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640597">
        <w:rPr>
          <w:rFonts w:ascii="Arial" w:eastAsia="Times New Roman" w:hAnsi="Arial" w:cs="Arial"/>
          <w:i/>
          <w:iCs/>
          <w:sz w:val="24"/>
          <w:szCs w:val="24"/>
          <w:lang w:eastAsia="es-CO"/>
        </w:rPr>
        <w:t>“</w:t>
      </w:r>
      <w:r w:rsidR="00FC1EFC">
        <w:rPr>
          <w:rFonts w:ascii="Arial" w:eastAsia="Times New Roman" w:hAnsi="Arial" w:cs="Arial"/>
          <w:i/>
          <w:iCs/>
          <w:szCs w:val="24"/>
          <w:lang w:eastAsia="es-CO"/>
        </w:rPr>
        <w:t>n</w:t>
      </w:r>
      <w:r w:rsidRPr="00FC1EFC">
        <w:rPr>
          <w:rFonts w:ascii="Arial" w:eastAsia="Times New Roman" w:hAnsi="Arial" w:cs="Arial"/>
          <w:i/>
          <w:iCs/>
          <w:szCs w:val="24"/>
          <w:lang w:eastAsia="es-CO"/>
        </w:rPr>
        <w:t>o se podrá hacer transcripciones o reproducciones de actas, decisiones o conceptos que obren en el expediente</w:t>
      </w:r>
      <w:r w:rsidRPr="00640597">
        <w:rPr>
          <w:rFonts w:ascii="Arial" w:eastAsia="Times New Roman" w:hAnsi="Arial" w:cs="Arial"/>
          <w:i/>
          <w:iCs/>
          <w:sz w:val="24"/>
          <w:szCs w:val="24"/>
          <w:lang w:eastAsia="es-CO"/>
        </w:rPr>
        <w:t>”, </w:t>
      </w:r>
      <w:r w:rsidRPr="00640597">
        <w:rPr>
          <w:rFonts w:ascii="Arial" w:eastAsia="Times New Roman" w:hAnsi="Arial" w:cs="Arial"/>
          <w:sz w:val="24"/>
          <w:szCs w:val="24"/>
          <w:lang w:eastAsia="es-CO"/>
        </w:rPr>
        <w:t xml:space="preserve">baste decir que los argumentos esgrimidos por la </w:t>
      </w:r>
      <w:r w:rsidR="00C91C9C" w:rsidRPr="00640597">
        <w:rPr>
          <w:rFonts w:ascii="Arial" w:eastAsia="Times New Roman" w:hAnsi="Arial" w:cs="Arial"/>
          <w:sz w:val="24"/>
          <w:szCs w:val="24"/>
          <w:lang w:eastAsia="es-CO"/>
        </w:rPr>
        <w:t xml:space="preserve">entidad de seguridad social están encaminadas a que se confirme en su integridad la decisión de primera instancia, por considerar que a la demandante no le asiste derecho a las pretensiones incoadas. </w:t>
      </w:r>
      <w:r w:rsidRPr="00640597">
        <w:rPr>
          <w:rFonts w:ascii="Arial" w:eastAsia="Times New Roman" w:hAnsi="Arial" w:cs="Arial"/>
          <w:sz w:val="24"/>
          <w:szCs w:val="24"/>
          <w:lang w:eastAsia="es-CO"/>
        </w:rPr>
        <w:t xml:space="preserve"> </w:t>
      </w:r>
    </w:p>
    <w:p w14:paraId="62486C05" w14:textId="77777777" w:rsidR="00C91C9C" w:rsidRPr="00640597" w:rsidRDefault="00C91C9C" w:rsidP="00640597">
      <w:pPr>
        <w:spacing w:after="0"/>
        <w:jc w:val="both"/>
        <w:textAlignment w:val="baseline"/>
        <w:rPr>
          <w:rFonts w:ascii="Arial" w:eastAsia="Times New Roman" w:hAnsi="Arial" w:cs="Arial"/>
          <w:sz w:val="24"/>
          <w:szCs w:val="24"/>
          <w:lang w:eastAsia="es-CO"/>
        </w:rPr>
      </w:pPr>
    </w:p>
    <w:p w14:paraId="3FB2A10D" w14:textId="77777777" w:rsidR="001919F7" w:rsidRPr="00640597" w:rsidRDefault="001919F7"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Así las cosas, atendidas las argumentaciones a esta Sala de Decisión le corresponde resolver los siguientes:</w:t>
      </w:r>
      <w:r w:rsidRPr="00640597">
        <w:rPr>
          <w:rFonts w:ascii="Arial" w:eastAsia="Times New Roman" w:hAnsi="Arial" w:cs="Arial"/>
          <w:b/>
          <w:bCs/>
          <w:sz w:val="24"/>
          <w:szCs w:val="24"/>
          <w:lang w:eastAsia="es-CO"/>
        </w:rPr>
        <w:t> </w:t>
      </w:r>
      <w:r w:rsidRPr="00640597">
        <w:rPr>
          <w:rFonts w:ascii="Arial" w:eastAsia="Times New Roman" w:hAnsi="Arial" w:cs="Arial"/>
          <w:sz w:val="24"/>
          <w:szCs w:val="24"/>
          <w:lang w:eastAsia="es-CO"/>
        </w:rPr>
        <w:t> </w:t>
      </w:r>
    </w:p>
    <w:p w14:paraId="4101652C" w14:textId="77777777" w:rsidR="001919F7" w:rsidRPr="00640597" w:rsidRDefault="001919F7" w:rsidP="00640597">
      <w:pPr>
        <w:spacing w:after="0"/>
        <w:jc w:val="both"/>
        <w:textAlignment w:val="baseline"/>
        <w:rPr>
          <w:rFonts w:ascii="Arial" w:eastAsia="Times New Roman" w:hAnsi="Arial" w:cs="Arial"/>
          <w:sz w:val="24"/>
          <w:szCs w:val="24"/>
          <w:lang w:eastAsia="es-CO"/>
        </w:rPr>
      </w:pPr>
    </w:p>
    <w:p w14:paraId="5CAB417D" w14:textId="77777777" w:rsidR="001919F7" w:rsidRPr="00640597" w:rsidRDefault="001919F7" w:rsidP="00640597">
      <w:pPr>
        <w:spacing w:after="0"/>
        <w:jc w:val="center"/>
        <w:textAlignment w:val="baseline"/>
        <w:rPr>
          <w:rFonts w:ascii="Arial" w:eastAsia="Times New Roman" w:hAnsi="Arial" w:cs="Arial"/>
          <w:sz w:val="24"/>
          <w:szCs w:val="24"/>
          <w:lang w:eastAsia="es-CO"/>
        </w:rPr>
      </w:pPr>
      <w:r w:rsidRPr="00640597">
        <w:rPr>
          <w:rFonts w:ascii="Arial" w:eastAsia="Times New Roman" w:hAnsi="Arial" w:cs="Arial"/>
          <w:b/>
          <w:bCs/>
          <w:sz w:val="24"/>
          <w:szCs w:val="24"/>
          <w:lang w:eastAsia="es-CO"/>
        </w:rPr>
        <w:t>PROBLEMAS JURÍDICOS </w:t>
      </w:r>
      <w:r w:rsidRPr="00640597">
        <w:rPr>
          <w:rFonts w:ascii="Arial" w:eastAsia="Times New Roman" w:hAnsi="Arial" w:cs="Arial"/>
          <w:sz w:val="24"/>
          <w:szCs w:val="24"/>
          <w:lang w:eastAsia="es-CO"/>
        </w:rPr>
        <w:t> </w:t>
      </w:r>
    </w:p>
    <w:p w14:paraId="4B99056E" w14:textId="77777777" w:rsidR="001919F7" w:rsidRPr="00640597" w:rsidRDefault="001919F7" w:rsidP="00640597">
      <w:pPr>
        <w:spacing w:after="0"/>
        <w:jc w:val="both"/>
        <w:textAlignment w:val="baseline"/>
        <w:rPr>
          <w:rFonts w:ascii="Arial" w:eastAsia="Times New Roman" w:hAnsi="Arial" w:cs="Arial"/>
          <w:b/>
          <w:bCs/>
          <w:sz w:val="24"/>
          <w:szCs w:val="24"/>
          <w:lang w:eastAsia="es-CO"/>
        </w:rPr>
      </w:pPr>
    </w:p>
    <w:p w14:paraId="27EA64B8" w14:textId="77777777" w:rsidR="001919F7" w:rsidRPr="00640597" w:rsidRDefault="001919F7" w:rsidP="00FC1EFC">
      <w:pPr>
        <w:spacing w:after="0"/>
        <w:ind w:left="426" w:right="420"/>
        <w:jc w:val="both"/>
        <w:textAlignment w:val="baseline"/>
        <w:rPr>
          <w:rFonts w:ascii="Arial" w:eastAsia="Times New Roman" w:hAnsi="Arial" w:cs="Arial"/>
          <w:b/>
          <w:bCs/>
          <w:i/>
          <w:sz w:val="24"/>
          <w:szCs w:val="24"/>
          <w:lang w:eastAsia="es-CO"/>
        </w:rPr>
      </w:pPr>
      <w:r w:rsidRPr="00640597">
        <w:rPr>
          <w:rFonts w:ascii="Arial" w:eastAsia="Times New Roman" w:hAnsi="Arial" w:cs="Arial"/>
          <w:b/>
          <w:bCs/>
          <w:i/>
          <w:sz w:val="24"/>
          <w:szCs w:val="24"/>
          <w:lang w:eastAsia="es-CO"/>
        </w:rPr>
        <w:t>¿</w:t>
      </w:r>
      <w:r w:rsidR="00F83213" w:rsidRPr="00640597">
        <w:rPr>
          <w:rFonts w:ascii="Arial" w:eastAsia="Times New Roman" w:hAnsi="Arial" w:cs="Arial"/>
          <w:b/>
          <w:bCs/>
          <w:i/>
          <w:sz w:val="24"/>
          <w:szCs w:val="24"/>
          <w:lang w:eastAsia="es-CO"/>
        </w:rPr>
        <w:t>Son compatibles la</w:t>
      </w:r>
      <w:r w:rsidR="00A23764" w:rsidRPr="00640597">
        <w:rPr>
          <w:rFonts w:ascii="Arial" w:eastAsia="Times New Roman" w:hAnsi="Arial" w:cs="Arial"/>
          <w:b/>
          <w:bCs/>
          <w:i/>
          <w:sz w:val="24"/>
          <w:szCs w:val="24"/>
          <w:lang w:eastAsia="es-CO"/>
        </w:rPr>
        <w:t>s</w:t>
      </w:r>
      <w:r w:rsidR="00F83213" w:rsidRPr="00640597">
        <w:rPr>
          <w:rFonts w:ascii="Arial" w:eastAsia="Times New Roman" w:hAnsi="Arial" w:cs="Arial"/>
          <w:b/>
          <w:bCs/>
          <w:i/>
          <w:sz w:val="24"/>
          <w:szCs w:val="24"/>
          <w:lang w:eastAsia="es-CO"/>
        </w:rPr>
        <w:t xml:space="preserve"> pensi</w:t>
      </w:r>
      <w:r w:rsidR="00A23764" w:rsidRPr="00640597">
        <w:rPr>
          <w:rFonts w:ascii="Arial" w:eastAsia="Times New Roman" w:hAnsi="Arial" w:cs="Arial"/>
          <w:b/>
          <w:bCs/>
          <w:i/>
          <w:sz w:val="24"/>
          <w:szCs w:val="24"/>
          <w:lang w:eastAsia="es-CO"/>
        </w:rPr>
        <w:t xml:space="preserve">ones </w:t>
      </w:r>
      <w:r w:rsidR="00F83213" w:rsidRPr="00640597">
        <w:rPr>
          <w:rFonts w:ascii="Arial" w:eastAsia="Times New Roman" w:hAnsi="Arial" w:cs="Arial"/>
          <w:b/>
          <w:bCs/>
          <w:i/>
          <w:sz w:val="24"/>
          <w:szCs w:val="24"/>
          <w:lang w:eastAsia="es-CO"/>
        </w:rPr>
        <w:t xml:space="preserve">de sobrevivientes por riesgo común y </w:t>
      </w:r>
      <w:r w:rsidR="00A23764" w:rsidRPr="00640597">
        <w:rPr>
          <w:rFonts w:ascii="Arial" w:eastAsia="Times New Roman" w:hAnsi="Arial" w:cs="Arial"/>
          <w:b/>
          <w:bCs/>
          <w:i/>
          <w:sz w:val="24"/>
          <w:szCs w:val="24"/>
          <w:lang w:eastAsia="es-CO"/>
        </w:rPr>
        <w:t>profesional cuando se originan en un mismo evento</w:t>
      </w:r>
      <w:r w:rsidR="00A1646C" w:rsidRPr="00640597">
        <w:rPr>
          <w:rFonts w:ascii="Arial" w:eastAsia="Times New Roman" w:hAnsi="Arial" w:cs="Arial"/>
          <w:b/>
          <w:bCs/>
          <w:i/>
          <w:sz w:val="24"/>
          <w:szCs w:val="24"/>
          <w:lang w:eastAsia="es-CO"/>
        </w:rPr>
        <w:t xml:space="preserve">?  </w:t>
      </w:r>
    </w:p>
    <w:p w14:paraId="0DA70637" w14:textId="77777777" w:rsidR="001919F7" w:rsidRPr="00640597" w:rsidRDefault="001919F7" w:rsidP="00640597">
      <w:pPr>
        <w:pStyle w:val="Sinespaciado"/>
        <w:spacing w:line="276" w:lineRule="auto"/>
        <w:rPr>
          <w:rFonts w:ascii="Arial" w:hAnsi="Arial" w:cs="Arial"/>
          <w:sz w:val="24"/>
          <w:szCs w:val="24"/>
          <w:lang w:eastAsia="es-CO"/>
        </w:rPr>
      </w:pPr>
      <w:r w:rsidRPr="00640597">
        <w:rPr>
          <w:rFonts w:ascii="Arial" w:hAnsi="Arial" w:cs="Arial"/>
          <w:sz w:val="24"/>
          <w:szCs w:val="24"/>
          <w:lang w:eastAsia="es-CO"/>
        </w:rPr>
        <w:lastRenderedPageBreak/>
        <w:t> </w:t>
      </w:r>
    </w:p>
    <w:p w14:paraId="252378C1" w14:textId="77777777" w:rsidR="001919F7" w:rsidRPr="00640597" w:rsidRDefault="001919F7"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77777777" w:rsidR="001919F7" w:rsidRPr="00640597" w:rsidRDefault="001919F7"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  </w:t>
      </w:r>
    </w:p>
    <w:p w14:paraId="6DD106B6" w14:textId="77777777" w:rsidR="001919F7" w:rsidRPr="00640597" w:rsidRDefault="001919F7" w:rsidP="00640597">
      <w:pPr>
        <w:spacing w:after="0"/>
        <w:jc w:val="center"/>
        <w:textAlignment w:val="baseline"/>
        <w:rPr>
          <w:rFonts w:ascii="Arial" w:eastAsia="Times New Roman" w:hAnsi="Arial" w:cs="Arial"/>
          <w:sz w:val="24"/>
          <w:szCs w:val="24"/>
          <w:lang w:eastAsia="es-CO"/>
        </w:rPr>
      </w:pPr>
      <w:r w:rsidRPr="00640597">
        <w:rPr>
          <w:rFonts w:ascii="Arial" w:eastAsia="Times New Roman" w:hAnsi="Arial" w:cs="Arial"/>
          <w:b/>
          <w:bCs/>
          <w:sz w:val="24"/>
          <w:szCs w:val="24"/>
          <w:lang w:eastAsia="es-CO"/>
        </w:rPr>
        <w:t>FUNDAMENTO JURISPRUDENCIAL</w:t>
      </w:r>
      <w:r w:rsidRPr="00640597">
        <w:rPr>
          <w:rFonts w:ascii="Arial" w:eastAsia="Times New Roman" w:hAnsi="Arial" w:cs="Arial"/>
          <w:sz w:val="24"/>
          <w:szCs w:val="24"/>
          <w:lang w:eastAsia="es-CO"/>
        </w:rPr>
        <w:t> </w:t>
      </w:r>
    </w:p>
    <w:p w14:paraId="63D9C952" w14:textId="77777777" w:rsidR="001919F7" w:rsidRPr="00640597" w:rsidRDefault="001919F7" w:rsidP="00640597">
      <w:pPr>
        <w:pStyle w:val="Sinespaciado"/>
        <w:spacing w:line="276" w:lineRule="auto"/>
        <w:rPr>
          <w:rFonts w:ascii="Arial" w:hAnsi="Arial" w:cs="Arial"/>
          <w:sz w:val="24"/>
          <w:szCs w:val="24"/>
          <w:lang w:eastAsia="es-CO"/>
        </w:rPr>
      </w:pPr>
      <w:r w:rsidRPr="00640597">
        <w:rPr>
          <w:rFonts w:ascii="Arial" w:hAnsi="Arial" w:cs="Arial"/>
          <w:sz w:val="24"/>
          <w:szCs w:val="24"/>
          <w:lang w:eastAsia="es-CO"/>
        </w:rPr>
        <w:t>  </w:t>
      </w:r>
    </w:p>
    <w:p w14:paraId="2F3669E3" w14:textId="77777777" w:rsidR="003F7E68" w:rsidRPr="00640597" w:rsidRDefault="003F7E68" w:rsidP="00640597">
      <w:pPr>
        <w:pStyle w:val="Prrafodelista"/>
        <w:numPr>
          <w:ilvl w:val="0"/>
          <w:numId w:val="3"/>
        </w:numPr>
        <w:spacing w:after="0"/>
        <w:ind w:left="0" w:firstLine="0"/>
        <w:jc w:val="both"/>
        <w:textAlignment w:val="baseline"/>
        <w:rPr>
          <w:rFonts w:ascii="Arial" w:eastAsia="Times New Roman" w:hAnsi="Arial" w:cs="Arial"/>
          <w:sz w:val="24"/>
          <w:szCs w:val="24"/>
          <w:lang w:eastAsia="es-CO"/>
        </w:rPr>
      </w:pPr>
      <w:r w:rsidRPr="00640597">
        <w:rPr>
          <w:rFonts w:ascii="Arial" w:eastAsia="Times New Roman" w:hAnsi="Arial" w:cs="Arial"/>
          <w:b/>
          <w:bCs/>
          <w:sz w:val="24"/>
          <w:szCs w:val="24"/>
          <w:lang w:eastAsia="es-CO"/>
        </w:rPr>
        <w:t>INCOMPATIBILIDAD ENTRE DOS PENSIONES ORIGINADAS EN UN MISMO EVENTO</w:t>
      </w:r>
      <w:r w:rsidRPr="00640597">
        <w:rPr>
          <w:rFonts w:ascii="Arial" w:eastAsia="Times New Roman" w:hAnsi="Arial" w:cs="Arial"/>
          <w:sz w:val="24"/>
          <w:szCs w:val="24"/>
          <w:lang w:eastAsia="es-CO"/>
        </w:rPr>
        <w:t> </w:t>
      </w:r>
    </w:p>
    <w:p w14:paraId="46624170" w14:textId="77777777" w:rsidR="003F7E68" w:rsidRPr="00640597" w:rsidRDefault="003F7E68"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 </w:t>
      </w:r>
    </w:p>
    <w:p w14:paraId="445BE789" w14:textId="21F2B597" w:rsidR="003F7E68" w:rsidRPr="00640597" w:rsidRDefault="003F7E68" w:rsidP="00640597">
      <w:pPr>
        <w:spacing w:after="0"/>
        <w:jc w:val="both"/>
        <w:textAlignment w:val="baseline"/>
        <w:rPr>
          <w:rFonts w:ascii="Arial" w:eastAsia="Times New Roman" w:hAnsi="Arial" w:cs="Arial"/>
          <w:sz w:val="24"/>
          <w:szCs w:val="24"/>
          <w:lang w:eastAsia="es-CO"/>
        </w:rPr>
      </w:pPr>
      <w:bookmarkStart w:id="2" w:name="_Hlk114144334"/>
      <w:r w:rsidRPr="00640597">
        <w:rPr>
          <w:rFonts w:ascii="Arial" w:eastAsia="Times New Roman" w:hAnsi="Arial" w:cs="Arial"/>
          <w:sz w:val="24"/>
          <w:szCs w:val="24"/>
          <w:lang w:eastAsia="es-CO"/>
        </w:rPr>
        <w:t xml:space="preserve">Se ha establecido en la </w:t>
      </w:r>
      <w:r w:rsidR="002B79CE" w:rsidRPr="00640597">
        <w:rPr>
          <w:rFonts w:ascii="Arial" w:eastAsia="Times New Roman" w:hAnsi="Arial" w:cs="Arial"/>
          <w:sz w:val="24"/>
          <w:szCs w:val="24"/>
          <w:lang w:eastAsia="es-CO"/>
        </w:rPr>
        <w:t xml:space="preserve">jurisprudencia nacional </w:t>
      </w:r>
      <w:r w:rsidRPr="00640597">
        <w:rPr>
          <w:rFonts w:ascii="Arial" w:eastAsia="Times New Roman" w:hAnsi="Arial" w:cs="Arial"/>
          <w:sz w:val="24"/>
          <w:szCs w:val="24"/>
          <w:lang w:eastAsia="es-CO"/>
        </w:rPr>
        <w:t>que un mismo beneficiario no puede disfrutar dos pensiones, en aquellos casos en el que las normas que regulan la materia expresamente así lo indiquen o cuando tales prestaciones cubren un mismo riesgo. </w:t>
      </w:r>
    </w:p>
    <w:p w14:paraId="4B8484D5" w14:textId="77777777" w:rsidR="003F7E68" w:rsidRPr="00640597" w:rsidRDefault="003F7E68"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 </w:t>
      </w:r>
    </w:p>
    <w:p w14:paraId="03D95C36" w14:textId="77777777" w:rsidR="003F7E68" w:rsidRPr="00640597" w:rsidRDefault="003F7E68"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No obstante, es posible otorgar dos pensiones en cabeza de una misma persona, pero sólo cuando éstas, habiendo tenido fuentes de financiación independientes, se hayan generado a partir de eventos completamente diferentes que traen como consecuencia el cubrimiento de dos riesgos distintos. </w:t>
      </w:r>
    </w:p>
    <w:p w14:paraId="06EFC0AE" w14:textId="0070D8C9" w:rsidR="6E27BB9E" w:rsidRPr="00640597" w:rsidRDefault="6E27BB9E" w:rsidP="00640597">
      <w:pPr>
        <w:spacing w:after="0"/>
        <w:jc w:val="both"/>
        <w:rPr>
          <w:rFonts w:ascii="Arial" w:eastAsia="Times New Roman" w:hAnsi="Arial" w:cs="Arial"/>
          <w:sz w:val="24"/>
          <w:szCs w:val="24"/>
          <w:lang w:eastAsia="es-CO"/>
        </w:rPr>
      </w:pPr>
    </w:p>
    <w:p w14:paraId="00D25A64" w14:textId="77777777" w:rsidR="003F7E68" w:rsidRPr="00640597" w:rsidRDefault="003F7E68"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En realidad, el artículo 15 de la Ley 776 de 2002 estableció que frente a un suceso que produce la muerte del afiliado, una vez se determine su origen profesional, la ARL reconocerá la pensión de sobrevivientes dentro del sistema de riesgos laborales y los beneficiarios podrán reclamar la devolución de saldos o la indemnización sustitutiva a que haya lugar dentro del sistema general de pensiones, dependiendo del régimen al que se encontraba afiliado el causante. </w:t>
      </w:r>
    </w:p>
    <w:bookmarkEnd w:id="2"/>
    <w:p w14:paraId="4F8F56C0" w14:textId="77777777" w:rsidR="003F7E68" w:rsidRPr="00640597" w:rsidRDefault="003F7E68"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 </w:t>
      </w:r>
    </w:p>
    <w:p w14:paraId="5C182572" w14:textId="77777777" w:rsidR="003F7E68" w:rsidRPr="00640597" w:rsidRDefault="003F7E68"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sz w:val="24"/>
          <w:szCs w:val="24"/>
          <w:lang w:eastAsia="es-CO"/>
        </w:rPr>
        <w:t>Sobre el tema, la Sala de Casación Laboral de la Corte Suprema de Justicia, en sentencia SL1764 de 16 de mayo de 2018, Radicación 46096, reiteró el anterior criterio, expuesto en providencia de 13 de febrero de 2013 con Radicación 40560, en la que consideró: </w:t>
      </w:r>
    </w:p>
    <w:p w14:paraId="68FA2DFE" w14:textId="77777777" w:rsidR="003F7E68" w:rsidRPr="00640597" w:rsidRDefault="003F7E68" w:rsidP="00640597">
      <w:pPr>
        <w:pStyle w:val="Sinespaciado"/>
        <w:spacing w:line="276" w:lineRule="auto"/>
        <w:rPr>
          <w:rFonts w:ascii="Arial" w:hAnsi="Arial" w:cs="Arial"/>
          <w:sz w:val="24"/>
          <w:szCs w:val="24"/>
          <w:lang w:eastAsia="es-CO"/>
        </w:rPr>
      </w:pPr>
      <w:r w:rsidRPr="00640597">
        <w:rPr>
          <w:rFonts w:ascii="Arial" w:hAnsi="Arial" w:cs="Arial"/>
          <w:sz w:val="24"/>
          <w:szCs w:val="24"/>
          <w:lang w:eastAsia="es-CO"/>
        </w:rPr>
        <w:t>  </w:t>
      </w:r>
    </w:p>
    <w:p w14:paraId="7FA9F593" w14:textId="77777777" w:rsidR="003F7E68" w:rsidRPr="00FC1EFC" w:rsidRDefault="003F7E68" w:rsidP="00FC1EFC">
      <w:pPr>
        <w:spacing w:after="0" w:line="240" w:lineRule="auto"/>
        <w:ind w:left="426" w:right="420"/>
        <w:jc w:val="both"/>
        <w:textAlignment w:val="baseline"/>
        <w:rPr>
          <w:rFonts w:ascii="Arial" w:eastAsia="Times New Roman" w:hAnsi="Arial" w:cs="Arial"/>
          <w:i/>
          <w:szCs w:val="24"/>
          <w:lang w:eastAsia="es-CO"/>
        </w:rPr>
      </w:pPr>
      <w:r w:rsidRPr="00FC1EFC">
        <w:rPr>
          <w:rFonts w:ascii="Arial" w:eastAsia="Times New Roman" w:hAnsi="Arial" w:cs="Arial"/>
          <w:i/>
          <w:szCs w:val="24"/>
          <w:lang w:val="es-ES" w:eastAsia="es-CO"/>
        </w:rPr>
        <w:t>“De otro lado, si bien es cierto, el parágrafo segundo del artículo 10 de la Ley 776 de 2002, establece la incompatibilidad entre dos pensiones otorgadas por los regímenes común y profesional, solo habrá lugar a ello cuando tengan origen ‘en el mismo evento’, lo cual no ocurre en el caso que nos ocupa, toda vez que se trata de una pensión adquirida por el causante con base a un tiempo de servicio y una edad determinada en la ley y una pensión de sobreviviente originada en un accidente de trabajo ocurrido con posterioridad al estado de pensionado por vejez del fallecido”.</w:t>
      </w:r>
      <w:r w:rsidRPr="00FC1EFC">
        <w:rPr>
          <w:rFonts w:ascii="Arial" w:eastAsia="Times New Roman" w:hAnsi="Arial" w:cs="Arial"/>
          <w:i/>
          <w:szCs w:val="24"/>
          <w:lang w:eastAsia="es-CO"/>
        </w:rPr>
        <w:t> </w:t>
      </w:r>
    </w:p>
    <w:p w14:paraId="1299C43A" w14:textId="77777777" w:rsidR="001919F7" w:rsidRPr="00640597" w:rsidRDefault="001919F7" w:rsidP="00640597">
      <w:pPr>
        <w:spacing w:after="0"/>
        <w:jc w:val="both"/>
        <w:rPr>
          <w:rFonts w:ascii="Arial" w:hAnsi="Arial" w:cs="Arial"/>
          <w:sz w:val="24"/>
          <w:szCs w:val="24"/>
        </w:rPr>
      </w:pPr>
    </w:p>
    <w:p w14:paraId="007907E0" w14:textId="77777777" w:rsidR="001919F7" w:rsidRPr="00640597" w:rsidRDefault="001919F7" w:rsidP="00640597">
      <w:pPr>
        <w:spacing w:after="0"/>
        <w:jc w:val="both"/>
        <w:textAlignment w:val="baseline"/>
        <w:rPr>
          <w:rFonts w:ascii="Arial" w:eastAsia="Times New Roman" w:hAnsi="Arial" w:cs="Arial"/>
          <w:sz w:val="24"/>
          <w:szCs w:val="24"/>
          <w:lang w:eastAsia="es-CO"/>
        </w:rPr>
      </w:pPr>
      <w:r w:rsidRPr="00640597">
        <w:rPr>
          <w:rFonts w:ascii="Arial" w:eastAsia="Times New Roman" w:hAnsi="Arial" w:cs="Arial"/>
          <w:b/>
          <w:bCs/>
          <w:sz w:val="24"/>
          <w:szCs w:val="24"/>
          <w:lang w:eastAsia="es-CO"/>
        </w:rPr>
        <w:t>CASO CONCRETO</w:t>
      </w:r>
      <w:r w:rsidRPr="00640597">
        <w:rPr>
          <w:rFonts w:ascii="Arial" w:eastAsia="Times New Roman" w:hAnsi="Arial" w:cs="Arial"/>
          <w:sz w:val="24"/>
          <w:szCs w:val="24"/>
          <w:lang w:eastAsia="es-CO"/>
        </w:rPr>
        <w:t> </w:t>
      </w:r>
    </w:p>
    <w:p w14:paraId="4DDBEF00" w14:textId="77777777" w:rsidR="001919F7" w:rsidRPr="00640597" w:rsidRDefault="001919F7" w:rsidP="00640597">
      <w:pPr>
        <w:pStyle w:val="Sinespaciado"/>
        <w:spacing w:line="276" w:lineRule="auto"/>
        <w:rPr>
          <w:rFonts w:ascii="Arial" w:hAnsi="Arial" w:cs="Arial"/>
          <w:sz w:val="24"/>
          <w:szCs w:val="24"/>
        </w:rPr>
      </w:pPr>
    </w:p>
    <w:p w14:paraId="0BFF0872" w14:textId="3EEA84EB" w:rsidR="00056956" w:rsidRPr="00640597" w:rsidRDefault="00467216" w:rsidP="00640597">
      <w:pPr>
        <w:spacing w:after="0"/>
        <w:jc w:val="both"/>
        <w:textAlignment w:val="baseline"/>
        <w:rPr>
          <w:rFonts w:ascii="Arial" w:hAnsi="Arial" w:cs="Arial"/>
          <w:sz w:val="24"/>
          <w:szCs w:val="24"/>
          <w:shd w:val="clear" w:color="auto" w:fill="FFFFFF"/>
        </w:rPr>
      </w:pPr>
      <w:r w:rsidRPr="00640597">
        <w:rPr>
          <w:rFonts w:ascii="Arial" w:eastAsia="Times New Roman" w:hAnsi="Arial" w:cs="Arial"/>
          <w:spacing w:val="-2"/>
          <w:sz w:val="24"/>
          <w:szCs w:val="24"/>
          <w:lang w:val="es-ES" w:eastAsia="es-ES"/>
        </w:rPr>
        <w:t xml:space="preserve">Sea lo primero advertir que del contenido del escrito de demanda se evidencia que </w:t>
      </w:r>
      <w:r w:rsidR="00E62884" w:rsidRPr="00640597">
        <w:rPr>
          <w:rFonts w:ascii="Arial" w:eastAsia="Times New Roman" w:hAnsi="Arial" w:cs="Arial"/>
          <w:spacing w:val="-2"/>
          <w:sz w:val="24"/>
          <w:szCs w:val="24"/>
          <w:lang w:val="es-ES" w:eastAsia="es-ES"/>
        </w:rPr>
        <w:t xml:space="preserve">la aspiración de la parte </w:t>
      </w:r>
      <w:r w:rsidRPr="00640597">
        <w:rPr>
          <w:rFonts w:ascii="Arial" w:eastAsia="Times New Roman" w:hAnsi="Arial" w:cs="Arial"/>
          <w:spacing w:val="-2"/>
          <w:sz w:val="24"/>
          <w:szCs w:val="24"/>
          <w:lang w:val="es-ES" w:eastAsia="es-ES"/>
        </w:rPr>
        <w:t xml:space="preserve">actora </w:t>
      </w:r>
      <w:r w:rsidR="00E62884" w:rsidRPr="00640597">
        <w:rPr>
          <w:rFonts w:ascii="Arial" w:eastAsia="Times New Roman" w:hAnsi="Arial" w:cs="Arial"/>
          <w:spacing w:val="-2"/>
          <w:sz w:val="24"/>
          <w:szCs w:val="24"/>
          <w:lang w:val="es-ES" w:eastAsia="es-ES"/>
        </w:rPr>
        <w:t xml:space="preserve">consiste </w:t>
      </w:r>
      <w:r w:rsidR="00C375A1" w:rsidRPr="00640597">
        <w:rPr>
          <w:rFonts w:ascii="Arial" w:eastAsia="Times New Roman" w:hAnsi="Arial" w:cs="Arial"/>
          <w:spacing w:val="-2"/>
          <w:sz w:val="24"/>
          <w:szCs w:val="24"/>
          <w:lang w:val="es-ES" w:eastAsia="es-ES"/>
        </w:rPr>
        <w:t xml:space="preserve">básicamente </w:t>
      </w:r>
      <w:r w:rsidR="00E62884" w:rsidRPr="00640597">
        <w:rPr>
          <w:rFonts w:ascii="Arial" w:eastAsia="Times New Roman" w:hAnsi="Arial" w:cs="Arial"/>
          <w:spacing w:val="-2"/>
          <w:sz w:val="24"/>
          <w:szCs w:val="24"/>
          <w:lang w:val="es-ES" w:eastAsia="es-ES"/>
        </w:rPr>
        <w:t xml:space="preserve">en que se reconozca y pague </w:t>
      </w:r>
      <w:r w:rsidRPr="00640597">
        <w:rPr>
          <w:rFonts w:ascii="Arial" w:eastAsia="Times New Roman" w:hAnsi="Arial" w:cs="Arial"/>
          <w:spacing w:val="-2"/>
          <w:sz w:val="24"/>
          <w:szCs w:val="24"/>
          <w:lang w:val="es-ES" w:eastAsia="es-ES"/>
        </w:rPr>
        <w:t xml:space="preserve">la pensión de sobrevivientes </w:t>
      </w:r>
      <w:r w:rsidR="00E62884" w:rsidRPr="00640597">
        <w:rPr>
          <w:rFonts w:ascii="Arial" w:eastAsia="Times New Roman" w:hAnsi="Arial" w:cs="Arial"/>
          <w:spacing w:val="-2"/>
          <w:sz w:val="24"/>
          <w:szCs w:val="24"/>
          <w:lang w:val="es-ES" w:eastAsia="es-ES"/>
        </w:rPr>
        <w:t xml:space="preserve">de origen </w:t>
      </w:r>
      <w:r w:rsidR="00C375A1" w:rsidRPr="00640597">
        <w:rPr>
          <w:rFonts w:ascii="Arial" w:eastAsia="Times New Roman" w:hAnsi="Arial" w:cs="Arial"/>
          <w:spacing w:val="-2"/>
          <w:sz w:val="24"/>
          <w:szCs w:val="24"/>
          <w:lang w:val="es-ES" w:eastAsia="es-ES"/>
        </w:rPr>
        <w:t>laboral derivada</w:t>
      </w:r>
      <w:r w:rsidRPr="00640597">
        <w:rPr>
          <w:rFonts w:ascii="Arial" w:eastAsia="Times New Roman" w:hAnsi="Arial" w:cs="Arial"/>
          <w:spacing w:val="-2"/>
          <w:sz w:val="24"/>
          <w:szCs w:val="24"/>
          <w:lang w:val="es-ES" w:eastAsia="es-ES"/>
        </w:rPr>
        <w:t xml:space="preserve"> del Sistema General de Riesgos </w:t>
      </w:r>
      <w:r w:rsidR="0060707A" w:rsidRPr="00640597">
        <w:rPr>
          <w:rFonts w:ascii="Arial" w:eastAsia="Times New Roman" w:hAnsi="Arial" w:cs="Arial"/>
          <w:spacing w:val="-2"/>
          <w:sz w:val="24"/>
          <w:szCs w:val="24"/>
          <w:lang w:val="es-ES" w:eastAsia="es-ES"/>
        </w:rPr>
        <w:t xml:space="preserve">Laborales, </w:t>
      </w:r>
      <w:r w:rsidR="00E62884" w:rsidRPr="00640597">
        <w:rPr>
          <w:rFonts w:ascii="Arial" w:hAnsi="Arial" w:cs="Arial"/>
          <w:sz w:val="24"/>
          <w:szCs w:val="24"/>
        </w:rPr>
        <w:t xml:space="preserve">generada con ocasión al deceso del señor José Alirio Mejía Jiménez, </w:t>
      </w:r>
      <w:r w:rsidR="0060707A" w:rsidRPr="00640597">
        <w:rPr>
          <w:rFonts w:ascii="Arial" w:eastAsia="Times New Roman" w:hAnsi="Arial" w:cs="Arial"/>
          <w:spacing w:val="-2"/>
          <w:sz w:val="24"/>
          <w:szCs w:val="24"/>
          <w:lang w:val="es-ES" w:eastAsia="es-ES"/>
        </w:rPr>
        <w:t>sin</w:t>
      </w:r>
      <w:r w:rsidRPr="00640597">
        <w:rPr>
          <w:rFonts w:ascii="Arial" w:eastAsia="Times New Roman" w:hAnsi="Arial" w:cs="Arial"/>
          <w:spacing w:val="-2"/>
          <w:sz w:val="24"/>
          <w:szCs w:val="24"/>
          <w:lang w:val="es-ES" w:eastAsia="es-ES"/>
        </w:rPr>
        <w:t xml:space="preserve"> que </w:t>
      </w:r>
      <w:r w:rsidR="00C375A1" w:rsidRPr="00640597">
        <w:rPr>
          <w:rFonts w:ascii="Arial" w:eastAsia="Times New Roman" w:hAnsi="Arial" w:cs="Arial"/>
          <w:spacing w:val="-2"/>
          <w:sz w:val="24"/>
          <w:szCs w:val="24"/>
          <w:lang w:val="es-ES" w:eastAsia="es-ES"/>
        </w:rPr>
        <w:t xml:space="preserve">exista </w:t>
      </w:r>
      <w:r w:rsidRPr="00640597">
        <w:rPr>
          <w:rFonts w:ascii="Arial" w:eastAsia="Times New Roman" w:hAnsi="Arial" w:cs="Arial"/>
          <w:spacing w:val="-2"/>
          <w:sz w:val="24"/>
          <w:szCs w:val="24"/>
          <w:lang w:val="es-ES" w:eastAsia="es-ES"/>
        </w:rPr>
        <w:t xml:space="preserve">interés </w:t>
      </w:r>
      <w:r w:rsidR="00E142D9" w:rsidRPr="00640597">
        <w:rPr>
          <w:rFonts w:ascii="Arial" w:eastAsia="Times New Roman" w:hAnsi="Arial" w:cs="Arial"/>
          <w:spacing w:val="-2"/>
          <w:sz w:val="24"/>
          <w:szCs w:val="24"/>
          <w:lang w:val="es-ES" w:eastAsia="es-ES"/>
        </w:rPr>
        <w:t>en</w:t>
      </w:r>
      <w:r w:rsidRPr="00640597">
        <w:rPr>
          <w:rFonts w:ascii="Arial" w:eastAsia="Times New Roman" w:hAnsi="Arial" w:cs="Arial"/>
          <w:spacing w:val="-2"/>
          <w:sz w:val="24"/>
          <w:szCs w:val="24"/>
          <w:lang w:val="es-ES" w:eastAsia="es-ES"/>
        </w:rPr>
        <w:t xml:space="preserve"> controvertir el reconocimiento </w:t>
      </w:r>
      <w:r w:rsidR="00C375A1" w:rsidRPr="00640597">
        <w:rPr>
          <w:rFonts w:ascii="Arial" w:eastAsia="Times New Roman" w:hAnsi="Arial" w:cs="Arial"/>
          <w:spacing w:val="-2"/>
          <w:sz w:val="24"/>
          <w:szCs w:val="24"/>
          <w:lang w:val="es-ES" w:eastAsia="es-ES"/>
        </w:rPr>
        <w:t xml:space="preserve">a la </w:t>
      </w:r>
      <w:r w:rsidR="00E62884" w:rsidRPr="00640597">
        <w:rPr>
          <w:rFonts w:ascii="Arial" w:eastAsia="Times New Roman" w:hAnsi="Arial" w:cs="Arial"/>
          <w:spacing w:val="-2"/>
          <w:sz w:val="24"/>
          <w:szCs w:val="24"/>
          <w:lang w:val="es-ES" w:eastAsia="es-ES"/>
        </w:rPr>
        <w:t>pensión de sobrevivientes</w:t>
      </w:r>
      <w:r w:rsidR="00C375A1" w:rsidRPr="00640597">
        <w:rPr>
          <w:rFonts w:ascii="Arial" w:eastAsia="Times New Roman" w:hAnsi="Arial" w:cs="Arial"/>
          <w:spacing w:val="-2"/>
          <w:sz w:val="24"/>
          <w:szCs w:val="24"/>
          <w:lang w:val="es-ES" w:eastAsia="es-ES"/>
        </w:rPr>
        <w:t xml:space="preserve"> que, efectuó Colpensiones</w:t>
      </w:r>
      <w:r w:rsidR="000E5E9B" w:rsidRPr="00640597">
        <w:rPr>
          <w:rFonts w:ascii="Arial" w:eastAsia="Times New Roman" w:hAnsi="Arial" w:cs="Arial"/>
          <w:spacing w:val="-2"/>
          <w:sz w:val="24"/>
          <w:szCs w:val="24"/>
          <w:lang w:val="es-ES" w:eastAsia="es-ES"/>
        </w:rPr>
        <w:t xml:space="preserve"> a su favor</w:t>
      </w:r>
      <w:r w:rsidR="00C375A1" w:rsidRPr="00640597">
        <w:rPr>
          <w:rFonts w:ascii="Arial" w:eastAsia="Times New Roman" w:hAnsi="Arial" w:cs="Arial"/>
          <w:spacing w:val="-2"/>
          <w:sz w:val="24"/>
          <w:szCs w:val="24"/>
          <w:lang w:val="es-ES" w:eastAsia="es-ES"/>
        </w:rPr>
        <w:t xml:space="preserve">, derivado del mismo </w:t>
      </w:r>
      <w:r w:rsidR="00BE7A0C" w:rsidRPr="00640597">
        <w:rPr>
          <w:rFonts w:ascii="Arial" w:eastAsia="Times New Roman" w:hAnsi="Arial" w:cs="Arial"/>
          <w:spacing w:val="-2"/>
          <w:sz w:val="24"/>
          <w:szCs w:val="24"/>
          <w:lang w:val="es-ES" w:eastAsia="es-ES"/>
        </w:rPr>
        <w:t>evento o suceso, esto es, el fallecimiento del señor Mejía Jiménez</w:t>
      </w:r>
      <w:r w:rsidR="00C375A1" w:rsidRPr="00640597">
        <w:rPr>
          <w:rFonts w:ascii="Arial" w:eastAsia="Times New Roman" w:hAnsi="Arial" w:cs="Arial"/>
          <w:spacing w:val="-2"/>
          <w:sz w:val="24"/>
          <w:szCs w:val="24"/>
          <w:lang w:val="es-ES" w:eastAsia="es-ES"/>
        </w:rPr>
        <w:t xml:space="preserve">. </w:t>
      </w:r>
      <w:r w:rsidR="00C375A1" w:rsidRPr="00640597">
        <w:rPr>
          <w:rFonts w:ascii="Arial" w:hAnsi="Arial" w:cs="Arial"/>
          <w:sz w:val="24"/>
          <w:szCs w:val="24"/>
          <w:shd w:val="clear" w:color="auto" w:fill="FFFFFF"/>
        </w:rPr>
        <w:t xml:space="preserve">De allí que, al no merecer reproche alguno </w:t>
      </w:r>
      <w:r w:rsidR="00BC4BD4" w:rsidRPr="00640597">
        <w:rPr>
          <w:rFonts w:ascii="Arial" w:hAnsi="Arial" w:cs="Arial"/>
          <w:sz w:val="24"/>
          <w:szCs w:val="24"/>
          <w:shd w:val="clear" w:color="auto" w:fill="FFFFFF"/>
        </w:rPr>
        <w:t>el</w:t>
      </w:r>
      <w:r w:rsidR="00C375A1" w:rsidRPr="00640597">
        <w:rPr>
          <w:rFonts w:ascii="Arial" w:hAnsi="Arial" w:cs="Arial"/>
          <w:sz w:val="24"/>
          <w:szCs w:val="24"/>
          <w:shd w:val="clear" w:color="auto" w:fill="FFFFFF"/>
        </w:rPr>
        <w:t xml:space="preserve"> reconocimiento</w:t>
      </w:r>
      <w:r w:rsidR="00BE7A0C" w:rsidRPr="00640597">
        <w:rPr>
          <w:rFonts w:ascii="Arial" w:hAnsi="Arial" w:cs="Arial"/>
          <w:sz w:val="24"/>
          <w:szCs w:val="24"/>
          <w:shd w:val="clear" w:color="auto" w:fill="FFFFFF"/>
        </w:rPr>
        <w:t xml:space="preserve"> </w:t>
      </w:r>
      <w:r w:rsidR="000E5E9B" w:rsidRPr="00640597">
        <w:rPr>
          <w:rFonts w:ascii="Arial" w:hAnsi="Arial" w:cs="Arial"/>
          <w:sz w:val="24"/>
          <w:szCs w:val="24"/>
          <w:shd w:val="clear" w:color="auto" w:fill="FFFFFF"/>
        </w:rPr>
        <w:t xml:space="preserve">pensional derivado del Sistema General de Pensiones, </w:t>
      </w:r>
      <w:r w:rsidR="00C375A1" w:rsidRPr="00640597">
        <w:rPr>
          <w:rFonts w:ascii="Arial" w:hAnsi="Arial" w:cs="Arial"/>
          <w:sz w:val="24"/>
          <w:szCs w:val="24"/>
          <w:shd w:val="clear" w:color="auto" w:fill="FFFFFF"/>
        </w:rPr>
        <w:t>se infiera que la demandante considera que la asiste derecho a percibir las dos prestacione</w:t>
      </w:r>
      <w:r w:rsidR="000E5E9B" w:rsidRPr="00640597">
        <w:rPr>
          <w:rFonts w:ascii="Arial" w:hAnsi="Arial" w:cs="Arial"/>
          <w:sz w:val="24"/>
          <w:szCs w:val="24"/>
          <w:shd w:val="clear" w:color="auto" w:fill="FFFFFF"/>
        </w:rPr>
        <w:t>s.</w:t>
      </w:r>
    </w:p>
    <w:p w14:paraId="67D291F0" w14:textId="46CC896B" w:rsidR="6E27BB9E" w:rsidRPr="00640597" w:rsidRDefault="6E27BB9E" w:rsidP="00640597">
      <w:pPr>
        <w:spacing w:after="0"/>
        <w:jc w:val="both"/>
        <w:rPr>
          <w:rFonts w:ascii="Arial" w:hAnsi="Arial" w:cs="Arial"/>
          <w:sz w:val="24"/>
          <w:szCs w:val="24"/>
        </w:rPr>
      </w:pPr>
    </w:p>
    <w:p w14:paraId="6DC9A361" w14:textId="77777777" w:rsidR="006F1D30" w:rsidRPr="00640597" w:rsidRDefault="006F1D30" w:rsidP="00640597">
      <w:pPr>
        <w:spacing w:after="0"/>
        <w:jc w:val="both"/>
        <w:textAlignment w:val="baseline"/>
        <w:rPr>
          <w:rFonts w:ascii="Arial" w:eastAsia="Times New Roman" w:hAnsi="Arial" w:cs="Arial"/>
          <w:spacing w:val="-2"/>
          <w:sz w:val="24"/>
          <w:szCs w:val="24"/>
          <w:lang w:val="es-ES_tradnl" w:eastAsia="es-ES"/>
        </w:rPr>
      </w:pPr>
      <w:r w:rsidRPr="00640597">
        <w:rPr>
          <w:rFonts w:ascii="Arial" w:eastAsia="Times New Roman" w:hAnsi="Arial" w:cs="Arial"/>
          <w:spacing w:val="-2"/>
          <w:sz w:val="24"/>
          <w:szCs w:val="24"/>
          <w:lang w:val="es-ES_tradnl" w:eastAsia="es-ES"/>
        </w:rPr>
        <w:lastRenderedPageBreak/>
        <w:t xml:space="preserve">Dicho esto, </w:t>
      </w:r>
      <w:r w:rsidR="00F67AF0" w:rsidRPr="00640597">
        <w:rPr>
          <w:rFonts w:ascii="Arial" w:eastAsia="Times New Roman" w:hAnsi="Arial" w:cs="Arial"/>
          <w:spacing w:val="-2"/>
          <w:sz w:val="24"/>
          <w:szCs w:val="24"/>
          <w:lang w:val="es-ES_tradnl" w:eastAsia="es-ES"/>
        </w:rPr>
        <w:t>encuentra la Sala</w:t>
      </w:r>
      <w:r w:rsidR="00324D2F" w:rsidRPr="00640597">
        <w:rPr>
          <w:rFonts w:ascii="Arial" w:eastAsia="Times New Roman" w:hAnsi="Arial" w:cs="Arial"/>
          <w:spacing w:val="-2"/>
          <w:sz w:val="24"/>
          <w:szCs w:val="24"/>
          <w:lang w:val="es-ES_tradnl" w:eastAsia="es-ES"/>
        </w:rPr>
        <w:t xml:space="preserve"> que</w:t>
      </w:r>
      <w:r w:rsidRPr="00640597">
        <w:rPr>
          <w:rFonts w:ascii="Arial" w:eastAsia="Times New Roman" w:hAnsi="Arial" w:cs="Arial"/>
          <w:spacing w:val="-2"/>
          <w:sz w:val="24"/>
          <w:szCs w:val="24"/>
          <w:lang w:val="es-ES_tradnl" w:eastAsia="es-ES"/>
        </w:rPr>
        <w:t xml:space="preserve"> son supuestos fácticos acreditados en el proceso</w:t>
      </w:r>
      <w:r w:rsidR="00F67AF0" w:rsidRPr="00640597">
        <w:rPr>
          <w:rFonts w:ascii="Arial" w:eastAsia="Times New Roman" w:hAnsi="Arial" w:cs="Arial"/>
          <w:spacing w:val="-2"/>
          <w:sz w:val="24"/>
          <w:szCs w:val="24"/>
          <w:lang w:val="es-ES_tradnl" w:eastAsia="es-ES"/>
        </w:rPr>
        <w:t xml:space="preserve"> que: </w:t>
      </w:r>
      <w:r w:rsidR="00EF0435" w:rsidRPr="00640597">
        <w:rPr>
          <w:rFonts w:ascii="Arial" w:eastAsia="Times New Roman" w:hAnsi="Arial" w:cs="Arial"/>
          <w:spacing w:val="-2"/>
          <w:sz w:val="24"/>
          <w:szCs w:val="24"/>
          <w:lang w:val="es-ES_tradnl" w:eastAsia="es-ES"/>
        </w:rPr>
        <w:t xml:space="preserve">(i) </w:t>
      </w:r>
      <w:r w:rsidRPr="00640597">
        <w:rPr>
          <w:rFonts w:ascii="Arial" w:eastAsia="Times New Roman" w:hAnsi="Arial" w:cs="Arial"/>
          <w:spacing w:val="-2"/>
          <w:sz w:val="24"/>
          <w:szCs w:val="24"/>
          <w:lang w:val="es-ES_tradnl" w:eastAsia="es-ES"/>
        </w:rPr>
        <w:t>el señor José Alirio Mejía Jiménez falleció el 5 de febrero de 2014, tal como lo indica el registro civil de defunción expedido por la Notaría Sexta de Pereira, (pág.27 del archivo 04 del expediente digital)</w:t>
      </w:r>
      <w:r w:rsidR="00EF0435" w:rsidRPr="00640597">
        <w:rPr>
          <w:rFonts w:ascii="Arial" w:eastAsia="Times New Roman" w:hAnsi="Arial" w:cs="Arial"/>
          <w:spacing w:val="-2"/>
          <w:sz w:val="24"/>
          <w:szCs w:val="24"/>
          <w:lang w:val="es-ES_tradnl" w:eastAsia="es-ES"/>
        </w:rPr>
        <w:t xml:space="preserve"> y, (ii)</w:t>
      </w:r>
      <w:r w:rsidRPr="00640597">
        <w:rPr>
          <w:rFonts w:ascii="Arial" w:eastAsia="Times New Roman" w:hAnsi="Arial" w:cs="Arial"/>
          <w:spacing w:val="-2"/>
          <w:sz w:val="24"/>
          <w:szCs w:val="24"/>
          <w:lang w:val="es-ES_tradnl" w:eastAsia="es-ES"/>
        </w:rPr>
        <w:t xml:space="preserve"> </w:t>
      </w:r>
      <w:r w:rsidR="00E27AAA" w:rsidRPr="00640597">
        <w:rPr>
          <w:rFonts w:ascii="Arial" w:eastAsia="Times New Roman" w:hAnsi="Arial" w:cs="Arial"/>
          <w:spacing w:val="-2"/>
          <w:sz w:val="24"/>
          <w:szCs w:val="24"/>
          <w:lang w:val="es-ES_tradnl" w:eastAsia="es-ES"/>
        </w:rPr>
        <w:t xml:space="preserve">la Administradora Colombiana de Pensiones </w:t>
      </w:r>
      <w:r w:rsidR="00095235" w:rsidRPr="00640597">
        <w:rPr>
          <w:rFonts w:ascii="Arial" w:eastAsia="Times New Roman" w:hAnsi="Arial" w:cs="Arial"/>
          <w:spacing w:val="-2"/>
          <w:sz w:val="24"/>
          <w:szCs w:val="24"/>
          <w:lang w:val="es-ES_tradnl" w:eastAsia="es-ES"/>
        </w:rPr>
        <w:t>Colpensiones</w:t>
      </w:r>
      <w:r w:rsidRPr="00640597">
        <w:rPr>
          <w:rFonts w:ascii="Arial" w:eastAsia="Times New Roman" w:hAnsi="Arial" w:cs="Arial"/>
          <w:spacing w:val="-2"/>
          <w:sz w:val="24"/>
          <w:szCs w:val="24"/>
          <w:lang w:val="es-ES_tradnl" w:eastAsia="es-ES"/>
        </w:rPr>
        <w:t xml:space="preserve"> a través de la Resolución GNR 29800 del 10 de febrero de 2015, </w:t>
      </w:r>
      <w:r w:rsidR="00E27AAA" w:rsidRPr="00640597">
        <w:rPr>
          <w:rFonts w:ascii="Arial" w:eastAsia="Times New Roman" w:hAnsi="Arial" w:cs="Arial"/>
          <w:spacing w:val="-2"/>
          <w:sz w:val="24"/>
          <w:szCs w:val="24"/>
          <w:lang w:val="es-ES_tradnl" w:eastAsia="es-ES"/>
        </w:rPr>
        <w:t xml:space="preserve">le reconoció a la demandante y a sus hijos menores, Karen Yuliana, Johan Steven y Santiago Mejía Pereira, la pensión de sobrevivientes con ocasión al fallecimiento del afiliado Mejía Jiménez, </w:t>
      </w:r>
      <w:r w:rsidRPr="00640597">
        <w:rPr>
          <w:rFonts w:ascii="Arial" w:eastAsia="Times New Roman" w:hAnsi="Arial" w:cs="Arial"/>
          <w:spacing w:val="-2"/>
          <w:sz w:val="24"/>
          <w:szCs w:val="24"/>
          <w:lang w:val="es-ES_tradnl" w:eastAsia="es-ES"/>
        </w:rPr>
        <w:t>a partir del 5 de febrero de 2014</w:t>
      </w:r>
      <w:r w:rsidR="008D1D0F" w:rsidRPr="00640597">
        <w:rPr>
          <w:rFonts w:ascii="Arial" w:eastAsia="Times New Roman" w:hAnsi="Arial" w:cs="Arial"/>
          <w:spacing w:val="-2"/>
          <w:sz w:val="24"/>
          <w:szCs w:val="24"/>
          <w:lang w:val="es-ES_tradnl" w:eastAsia="es-ES"/>
        </w:rPr>
        <w:t xml:space="preserve">. </w:t>
      </w:r>
    </w:p>
    <w:p w14:paraId="3461D779" w14:textId="77777777" w:rsidR="004A6FB7" w:rsidRPr="00640597" w:rsidRDefault="004A6FB7" w:rsidP="00640597">
      <w:pPr>
        <w:spacing w:after="0"/>
        <w:jc w:val="both"/>
        <w:textAlignment w:val="baseline"/>
        <w:rPr>
          <w:rFonts w:ascii="Arial" w:eastAsia="Times New Roman" w:hAnsi="Arial" w:cs="Arial"/>
          <w:spacing w:val="-2"/>
          <w:sz w:val="24"/>
          <w:szCs w:val="24"/>
          <w:lang w:val="es-ES_tradnl" w:eastAsia="es-ES"/>
        </w:rPr>
      </w:pPr>
    </w:p>
    <w:p w14:paraId="3333E97F" w14:textId="77777777" w:rsidR="00467216" w:rsidRPr="00640597" w:rsidRDefault="0060707A" w:rsidP="00640597">
      <w:pPr>
        <w:spacing w:after="0"/>
        <w:jc w:val="both"/>
        <w:textAlignment w:val="baseline"/>
        <w:rPr>
          <w:rFonts w:ascii="Arial" w:eastAsia="Times New Roman" w:hAnsi="Arial" w:cs="Arial"/>
          <w:spacing w:val="-2"/>
          <w:sz w:val="24"/>
          <w:szCs w:val="24"/>
          <w:lang w:eastAsia="es-ES"/>
        </w:rPr>
      </w:pPr>
      <w:r w:rsidRPr="00640597">
        <w:rPr>
          <w:rFonts w:ascii="Arial" w:eastAsia="Times New Roman" w:hAnsi="Arial" w:cs="Arial"/>
          <w:spacing w:val="-2"/>
          <w:sz w:val="24"/>
          <w:szCs w:val="24"/>
          <w:lang w:val="es-ES_tradnl" w:eastAsia="es-ES"/>
        </w:rPr>
        <w:t>Así las cosas, le corresponde a</w:t>
      </w:r>
      <w:r w:rsidR="00467216" w:rsidRPr="00640597">
        <w:rPr>
          <w:rFonts w:ascii="Arial" w:eastAsia="Times New Roman" w:hAnsi="Arial" w:cs="Arial"/>
          <w:spacing w:val="-2"/>
          <w:sz w:val="24"/>
          <w:szCs w:val="24"/>
          <w:lang w:val="es-ES_tradnl" w:eastAsia="es-ES"/>
        </w:rPr>
        <w:t xml:space="preserve"> la Sala determinar si </w:t>
      </w:r>
      <w:r w:rsidR="00E27AAA" w:rsidRPr="00640597">
        <w:rPr>
          <w:rFonts w:ascii="Arial" w:eastAsia="Times New Roman" w:hAnsi="Arial" w:cs="Arial"/>
          <w:spacing w:val="-2"/>
          <w:sz w:val="24"/>
          <w:szCs w:val="24"/>
          <w:lang w:val="es-ES_tradnl" w:eastAsia="es-ES"/>
        </w:rPr>
        <w:t xml:space="preserve">la </w:t>
      </w:r>
      <w:r w:rsidR="006F1D30" w:rsidRPr="00640597">
        <w:rPr>
          <w:rFonts w:ascii="Arial" w:hAnsi="Arial" w:cs="Arial"/>
          <w:sz w:val="24"/>
          <w:szCs w:val="24"/>
          <w:shd w:val="clear" w:color="auto" w:fill="FFFFFF"/>
        </w:rPr>
        <w:t xml:space="preserve">pensión de sobrevivientes ya reconocida por el Sistema General de </w:t>
      </w:r>
      <w:r w:rsidR="00E27AAA" w:rsidRPr="00640597">
        <w:rPr>
          <w:rFonts w:ascii="Arial" w:hAnsi="Arial" w:cs="Arial"/>
          <w:sz w:val="24"/>
          <w:szCs w:val="24"/>
          <w:shd w:val="clear" w:color="auto" w:fill="FFFFFF"/>
        </w:rPr>
        <w:t>Pensiones</w:t>
      </w:r>
      <w:r w:rsidR="008F513A" w:rsidRPr="00640597">
        <w:rPr>
          <w:rFonts w:ascii="Arial" w:hAnsi="Arial" w:cs="Arial"/>
          <w:sz w:val="24"/>
          <w:szCs w:val="24"/>
          <w:shd w:val="clear" w:color="auto" w:fill="FFFFFF"/>
        </w:rPr>
        <w:t xml:space="preserve"> a la parte actora, </w:t>
      </w:r>
      <w:r w:rsidR="00E27AAA" w:rsidRPr="00640597">
        <w:rPr>
          <w:rFonts w:ascii="Arial" w:hAnsi="Arial" w:cs="Arial"/>
          <w:sz w:val="24"/>
          <w:szCs w:val="24"/>
          <w:shd w:val="clear" w:color="auto" w:fill="FFFFFF"/>
        </w:rPr>
        <w:t>es compatible</w:t>
      </w:r>
      <w:r w:rsidR="006F1D30" w:rsidRPr="00640597">
        <w:rPr>
          <w:rFonts w:ascii="Arial" w:hAnsi="Arial" w:cs="Arial"/>
          <w:sz w:val="24"/>
          <w:szCs w:val="24"/>
          <w:shd w:val="clear" w:color="auto" w:fill="FFFFFF"/>
        </w:rPr>
        <w:t xml:space="preserve"> con la misma prestación, pero de</w:t>
      </w:r>
      <w:r w:rsidR="00E27AAA" w:rsidRPr="00640597">
        <w:rPr>
          <w:rFonts w:ascii="Arial" w:hAnsi="Arial" w:cs="Arial"/>
          <w:sz w:val="24"/>
          <w:szCs w:val="24"/>
          <w:shd w:val="clear" w:color="auto" w:fill="FFFFFF"/>
        </w:rPr>
        <w:t>rivada del Sistema de Riesgos Laborales</w:t>
      </w:r>
      <w:r w:rsidR="006F1D30" w:rsidRPr="00640597">
        <w:rPr>
          <w:rFonts w:ascii="Arial" w:hAnsi="Arial" w:cs="Arial"/>
          <w:sz w:val="24"/>
          <w:szCs w:val="24"/>
          <w:shd w:val="clear" w:color="auto" w:fill="FFFFFF"/>
        </w:rPr>
        <w:t xml:space="preserve"> que se reclama en el presente proceso.</w:t>
      </w:r>
    </w:p>
    <w:p w14:paraId="3CF2D8B6" w14:textId="77777777" w:rsidR="006F1D30" w:rsidRPr="00640597" w:rsidRDefault="006F1D30" w:rsidP="00640597">
      <w:pPr>
        <w:spacing w:after="0"/>
        <w:jc w:val="both"/>
        <w:textAlignment w:val="baseline"/>
        <w:rPr>
          <w:rFonts w:ascii="Arial" w:eastAsia="Times New Roman" w:hAnsi="Arial" w:cs="Arial"/>
          <w:spacing w:val="-2"/>
          <w:sz w:val="24"/>
          <w:szCs w:val="24"/>
          <w:lang w:eastAsia="es-ES"/>
        </w:rPr>
      </w:pPr>
    </w:p>
    <w:p w14:paraId="5641BD2F" w14:textId="463D739E" w:rsidR="006F1D30" w:rsidRPr="00640597" w:rsidRDefault="006F1D30" w:rsidP="00640597">
      <w:pPr>
        <w:spacing w:after="0"/>
        <w:jc w:val="both"/>
        <w:textAlignment w:val="baseline"/>
        <w:rPr>
          <w:rFonts w:ascii="Arial" w:eastAsia="Times New Roman" w:hAnsi="Arial" w:cs="Arial"/>
          <w:spacing w:val="-2"/>
          <w:sz w:val="24"/>
          <w:szCs w:val="24"/>
          <w:lang w:val="es-ES" w:eastAsia="es-ES"/>
        </w:rPr>
      </w:pPr>
      <w:r w:rsidRPr="00640597">
        <w:rPr>
          <w:rFonts w:ascii="Arial" w:eastAsia="Times New Roman" w:hAnsi="Arial" w:cs="Arial"/>
          <w:spacing w:val="-2"/>
          <w:sz w:val="24"/>
          <w:szCs w:val="24"/>
          <w:lang w:val="es-ES" w:eastAsia="es-ES"/>
        </w:rPr>
        <w:t xml:space="preserve">Desde ya debe advertirse que, aunque el fallador de primer grado </w:t>
      </w:r>
      <w:r w:rsidR="00095235" w:rsidRPr="00640597">
        <w:rPr>
          <w:rFonts w:ascii="Arial" w:eastAsia="Times New Roman" w:hAnsi="Arial" w:cs="Arial"/>
          <w:spacing w:val="-2"/>
          <w:sz w:val="24"/>
          <w:szCs w:val="24"/>
          <w:lang w:val="es-ES" w:eastAsia="es-ES"/>
        </w:rPr>
        <w:t>estimó de</w:t>
      </w:r>
      <w:r w:rsidRPr="00640597">
        <w:rPr>
          <w:rFonts w:ascii="Arial" w:eastAsia="Times New Roman" w:hAnsi="Arial" w:cs="Arial"/>
          <w:spacing w:val="-2"/>
          <w:sz w:val="24"/>
          <w:szCs w:val="24"/>
          <w:lang w:val="es-ES" w:eastAsia="es-ES"/>
        </w:rPr>
        <w:t xml:space="preserve"> entrada</w:t>
      </w:r>
      <w:r w:rsidR="00E27AAA" w:rsidRPr="00640597">
        <w:rPr>
          <w:rFonts w:ascii="Arial" w:eastAsia="Times New Roman" w:hAnsi="Arial" w:cs="Arial"/>
          <w:spacing w:val="-2"/>
          <w:sz w:val="24"/>
          <w:szCs w:val="24"/>
          <w:lang w:val="es-ES" w:eastAsia="es-ES"/>
        </w:rPr>
        <w:t xml:space="preserve">, sin hacer ningún tipo de análisis respecto al derecho pensional pretendido, que </w:t>
      </w:r>
      <w:r w:rsidR="00095235" w:rsidRPr="00640597">
        <w:rPr>
          <w:rFonts w:ascii="Arial" w:eastAsia="Times New Roman" w:hAnsi="Arial" w:cs="Arial"/>
          <w:spacing w:val="-2"/>
          <w:sz w:val="24"/>
          <w:szCs w:val="24"/>
          <w:lang w:val="es-ES" w:eastAsia="es-ES"/>
        </w:rPr>
        <w:t>la posibilidad que tenía la parte actora para controvertir el origen de la contingencia</w:t>
      </w:r>
      <w:r w:rsidRPr="00640597">
        <w:rPr>
          <w:rFonts w:ascii="Arial" w:eastAsia="Times New Roman" w:hAnsi="Arial" w:cs="Arial"/>
          <w:spacing w:val="-2"/>
          <w:sz w:val="24"/>
          <w:szCs w:val="24"/>
          <w:lang w:val="es-ES" w:eastAsia="es-ES"/>
        </w:rPr>
        <w:t xml:space="preserve"> estaba prescrit</w:t>
      </w:r>
      <w:r w:rsidR="00095235" w:rsidRPr="00640597">
        <w:rPr>
          <w:rFonts w:ascii="Arial" w:eastAsia="Times New Roman" w:hAnsi="Arial" w:cs="Arial"/>
          <w:spacing w:val="-2"/>
          <w:sz w:val="24"/>
          <w:szCs w:val="24"/>
          <w:lang w:val="es-ES" w:eastAsia="es-ES"/>
        </w:rPr>
        <w:t>a</w:t>
      </w:r>
      <w:r w:rsidRPr="00640597">
        <w:rPr>
          <w:rFonts w:ascii="Arial" w:eastAsia="Times New Roman" w:hAnsi="Arial" w:cs="Arial"/>
          <w:spacing w:val="-2"/>
          <w:sz w:val="24"/>
          <w:szCs w:val="24"/>
          <w:lang w:val="es-ES" w:eastAsia="es-ES"/>
        </w:rPr>
        <w:t xml:space="preserve"> por no haber</w:t>
      </w:r>
      <w:r w:rsidR="00095235" w:rsidRPr="00640597">
        <w:rPr>
          <w:rFonts w:ascii="Arial" w:eastAsia="Times New Roman" w:hAnsi="Arial" w:cs="Arial"/>
          <w:spacing w:val="-2"/>
          <w:sz w:val="24"/>
          <w:szCs w:val="24"/>
          <w:lang w:val="es-ES" w:eastAsia="es-ES"/>
        </w:rPr>
        <w:t>se notificado a Colpensiones de</w:t>
      </w:r>
      <w:r w:rsidR="008D1D0F" w:rsidRPr="00640597">
        <w:rPr>
          <w:rFonts w:ascii="Arial" w:eastAsia="Times New Roman" w:hAnsi="Arial" w:cs="Arial"/>
          <w:spacing w:val="-2"/>
          <w:sz w:val="24"/>
          <w:szCs w:val="24"/>
          <w:lang w:val="es-ES" w:eastAsia="es-ES"/>
        </w:rPr>
        <w:t xml:space="preserve"> la existencia del proceso</w:t>
      </w:r>
      <w:r w:rsidR="00095235" w:rsidRPr="00640597">
        <w:rPr>
          <w:rFonts w:ascii="Arial" w:eastAsia="Times New Roman" w:hAnsi="Arial" w:cs="Arial"/>
          <w:spacing w:val="-2"/>
          <w:sz w:val="24"/>
          <w:szCs w:val="24"/>
          <w:lang w:val="es-ES" w:eastAsia="es-ES"/>
        </w:rPr>
        <w:t xml:space="preserve">, </w:t>
      </w:r>
      <w:r w:rsidR="00095235" w:rsidRPr="00640597">
        <w:rPr>
          <w:rFonts w:ascii="Arial" w:hAnsi="Arial" w:cs="Arial"/>
          <w:sz w:val="24"/>
          <w:szCs w:val="24"/>
        </w:rPr>
        <w:t>dentro del año siguiente a la fecha en que se notificó el auto admisorio</w:t>
      </w:r>
      <w:r w:rsidR="004A6FB7" w:rsidRPr="00640597">
        <w:rPr>
          <w:rFonts w:ascii="Arial" w:hAnsi="Arial" w:cs="Arial"/>
          <w:sz w:val="24"/>
          <w:szCs w:val="24"/>
        </w:rPr>
        <w:t>;</w:t>
      </w:r>
      <w:r w:rsidR="00095235" w:rsidRPr="00640597">
        <w:rPr>
          <w:rFonts w:ascii="Arial" w:hAnsi="Arial" w:cs="Arial"/>
          <w:sz w:val="24"/>
          <w:szCs w:val="24"/>
        </w:rPr>
        <w:t xml:space="preserve"> lo cierto es que, t</w:t>
      </w:r>
      <w:r w:rsidRPr="00640597">
        <w:rPr>
          <w:rFonts w:ascii="Arial" w:eastAsia="Times New Roman" w:hAnsi="Arial" w:cs="Arial"/>
          <w:spacing w:val="-2"/>
          <w:sz w:val="24"/>
          <w:szCs w:val="24"/>
          <w:lang w:val="es-ES" w:eastAsia="es-ES"/>
        </w:rPr>
        <w:t>al proceder resulta a todas luces inadecuado, si se tiene en cuenta que la prescripción es una forma de extinguir un derecho o acción, por no haberse ejercido durante un lapso determinado. De modo que, para declarar los efectos de dicho medio exceptivo, e</w:t>
      </w:r>
      <w:r w:rsidR="00095235" w:rsidRPr="00640597">
        <w:rPr>
          <w:rFonts w:ascii="Arial" w:eastAsia="Times New Roman" w:hAnsi="Arial" w:cs="Arial"/>
          <w:spacing w:val="-2"/>
          <w:sz w:val="24"/>
          <w:szCs w:val="24"/>
          <w:lang w:val="es-ES" w:eastAsia="es-ES"/>
        </w:rPr>
        <w:t xml:space="preserve">ra </w:t>
      </w:r>
      <w:r w:rsidRPr="00640597">
        <w:rPr>
          <w:rFonts w:ascii="Arial" w:eastAsia="Times New Roman" w:hAnsi="Arial" w:cs="Arial"/>
          <w:spacing w:val="-2"/>
          <w:sz w:val="24"/>
          <w:szCs w:val="24"/>
          <w:lang w:val="es-ES" w:eastAsia="es-ES"/>
        </w:rPr>
        <w:t>necesario que previamente se declar</w:t>
      </w:r>
      <w:r w:rsidR="00095235" w:rsidRPr="00640597">
        <w:rPr>
          <w:rFonts w:ascii="Arial" w:eastAsia="Times New Roman" w:hAnsi="Arial" w:cs="Arial"/>
          <w:spacing w:val="-2"/>
          <w:sz w:val="24"/>
          <w:szCs w:val="24"/>
          <w:lang w:val="es-ES" w:eastAsia="es-ES"/>
        </w:rPr>
        <w:t>ara</w:t>
      </w:r>
      <w:r w:rsidRPr="00640597">
        <w:rPr>
          <w:rFonts w:ascii="Arial" w:eastAsia="Times New Roman" w:hAnsi="Arial" w:cs="Arial"/>
          <w:spacing w:val="-2"/>
          <w:sz w:val="24"/>
          <w:szCs w:val="24"/>
          <w:lang w:val="es-ES" w:eastAsia="es-ES"/>
        </w:rPr>
        <w:t xml:space="preserve"> la existencia y exigibilidad del derecho sustancial</w:t>
      </w:r>
      <w:r w:rsidR="00E27AAA" w:rsidRPr="00640597">
        <w:rPr>
          <w:rFonts w:ascii="Arial" w:eastAsia="Times New Roman" w:hAnsi="Arial" w:cs="Arial"/>
          <w:spacing w:val="-2"/>
          <w:sz w:val="24"/>
          <w:szCs w:val="24"/>
          <w:lang w:val="es-ES" w:eastAsia="es-ES"/>
        </w:rPr>
        <w:t xml:space="preserve"> reclamado. </w:t>
      </w:r>
    </w:p>
    <w:p w14:paraId="0FB78278" w14:textId="77777777" w:rsidR="00E27AAA" w:rsidRPr="00640597" w:rsidRDefault="00E27AAA" w:rsidP="00640597">
      <w:pPr>
        <w:spacing w:after="0"/>
        <w:jc w:val="both"/>
        <w:textAlignment w:val="baseline"/>
        <w:rPr>
          <w:rFonts w:ascii="Arial" w:eastAsia="Times New Roman" w:hAnsi="Arial" w:cs="Arial"/>
          <w:spacing w:val="-2"/>
          <w:sz w:val="24"/>
          <w:szCs w:val="24"/>
          <w:lang w:val="es-ES" w:eastAsia="es-ES"/>
        </w:rPr>
      </w:pPr>
    </w:p>
    <w:p w14:paraId="5AAE01D1" w14:textId="77777777" w:rsidR="00A42AFE" w:rsidRPr="00640597" w:rsidRDefault="00A42AFE" w:rsidP="00640597">
      <w:pPr>
        <w:spacing w:after="0"/>
        <w:jc w:val="both"/>
        <w:textAlignment w:val="baseline"/>
        <w:rPr>
          <w:rFonts w:ascii="Arial" w:eastAsia="Times New Roman" w:hAnsi="Arial" w:cs="Arial"/>
          <w:spacing w:val="-2"/>
          <w:sz w:val="24"/>
          <w:szCs w:val="24"/>
          <w:lang w:val="es-ES" w:eastAsia="es-ES"/>
        </w:rPr>
      </w:pPr>
      <w:r w:rsidRPr="00640597">
        <w:rPr>
          <w:rFonts w:ascii="Arial" w:hAnsi="Arial" w:cs="Arial"/>
          <w:sz w:val="24"/>
          <w:szCs w:val="24"/>
          <w:shd w:val="clear" w:color="auto" w:fill="FFFFFF"/>
        </w:rPr>
        <w:t xml:space="preserve">Al margen de </w:t>
      </w:r>
      <w:r w:rsidR="00E27AAA" w:rsidRPr="00640597">
        <w:rPr>
          <w:rFonts w:ascii="Arial" w:hAnsi="Arial" w:cs="Arial"/>
          <w:sz w:val="24"/>
          <w:szCs w:val="24"/>
          <w:shd w:val="clear" w:color="auto" w:fill="FFFFFF"/>
        </w:rPr>
        <w:t>lo anterior</w:t>
      </w:r>
      <w:r w:rsidR="00095235" w:rsidRPr="00640597">
        <w:rPr>
          <w:rFonts w:ascii="Arial" w:hAnsi="Arial" w:cs="Arial"/>
          <w:sz w:val="24"/>
          <w:szCs w:val="24"/>
          <w:shd w:val="clear" w:color="auto" w:fill="FFFFFF"/>
        </w:rPr>
        <w:t xml:space="preserve">, </w:t>
      </w:r>
      <w:r w:rsidRPr="00640597">
        <w:rPr>
          <w:rFonts w:ascii="Arial" w:hAnsi="Arial" w:cs="Arial"/>
          <w:sz w:val="24"/>
          <w:szCs w:val="24"/>
          <w:shd w:val="clear" w:color="auto" w:fill="FFFFFF"/>
        </w:rPr>
        <w:t xml:space="preserve">cumple decir que el </w:t>
      </w:r>
      <w:r w:rsidR="00095235" w:rsidRPr="00640597">
        <w:rPr>
          <w:rFonts w:ascii="Arial" w:hAnsi="Arial" w:cs="Arial"/>
          <w:i/>
          <w:sz w:val="24"/>
          <w:szCs w:val="24"/>
          <w:shd w:val="clear" w:color="auto" w:fill="FFFFFF"/>
        </w:rPr>
        <w:t>a-quo</w:t>
      </w:r>
      <w:r w:rsidR="00095235" w:rsidRPr="00640597">
        <w:rPr>
          <w:rFonts w:ascii="Arial" w:hAnsi="Arial" w:cs="Arial"/>
          <w:sz w:val="24"/>
          <w:szCs w:val="24"/>
          <w:shd w:val="clear" w:color="auto" w:fill="FFFFFF"/>
        </w:rPr>
        <w:t xml:space="preserve"> de</w:t>
      </w:r>
      <w:r w:rsidRPr="00640597">
        <w:rPr>
          <w:rFonts w:ascii="Arial" w:hAnsi="Arial" w:cs="Arial"/>
          <w:sz w:val="24"/>
          <w:szCs w:val="24"/>
          <w:shd w:val="clear" w:color="auto" w:fill="FFFFFF"/>
        </w:rPr>
        <w:t xml:space="preserve"> todos modos, no se equivocó jurídicamente al considerar </w:t>
      </w:r>
      <w:r w:rsidR="00F67AF0" w:rsidRPr="00640597">
        <w:rPr>
          <w:rFonts w:ascii="Arial" w:hAnsi="Arial" w:cs="Arial"/>
          <w:sz w:val="24"/>
          <w:szCs w:val="24"/>
          <w:shd w:val="clear" w:color="auto" w:fill="FFFFFF"/>
        </w:rPr>
        <w:t xml:space="preserve">en su razonamiento conclusivo </w:t>
      </w:r>
      <w:r w:rsidRPr="00640597">
        <w:rPr>
          <w:rFonts w:ascii="Arial" w:hAnsi="Arial" w:cs="Arial"/>
          <w:sz w:val="24"/>
          <w:szCs w:val="24"/>
          <w:shd w:val="clear" w:color="auto" w:fill="FFFFFF"/>
        </w:rPr>
        <w:t>que</w:t>
      </w:r>
      <w:r w:rsidR="00F67AF0" w:rsidRPr="00640597">
        <w:rPr>
          <w:rFonts w:ascii="Arial" w:hAnsi="Arial" w:cs="Arial"/>
          <w:sz w:val="24"/>
          <w:szCs w:val="24"/>
          <w:shd w:val="clear" w:color="auto" w:fill="FFFFFF"/>
        </w:rPr>
        <w:t xml:space="preserve">, </w:t>
      </w:r>
      <w:r w:rsidRPr="00640597">
        <w:rPr>
          <w:rFonts w:ascii="Arial" w:hAnsi="Arial" w:cs="Arial"/>
          <w:sz w:val="24"/>
          <w:szCs w:val="24"/>
          <w:shd w:val="clear" w:color="auto" w:fill="FFFFFF"/>
        </w:rPr>
        <w:t xml:space="preserve">habiendo un derecho pensional reconocido por la muerte del afiliado (pensión de sobrevivientes de origen común), no era posible </w:t>
      </w:r>
      <w:r w:rsidR="00DB717D" w:rsidRPr="00640597">
        <w:rPr>
          <w:rFonts w:ascii="Arial" w:hAnsi="Arial" w:cs="Arial"/>
          <w:sz w:val="24"/>
          <w:szCs w:val="24"/>
          <w:shd w:val="clear" w:color="auto" w:fill="FFFFFF"/>
        </w:rPr>
        <w:t>que,</w:t>
      </w:r>
      <w:r w:rsidRPr="00640597">
        <w:rPr>
          <w:rFonts w:ascii="Arial" w:hAnsi="Arial" w:cs="Arial"/>
          <w:sz w:val="24"/>
          <w:szCs w:val="24"/>
          <w:shd w:val="clear" w:color="auto" w:fill="FFFFFF"/>
        </w:rPr>
        <w:t xml:space="preserve"> por el mismo suceso de la muerte</w:t>
      </w:r>
      <w:r w:rsidR="001B22FB" w:rsidRPr="00640597">
        <w:rPr>
          <w:rFonts w:ascii="Arial" w:hAnsi="Arial" w:cs="Arial"/>
          <w:sz w:val="24"/>
          <w:szCs w:val="24"/>
          <w:shd w:val="clear" w:color="auto" w:fill="FFFFFF"/>
        </w:rPr>
        <w:t xml:space="preserve">, </w:t>
      </w:r>
      <w:r w:rsidRPr="00640597">
        <w:rPr>
          <w:rFonts w:ascii="Arial" w:hAnsi="Arial" w:cs="Arial"/>
          <w:sz w:val="24"/>
          <w:szCs w:val="24"/>
          <w:shd w:val="clear" w:color="auto" w:fill="FFFFFF"/>
        </w:rPr>
        <w:t>se otorg</w:t>
      </w:r>
      <w:r w:rsidR="00095235" w:rsidRPr="00640597">
        <w:rPr>
          <w:rFonts w:ascii="Arial" w:hAnsi="Arial" w:cs="Arial"/>
          <w:sz w:val="24"/>
          <w:szCs w:val="24"/>
          <w:shd w:val="clear" w:color="auto" w:fill="FFFFFF"/>
        </w:rPr>
        <w:t xml:space="preserve">ase </w:t>
      </w:r>
      <w:r w:rsidRPr="00640597">
        <w:rPr>
          <w:rFonts w:ascii="Arial" w:hAnsi="Arial" w:cs="Arial"/>
          <w:sz w:val="24"/>
          <w:szCs w:val="24"/>
          <w:shd w:val="clear" w:color="auto" w:fill="FFFFFF"/>
        </w:rPr>
        <w:t>un doble beneficio</w:t>
      </w:r>
      <w:r w:rsidR="005F7313" w:rsidRPr="00640597">
        <w:rPr>
          <w:rFonts w:ascii="Arial" w:hAnsi="Arial" w:cs="Arial"/>
          <w:sz w:val="24"/>
          <w:szCs w:val="24"/>
          <w:shd w:val="clear" w:color="auto" w:fill="FFFFFF"/>
        </w:rPr>
        <w:t xml:space="preserve">. </w:t>
      </w:r>
    </w:p>
    <w:p w14:paraId="1FC39945" w14:textId="77777777" w:rsidR="008D1D0F" w:rsidRPr="00640597" w:rsidRDefault="008D1D0F" w:rsidP="00640597">
      <w:pPr>
        <w:spacing w:after="0"/>
        <w:jc w:val="both"/>
        <w:textAlignment w:val="baseline"/>
        <w:rPr>
          <w:rFonts w:ascii="Arial" w:hAnsi="Arial" w:cs="Arial"/>
          <w:sz w:val="24"/>
          <w:szCs w:val="24"/>
          <w:shd w:val="clear" w:color="auto" w:fill="FFFFFF"/>
        </w:rPr>
      </w:pPr>
    </w:p>
    <w:p w14:paraId="73023317" w14:textId="77777777" w:rsidR="00C80B73" w:rsidRPr="00640597" w:rsidRDefault="00E27AAA" w:rsidP="00640597">
      <w:pPr>
        <w:spacing w:after="0"/>
        <w:jc w:val="both"/>
        <w:textAlignment w:val="baseline"/>
        <w:rPr>
          <w:rFonts w:ascii="Arial" w:hAnsi="Arial" w:cs="Arial"/>
          <w:sz w:val="24"/>
          <w:szCs w:val="24"/>
          <w:shd w:val="clear" w:color="auto" w:fill="FFFFFF"/>
        </w:rPr>
      </w:pPr>
      <w:r w:rsidRPr="00640597">
        <w:rPr>
          <w:rFonts w:ascii="Arial" w:hAnsi="Arial" w:cs="Arial"/>
          <w:sz w:val="24"/>
          <w:szCs w:val="24"/>
          <w:shd w:val="clear" w:color="auto" w:fill="FFFFFF"/>
        </w:rPr>
        <w:t>Lo anterior, por cuanto</w:t>
      </w:r>
      <w:r w:rsidR="00A42AFE" w:rsidRPr="00640597">
        <w:rPr>
          <w:rFonts w:ascii="Arial" w:hAnsi="Arial" w:cs="Arial"/>
          <w:sz w:val="24"/>
          <w:szCs w:val="24"/>
          <w:shd w:val="clear" w:color="auto" w:fill="FFFFFF"/>
        </w:rPr>
        <w:t xml:space="preserve"> </w:t>
      </w:r>
      <w:r w:rsidR="00C80B73" w:rsidRPr="00640597">
        <w:rPr>
          <w:rFonts w:ascii="Arial" w:hAnsi="Arial" w:cs="Arial"/>
          <w:sz w:val="24"/>
          <w:szCs w:val="24"/>
          <w:shd w:val="clear" w:color="auto" w:fill="FFFFFF"/>
        </w:rPr>
        <w:t xml:space="preserve">como se explicó en las consideraciones vertidas en precedencia, </w:t>
      </w:r>
      <w:r w:rsidR="00A42AFE" w:rsidRPr="00640597">
        <w:rPr>
          <w:rFonts w:ascii="Arial" w:hAnsi="Arial" w:cs="Arial"/>
          <w:sz w:val="24"/>
          <w:szCs w:val="24"/>
          <w:shd w:val="clear" w:color="auto" w:fill="FFFFFF"/>
        </w:rPr>
        <w:t xml:space="preserve">no es dable </w:t>
      </w:r>
      <w:r w:rsidR="00C80B73" w:rsidRPr="00640597">
        <w:rPr>
          <w:rFonts w:ascii="Arial" w:hAnsi="Arial" w:cs="Arial"/>
          <w:sz w:val="24"/>
          <w:szCs w:val="24"/>
          <w:shd w:val="clear" w:color="auto" w:fill="FFFFFF"/>
        </w:rPr>
        <w:t xml:space="preserve">efectuar el cobro simultáneo de pensiones otorgadas por los regímenes común y profesional, cuando </w:t>
      </w:r>
      <w:r w:rsidR="00334B01" w:rsidRPr="00640597">
        <w:rPr>
          <w:rFonts w:ascii="Arial" w:hAnsi="Arial" w:cs="Arial"/>
          <w:sz w:val="24"/>
          <w:szCs w:val="24"/>
          <w:shd w:val="clear" w:color="auto" w:fill="FFFFFF"/>
        </w:rPr>
        <w:t xml:space="preserve">estas </w:t>
      </w:r>
      <w:r w:rsidR="00C80B73" w:rsidRPr="00640597">
        <w:rPr>
          <w:rFonts w:ascii="Arial" w:hAnsi="Arial" w:cs="Arial"/>
          <w:sz w:val="24"/>
          <w:szCs w:val="24"/>
          <w:shd w:val="clear" w:color="auto" w:fill="FFFFFF"/>
        </w:rPr>
        <w:t xml:space="preserve">se originan en </w:t>
      </w:r>
      <w:r w:rsidR="00334B01" w:rsidRPr="00640597">
        <w:rPr>
          <w:rFonts w:ascii="Arial" w:hAnsi="Arial" w:cs="Arial"/>
          <w:sz w:val="24"/>
          <w:szCs w:val="24"/>
          <w:shd w:val="clear" w:color="auto" w:fill="FFFFFF"/>
        </w:rPr>
        <w:t>un</w:t>
      </w:r>
      <w:r w:rsidR="00C80B73" w:rsidRPr="00640597">
        <w:rPr>
          <w:rFonts w:ascii="Arial" w:hAnsi="Arial" w:cs="Arial"/>
          <w:sz w:val="24"/>
          <w:szCs w:val="24"/>
          <w:shd w:val="clear" w:color="auto" w:fill="FFFFFF"/>
        </w:rPr>
        <w:t xml:space="preserve"> mismo evento o suceso, en este caso, en el fallecimiento del afiliado, menos aun cuando el reconocimiento pensional derivado del sistema general de pensiones, que catalogó</w:t>
      </w:r>
      <w:r w:rsidR="007A20FB" w:rsidRPr="00640597">
        <w:rPr>
          <w:rFonts w:ascii="Arial" w:hAnsi="Arial" w:cs="Arial"/>
          <w:sz w:val="24"/>
          <w:szCs w:val="24"/>
          <w:shd w:val="clear" w:color="auto" w:fill="FFFFFF"/>
        </w:rPr>
        <w:t xml:space="preserve"> como de origen común el deceso</w:t>
      </w:r>
      <w:r w:rsidR="00CF39DC" w:rsidRPr="00640597">
        <w:rPr>
          <w:rFonts w:ascii="Arial" w:hAnsi="Arial" w:cs="Arial"/>
          <w:sz w:val="24"/>
          <w:szCs w:val="24"/>
          <w:shd w:val="clear" w:color="auto" w:fill="FFFFFF"/>
        </w:rPr>
        <w:t xml:space="preserve"> del afiliado</w:t>
      </w:r>
      <w:r w:rsidR="00334B01" w:rsidRPr="00640597">
        <w:rPr>
          <w:rFonts w:ascii="Arial" w:hAnsi="Arial" w:cs="Arial"/>
          <w:sz w:val="24"/>
          <w:szCs w:val="24"/>
          <w:shd w:val="clear" w:color="auto" w:fill="FFFFFF"/>
        </w:rPr>
        <w:t xml:space="preserve">, no ha sido controvertido y goza de presunción de legalidad. </w:t>
      </w:r>
    </w:p>
    <w:p w14:paraId="0562CB0E" w14:textId="77777777" w:rsidR="00334B01" w:rsidRPr="00640597" w:rsidRDefault="00334B01" w:rsidP="00640597">
      <w:pPr>
        <w:spacing w:after="0"/>
        <w:jc w:val="both"/>
        <w:textAlignment w:val="baseline"/>
        <w:rPr>
          <w:rFonts w:ascii="Arial" w:hAnsi="Arial" w:cs="Arial"/>
          <w:sz w:val="24"/>
          <w:szCs w:val="24"/>
          <w:shd w:val="clear" w:color="auto" w:fill="FFFFFF"/>
        </w:rPr>
      </w:pPr>
    </w:p>
    <w:p w14:paraId="21BDC7F8" w14:textId="77777777" w:rsidR="00C27AEF" w:rsidRPr="00640597" w:rsidRDefault="00F67AF0" w:rsidP="00640597">
      <w:pPr>
        <w:spacing w:after="0"/>
        <w:jc w:val="both"/>
        <w:textAlignment w:val="baseline"/>
        <w:rPr>
          <w:rFonts w:ascii="Arial" w:hAnsi="Arial" w:cs="Arial"/>
          <w:sz w:val="24"/>
          <w:szCs w:val="24"/>
          <w:shd w:val="clear" w:color="auto" w:fill="FFFFFF"/>
        </w:rPr>
      </w:pPr>
      <w:r w:rsidRPr="00640597">
        <w:rPr>
          <w:rFonts w:ascii="Arial" w:hAnsi="Arial" w:cs="Arial"/>
          <w:sz w:val="24"/>
          <w:szCs w:val="24"/>
          <w:shd w:val="clear" w:color="auto" w:fill="FFFFFF"/>
        </w:rPr>
        <w:t>A</w:t>
      </w:r>
      <w:r w:rsidR="006D0DEE" w:rsidRPr="00640597">
        <w:rPr>
          <w:rFonts w:ascii="Arial" w:hAnsi="Arial" w:cs="Arial"/>
          <w:sz w:val="24"/>
          <w:szCs w:val="24"/>
          <w:shd w:val="clear" w:color="auto" w:fill="FFFFFF"/>
        </w:rPr>
        <w:t xml:space="preserve">sí se trate de dos escenarios diferentes de la seguridad </w:t>
      </w:r>
      <w:r w:rsidR="001B22FB" w:rsidRPr="00640597">
        <w:rPr>
          <w:rFonts w:ascii="Arial" w:hAnsi="Arial" w:cs="Arial"/>
          <w:sz w:val="24"/>
          <w:szCs w:val="24"/>
          <w:shd w:val="clear" w:color="auto" w:fill="FFFFFF"/>
        </w:rPr>
        <w:t xml:space="preserve">social, </w:t>
      </w:r>
      <w:r w:rsidR="008D1D0F" w:rsidRPr="00640597">
        <w:rPr>
          <w:rFonts w:ascii="Arial" w:hAnsi="Arial" w:cs="Arial"/>
          <w:sz w:val="24"/>
          <w:szCs w:val="24"/>
          <w:shd w:val="clear" w:color="auto" w:fill="FFFFFF"/>
        </w:rPr>
        <w:t>es preciso recordar que,</w:t>
      </w:r>
      <w:r w:rsidRPr="00640597">
        <w:rPr>
          <w:rFonts w:ascii="Arial" w:hAnsi="Arial" w:cs="Arial"/>
          <w:sz w:val="24"/>
          <w:szCs w:val="24"/>
          <w:shd w:val="clear" w:color="auto" w:fill="FFFFFF"/>
        </w:rPr>
        <w:t xml:space="preserve"> </w:t>
      </w:r>
      <w:r w:rsidR="00334B01" w:rsidRPr="00640597">
        <w:rPr>
          <w:rFonts w:ascii="Arial" w:hAnsi="Arial" w:cs="Arial"/>
          <w:sz w:val="24"/>
          <w:szCs w:val="24"/>
          <w:shd w:val="clear" w:color="auto" w:fill="FFFFFF"/>
        </w:rPr>
        <w:t xml:space="preserve">entre </w:t>
      </w:r>
      <w:r w:rsidR="006D0DEE" w:rsidRPr="00640597">
        <w:rPr>
          <w:rFonts w:ascii="Arial" w:hAnsi="Arial" w:cs="Arial"/>
          <w:sz w:val="24"/>
          <w:szCs w:val="24"/>
          <w:shd w:val="clear" w:color="auto" w:fill="FFFFFF"/>
        </w:rPr>
        <w:t>los subsistemas</w:t>
      </w:r>
      <w:r w:rsidR="001B22FB" w:rsidRPr="00640597">
        <w:rPr>
          <w:rFonts w:ascii="Arial" w:hAnsi="Arial" w:cs="Arial"/>
          <w:sz w:val="24"/>
          <w:szCs w:val="24"/>
          <w:shd w:val="clear" w:color="auto" w:fill="FFFFFF"/>
        </w:rPr>
        <w:t xml:space="preserve"> </w:t>
      </w:r>
      <w:r w:rsidRPr="00640597">
        <w:rPr>
          <w:rFonts w:ascii="Arial" w:hAnsi="Arial" w:cs="Arial"/>
          <w:sz w:val="24"/>
          <w:szCs w:val="24"/>
          <w:shd w:val="clear" w:color="auto" w:fill="FFFFFF"/>
        </w:rPr>
        <w:t>que la componen</w:t>
      </w:r>
      <w:r w:rsidR="00334B01" w:rsidRPr="00640597">
        <w:rPr>
          <w:rFonts w:ascii="Arial" w:hAnsi="Arial" w:cs="Arial"/>
          <w:sz w:val="24"/>
          <w:szCs w:val="24"/>
          <w:shd w:val="clear" w:color="auto" w:fill="FFFFFF"/>
        </w:rPr>
        <w:t xml:space="preserve"> </w:t>
      </w:r>
      <w:r w:rsidRPr="00640597">
        <w:rPr>
          <w:rFonts w:ascii="Arial" w:hAnsi="Arial" w:cs="Arial"/>
          <w:sz w:val="24"/>
          <w:szCs w:val="24"/>
          <w:shd w:val="clear" w:color="auto" w:fill="FFFFFF"/>
        </w:rPr>
        <w:t xml:space="preserve">debe existir </w:t>
      </w:r>
      <w:r w:rsidR="00334B01" w:rsidRPr="00640597">
        <w:rPr>
          <w:rFonts w:ascii="Arial" w:hAnsi="Arial" w:cs="Arial"/>
          <w:sz w:val="24"/>
          <w:szCs w:val="24"/>
          <w:shd w:val="clear" w:color="auto" w:fill="FFFFFF"/>
        </w:rPr>
        <w:t>unidad, interacción y coordinación armónica, de manera que</w:t>
      </w:r>
      <w:r w:rsidR="00CF34CC" w:rsidRPr="00640597">
        <w:rPr>
          <w:rFonts w:ascii="Arial" w:hAnsi="Arial" w:cs="Arial"/>
          <w:sz w:val="24"/>
          <w:szCs w:val="24"/>
          <w:shd w:val="clear" w:color="auto" w:fill="FFFFFF"/>
        </w:rPr>
        <w:t>,</w:t>
      </w:r>
      <w:r w:rsidR="00334B01" w:rsidRPr="00640597">
        <w:rPr>
          <w:rFonts w:ascii="Arial" w:hAnsi="Arial" w:cs="Arial"/>
          <w:sz w:val="24"/>
          <w:szCs w:val="24"/>
          <w:shd w:val="clear" w:color="auto" w:fill="FFFFFF"/>
        </w:rPr>
        <w:t xml:space="preserve"> </w:t>
      </w:r>
      <w:r w:rsidR="00CF34CC" w:rsidRPr="00640597">
        <w:rPr>
          <w:rFonts w:ascii="Arial" w:hAnsi="Arial" w:cs="Arial"/>
          <w:sz w:val="24"/>
          <w:szCs w:val="24"/>
          <w:shd w:val="clear" w:color="auto" w:fill="FFFFFF"/>
        </w:rPr>
        <w:t>un mismo evento no puede ser de origen común y</w:t>
      </w:r>
      <w:r w:rsidR="00AA5300" w:rsidRPr="00640597">
        <w:rPr>
          <w:rFonts w:ascii="Arial" w:hAnsi="Arial" w:cs="Arial"/>
          <w:sz w:val="24"/>
          <w:szCs w:val="24"/>
          <w:shd w:val="clear" w:color="auto" w:fill="FFFFFF"/>
        </w:rPr>
        <w:t>,</w:t>
      </w:r>
      <w:r w:rsidR="00CF34CC" w:rsidRPr="00640597">
        <w:rPr>
          <w:rFonts w:ascii="Arial" w:hAnsi="Arial" w:cs="Arial"/>
          <w:sz w:val="24"/>
          <w:szCs w:val="24"/>
          <w:shd w:val="clear" w:color="auto" w:fill="FFFFFF"/>
        </w:rPr>
        <w:t xml:space="preserve"> a la vez</w:t>
      </w:r>
      <w:r w:rsidR="00AA5300" w:rsidRPr="00640597">
        <w:rPr>
          <w:rFonts w:ascii="Arial" w:hAnsi="Arial" w:cs="Arial"/>
          <w:sz w:val="24"/>
          <w:szCs w:val="24"/>
          <w:shd w:val="clear" w:color="auto" w:fill="FFFFFF"/>
        </w:rPr>
        <w:t xml:space="preserve">, ser </w:t>
      </w:r>
      <w:r w:rsidR="00CF34CC" w:rsidRPr="00640597">
        <w:rPr>
          <w:rFonts w:ascii="Arial" w:hAnsi="Arial" w:cs="Arial"/>
          <w:sz w:val="24"/>
          <w:szCs w:val="24"/>
          <w:shd w:val="clear" w:color="auto" w:fill="FFFFFF"/>
        </w:rPr>
        <w:t xml:space="preserve">de origen profesional. </w:t>
      </w:r>
    </w:p>
    <w:p w14:paraId="34CE0A41" w14:textId="77777777" w:rsidR="00CF34CC" w:rsidRPr="00640597" w:rsidRDefault="00CF34CC" w:rsidP="00640597">
      <w:pPr>
        <w:spacing w:after="0"/>
        <w:jc w:val="both"/>
        <w:textAlignment w:val="baseline"/>
        <w:rPr>
          <w:rFonts w:ascii="Arial" w:hAnsi="Arial" w:cs="Arial"/>
          <w:sz w:val="24"/>
          <w:szCs w:val="24"/>
          <w:shd w:val="clear" w:color="auto" w:fill="FFFFFF"/>
        </w:rPr>
      </w:pPr>
    </w:p>
    <w:p w14:paraId="10536D8B" w14:textId="77777777" w:rsidR="00334B01" w:rsidRPr="00640597" w:rsidRDefault="001B22FB" w:rsidP="00640597">
      <w:pPr>
        <w:spacing w:after="0"/>
        <w:jc w:val="both"/>
        <w:textAlignment w:val="baseline"/>
        <w:rPr>
          <w:rFonts w:ascii="Arial" w:eastAsia="Times New Roman" w:hAnsi="Arial" w:cs="Arial"/>
          <w:spacing w:val="-2"/>
          <w:sz w:val="24"/>
          <w:szCs w:val="24"/>
          <w:lang w:val="es-ES_tradnl" w:eastAsia="es-ES"/>
        </w:rPr>
      </w:pPr>
      <w:r w:rsidRPr="00640597">
        <w:rPr>
          <w:rFonts w:ascii="Arial" w:hAnsi="Arial" w:cs="Arial"/>
          <w:sz w:val="24"/>
          <w:szCs w:val="24"/>
          <w:shd w:val="clear" w:color="auto" w:fill="FFFFFF"/>
        </w:rPr>
        <w:t xml:space="preserve">Lo </w:t>
      </w:r>
      <w:r w:rsidR="00AA5300" w:rsidRPr="00640597">
        <w:rPr>
          <w:rFonts w:ascii="Arial" w:hAnsi="Arial" w:cs="Arial"/>
          <w:sz w:val="24"/>
          <w:szCs w:val="24"/>
          <w:shd w:val="clear" w:color="auto" w:fill="FFFFFF"/>
        </w:rPr>
        <w:t>dicho es suficiente para d</w:t>
      </w:r>
      <w:r w:rsidR="006F1D30" w:rsidRPr="00640597">
        <w:rPr>
          <w:rFonts w:ascii="Arial" w:hAnsi="Arial" w:cs="Arial"/>
          <w:sz w:val="24"/>
          <w:szCs w:val="24"/>
          <w:shd w:val="clear" w:color="auto" w:fill="FFFFFF"/>
        </w:rPr>
        <w:t xml:space="preserve">esestimar </w:t>
      </w:r>
      <w:r w:rsidR="0042270C" w:rsidRPr="00640597">
        <w:rPr>
          <w:rFonts w:ascii="Arial" w:hAnsi="Arial" w:cs="Arial"/>
          <w:sz w:val="24"/>
          <w:szCs w:val="24"/>
          <w:shd w:val="clear" w:color="auto" w:fill="FFFFFF"/>
        </w:rPr>
        <w:t xml:space="preserve">las pretensiones de la demanda, </w:t>
      </w:r>
      <w:r w:rsidR="00F67AF0" w:rsidRPr="00640597">
        <w:rPr>
          <w:rFonts w:ascii="Arial" w:hAnsi="Arial" w:cs="Arial"/>
          <w:sz w:val="24"/>
          <w:szCs w:val="24"/>
          <w:shd w:val="clear" w:color="auto" w:fill="FFFFFF"/>
        </w:rPr>
        <w:t xml:space="preserve">pues </w:t>
      </w:r>
      <w:r w:rsidR="00AA5300" w:rsidRPr="00640597">
        <w:rPr>
          <w:rFonts w:ascii="Arial" w:hAnsi="Arial" w:cs="Arial"/>
          <w:sz w:val="24"/>
          <w:szCs w:val="24"/>
          <w:shd w:val="clear" w:color="auto" w:fill="FFFFFF"/>
        </w:rPr>
        <w:t xml:space="preserve">se insiste, </w:t>
      </w:r>
      <w:r w:rsidR="006F1D30" w:rsidRPr="00640597">
        <w:rPr>
          <w:rFonts w:ascii="Arial" w:hAnsi="Arial" w:cs="Arial"/>
          <w:sz w:val="24"/>
          <w:szCs w:val="24"/>
          <w:shd w:val="clear" w:color="auto" w:fill="FFFFFF"/>
        </w:rPr>
        <w:t xml:space="preserve">la incompatibilidad de ambas pensiones se justifica en que tienen </w:t>
      </w:r>
      <w:r w:rsidR="00F67AF0" w:rsidRPr="00640597">
        <w:rPr>
          <w:rFonts w:ascii="Arial" w:hAnsi="Arial" w:cs="Arial"/>
          <w:sz w:val="24"/>
          <w:szCs w:val="24"/>
          <w:shd w:val="clear" w:color="auto" w:fill="FFFFFF"/>
        </w:rPr>
        <w:t>sustento</w:t>
      </w:r>
      <w:r w:rsidR="006F1D30" w:rsidRPr="00640597">
        <w:rPr>
          <w:rFonts w:ascii="Arial" w:hAnsi="Arial" w:cs="Arial"/>
          <w:sz w:val="24"/>
          <w:szCs w:val="24"/>
          <w:shd w:val="clear" w:color="auto" w:fill="FFFFFF"/>
        </w:rPr>
        <w:t xml:space="preserve"> el mismo suceso, es decir, el fallecimiento del afiliado, </w:t>
      </w:r>
      <w:r w:rsidR="00CF34CC" w:rsidRPr="00640597">
        <w:rPr>
          <w:rFonts w:ascii="Arial" w:hAnsi="Arial" w:cs="Arial"/>
          <w:sz w:val="24"/>
          <w:szCs w:val="24"/>
          <w:shd w:val="clear" w:color="auto" w:fill="FFFFFF"/>
        </w:rPr>
        <w:t xml:space="preserve">el cual ya se encuentra </w:t>
      </w:r>
      <w:r w:rsidR="00334B01" w:rsidRPr="00640597">
        <w:rPr>
          <w:rFonts w:ascii="Arial" w:eastAsia="Times New Roman" w:hAnsi="Arial" w:cs="Arial"/>
          <w:spacing w:val="-2"/>
          <w:sz w:val="24"/>
          <w:szCs w:val="24"/>
          <w:lang w:val="es-ES_tradnl" w:eastAsia="es-ES"/>
        </w:rPr>
        <w:t>cubierto por el sistema general de pensiones,</w:t>
      </w:r>
      <w:r w:rsidR="00CF34CC" w:rsidRPr="00640597">
        <w:rPr>
          <w:rFonts w:ascii="Arial" w:eastAsia="Times New Roman" w:hAnsi="Arial" w:cs="Arial"/>
          <w:spacing w:val="-2"/>
          <w:sz w:val="24"/>
          <w:szCs w:val="24"/>
          <w:lang w:val="es-ES_tradnl" w:eastAsia="es-ES"/>
        </w:rPr>
        <w:t xml:space="preserve"> y por ende,</w:t>
      </w:r>
      <w:r w:rsidR="00334B01" w:rsidRPr="00640597">
        <w:rPr>
          <w:rFonts w:ascii="Arial" w:eastAsia="Times New Roman" w:hAnsi="Arial" w:cs="Arial"/>
          <w:spacing w:val="-2"/>
          <w:sz w:val="24"/>
          <w:szCs w:val="24"/>
          <w:lang w:val="es-ES_tradnl" w:eastAsia="es-ES"/>
        </w:rPr>
        <w:t xml:space="preserve"> no puede servir de fundamento para acceder a la pensión de sobrevivientes derivada del sistema de riesgos </w:t>
      </w:r>
      <w:r w:rsidR="00F67AF0" w:rsidRPr="00640597">
        <w:rPr>
          <w:rFonts w:ascii="Arial" w:eastAsia="Times New Roman" w:hAnsi="Arial" w:cs="Arial"/>
          <w:spacing w:val="-2"/>
          <w:sz w:val="24"/>
          <w:szCs w:val="24"/>
          <w:lang w:val="es-ES_tradnl" w:eastAsia="es-ES"/>
        </w:rPr>
        <w:t xml:space="preserve">profesionales. </w:t>
      </w:r>
    </w:p>
    <w:p w14:paraId="62EBF3C5" w14:textId="77777777" w:rsidR="00F67AF0" w:rsidRPr="00640597" w:rsidRDefault="00F67AF0" w:rsidP="00640597">
      <w:pPr>
        <w:spacing w:after="0"/>
        <w:jc w:val="both"/>
        <w:textAlignment w:val="baseline"/>
        <w:rPr>
          <w:rFonts w:ascii="Arial" w:eastAsia="Times New Roman" w:hAnsi="Arial" w:cs="Arial"/>
          <w:spacing w:val="-2"/>
          <w:sz w:val="24"/>
          <w:szCs w:val="24"/>
          <w:lang w:val="es-ES_tradnl" w:eastAsia="es-ES"/>
        </w:rPr>
      </w:pPr>
      <w:bookmarkStart w:id="3" w:name="_GoBack"/>
      <w:bookmarkEnd w:id="3"/>
    </w:p>
    <w:p w14:paraId="3843D0A6" w14:textId="77777777" w:rsidR="00F67AF0" w:rsidRPr="00640597" w:rsidRDefault="00F67AF0" w:rsidP="00640597">
      <w:pPr>
        <w:spacing w:after="0"/>
        <w:jc w:val="both"/>
        <w:textAlignment w:val="baseline"/>
        <w:rPr>
          <w:rFonts w:ascii="Arial" w:eastAsia="Times New Roman" w:hAnsi="Arial" w:cs="Arial"/>
          <w:spacing w:val="-2"/>
          <w:sz w:val="24"/>
          <w:szCs w:val="24"/>
          <w:lang w:val="es-ES_tradnl" w:eastAsia="es-ES"/>
        </w:rPr>
      </w:pPr>
      <w:r w:rsidRPr="00640597">
        <w:rPr>
          <w:rFonts w:ascii="Arial" w:eastAsia="Times New Roman" w:hAnsi="Arial" w:cs="Arial"/>
          <w:spacing w:val="-2"/>
          <w:sz w:val="24"/>
          <w:szCs w:val="24"/>
          <w:lang w:val="es-ES_tradnl" w:eastAsia="es-ES"/>
        </w:rPr>
        <w:t xml:space="preserve">Por lo expuesto, se revocará parcialmente el ordinal 1° de la sentencia de primer grado, en cuanto declaró probada la excepción de prescripción propuesta por las pasivas, para únicamente </w:t>
      </w:r>
      <w:r w:rsidR="008D1D0F" w:rsidRPr="00640597">
        <w:rPr>
          <w:rFonts w:ascii="Arial" w:eastAsia="Times New Roman" w:hAnsi="Arial" w:cs="Arial"/>
          <w:spacing w:val="-2"/>
          <w:sz w:val="24"/>
          <w:szCs w:val="24"/>
          <w:lang w:val="es-ES_tradnl" w:eastAsia="es-ES"/>
        </w:rPr>
        <w:t xml:space="preserve">dejar en firme la declaratoria </w:t>
      </w:r>
      <w:r w:rsidR="00CF39DC" w:rsidRPr="00640597">
        <w:rPr>
          <w:rFonts w:ascii="Arial" w:eastAsia="Times New Roman" w:hAnsi="Arial" w:cs="Arial"/>
          <w:spacing w:val="-2"/>
          <w:sz w:val="24"/>
          <w:szCs w:val="24"/>
          <w:lang w:val="es-ES_tradnl" w:eastAsia="es-ES"/>
        </w:rPr>
        <w:t xml:space="preserve">de </w:t>
      </w:r>
      <w:r w:rsidRPr="00640597">
        <w:rPr>
          <w:rFonts w:ascii="Arial" w:eastAsia="Times New Roman" w:hAnsi="Arial" w:cs="Arial"/>
          <w:spacing w:val="-2"/>
          <w:sz w:val="24"/>
          <w:szCs w:val="24"/>
          <w:lang w:val="es-ES_tradnl" w:eastAsia="es-ES"/>
        </w:rPr>
        <w:t xml:space="preserve">la negativa de las pretensiones de la demanda. </w:t>
      </w:r>
    </w:p>
    <w:p w14:paraId="6D98A12B" w14:textId="77777777" w:rsidR="00F67AF0" w:rsidRPr="00640597" w:rsidRDefault="00F67AF0" w:rsidP="00640597">
      <w:pPr>
        <w:spacing w:after="0"/>
        <w:jc w:val="both"/>
        <w:textAlignment w:val="baseline"/>
        <w:rPr>
          <w:rFonts w:ascii="Arial" w:eastAsia="Times New Roman" w:hAnsi="Arial" w:cs="Arial"/>
          <w:spacing w:val="-2"/>
          <w:sz w:val="24"/>
          <w:szCs w:val="24"/>
          <w:lang w:val="es-ES_tradnl" w:eastAsia="es-ES"/>
        </w:rPr>
      </w:pPr>
    </w:p>
    <w:p w14:paraId="00B1FE66" w14:textId="77777777" w:rsidR="00F67AF0" w:rsidRPr="00640597" w:rsidRDefault="00F67AF0" w:rsidP="00640597">
      <w:pPr>
        <w:spacing w:after="0"/>
        <w:jc w:val="both"/>
        <w:textAlignment w:val="baseline"/>
        <w:rPr>
          <w:rFonts w:ascii="Arial" w:eastAsia="Times New Roman" w:hAnsi="Arial" w:cs="Arial"/>
          <w:spacing w:val="-2"/>
          <w:sz w:val="24"/>
          <w:szCs w:val="24"/>
          <w:lang w:val="es-ES_tradnl" w:eastAsia="es-ES"/>
        </w:rPr>
      </w:pPr>
      <w:r w:rsidRPr="00640597">
        <w:rPr>
          <w:rFonts w:ascii="Arial" w:eastAsia="Times New Roman" w:hAnsi="Arial" w:cs="Arial"/>
          <w:spacing w:val="-2"/>
          <w:sz w:val="24"/>
          <w:szCs w:val="24"/>
          <w:lang w:val="es-ES_tradnl" w:eastAsia="es-ES"/>
        </w:rPr>
        <w:t xml:space="preserve">Sin costas en esta instancia, por haberse conocido en grado jurisdiccional de consulta. </w:t>
      </w:r>
    </w:p>
    <w:p w14:paraId="2946DB82" w14:textId="77777777" w:rsidR="00C27AEF" w:rsidRPr="00640597" w:rsidRDefault="00C27AEF" w:rsidP="00640597">
      <w:pPr>
        <w:spacing w:after="0"/>
        <w:jc w:val="both"/>
        <w:rPr>
          <w:rFonts w:ascii="Arial" w:eastAsia="Times New Roman" w:hAnsi="Arial" w:cs="Arial"/>
          <w:sz w:val="24"/>
          <w:szCs w:val="24"/>
          <w:lang w:eastAsia="es-CO"/>
        </w:rPr>
      </w:pPr>
    </w:p>
    <w:p w14:paraId="4DEEC53C" w14:textId="77777777" w:rsidR="001919F7" w:rsidRPr="00640597" w:rsidRDefault="001919F7" w:rsidP="00640597">
      <w:pPr>
        <w:suppressAutoHyphens/>
        <w:spacing w:after="0"/>
        <w:jc w:val="both"/>
        <w:rPr>
          <w:rFonts w:ascii="Arial" w:hAnsi="Arial" w:cs="Arial"/>
          <w:sz w:val="24"/>
          <w:szCs w:val="24"/>
        </w:rPr>
      </w:pPr>
      <w:r w:rsidRPr="00640597">
        <w:rPr>
          <w:rFonts w:ascii="Arial" w:eastAsia="Times New Roman" w:hAnsi="Arial" w:cs="Arial"/>
          <w:spacing w:val="-2"/>
          <w:sz w:val="24"/>
          <w:szCs w:val="24"/>
          <w:lang w:eastAsia="es-ES"/>
        </w:rPr>
        <w:t>En mérito de lo expuesto, la </w:t>
      </w:r>
      <w:r w:rsidRPr="00640597">
        <w:rPr>
          <w:rFonts w:ascii="Arial" w:eastAsia="Times New Roman" w:hAnsi="Arial" w:cs="Arial"/>
          <w:b/>
          <w:bCs/>
          <w:spacing w:val="-2"/>
          <w:sz w:val="24"/>
          <w:szCs w:val="24"/>
          <w:lang w:eastAsia="es-ES"/>
        </w:rPr>
        <w:t>Sala de Decisión Laboral del Tribunal Superior de Pereira</w:t>
      </w:r>
      <w:r w:rsidRPr="00640597">
        <w:rPr>
          <w:rFonts w:ascii="Arial" w:eastAsia="Times New Roman" w:hAnsi="Arial" w:cs="Arial"/>
          <w:spacing w:val="-2"/>
          <w:sz w:val="24"/>
          <w:szCs w:val="24"/>
          <w:lang w:eastAsia="es-ES"/>
        </w:rPr>
        <w:t>, administrando justicia en nombre de la República y por autoridad de la ley,   </w:t>
      </w:r>
    </w:p>
    <w:p w14:paraId="36F635CB" w14:textId="77777777" w:rsidR="001919F7" w:rsidRPr="00640597" w:rsidRDefault="001919F7" w:rsidP="00640597">
      <w:pPr>
        <w:pStyle w:val="Sinespaciado"/>
        <w:spacing w:line="276" w:lineRule="auto"/>
        <w:rPr>
          <w:rFonts w:ascii="Arial" w:hAnsi="Arial" w:cs="Arial"/>
          <w:sz w:val="24"/>
          <w:szCs w:val="24"/>
          <w:lang w:eastAsia="es-ES"/>
        </w:rPr>
      </w:pPr>
      <w:r w:rsidRPr="00640597">
        <w:rPr>
          <w:rFonts w:ascii="Arial" w:hAnsi="Arial" w:cs="Arial"/>
          <w:sz w:val="24"/>
          <w:szCs w:val="24"/>
          <w:lang w:eastAsia="es-ES"/>
        </w:rPr>
        <w:t>   </w:t>
      </w:r>
    </w:p>
    <w:p w14:paraId="7022187A" w14:textId="77777777" w:rsidR="001919F7" w:rsidRPr="00640597" w:rsidRDefault="001919F7" w:rsidP="00640597">
      <w:pPr>
        <w:suppressAutoHyphens/>
        <w:spacing w:after="0"/>
        <w:jc w:val="center"/>
        <w:rPr>
          <w:rFonts w:ascii="Arial" w:eastAsia="Times New Roman" w:hAnsi="Arial" w:cs="Arial"/>
          <w:spacing w:val="-2"/>
          <w:sz w:val="24"/>
          <w:szCs w:val="24"/>
          <w:lang w:eastAsia="es-ES"/>
        </w:rPr>
      </w:pPr>
      <w:r w:rsidRPr="00640597">
        <w:rPr>
          <w:rFonts w:ascii="Arial" w:eastAsia="Times New Roman" w:hAnsi="Arial" w:cs="Arial"/>
          <w:b/>
          <w:bCs/>
          <w:spacing w:val="-2"/>
          <w:sz w:val="24"/>
          <w:szCs w:val="24"/>
          <w:lang w:eastAsia="es-ES"/>
        </w:rPr>
        <w:t>RESUELVE</w:t>
      </w:r>
      <w:r w:rsidRPr="00640597">
        <w:rPr>
          <w:rFonts w:ascii="Arial" w:eastAsia="Times New Roman" w:hAnsi="Arial" w:cs="Arial"/>
          <w:spacing w:val="-2"/>
          <w:sz w:val="24"/>
          <w:szCs w:val="24"/>
          <w:lang w:eastAsia="es-ES"/>
        </w:rPr>
        <w:t> </w:t>
      </w:r>
    </w:p>
    <w:p w14:paraId="61E5395D" w14:textId="77777777" w:rsidR="001919F7" w:rsidRPr="00640597" w:rsidRDefault="001919F7" w:rsidP="00640597">
      <w:pPr>
        <w:pStyle w:val="Sinespaciado"/>
        <w:spacing w:line="276" w:lineRule="auto"/>
        <w:rPr>
          <w:rFonts w:ascii="Arial" w:hAnsi="Arial" w:cs="Arial"/>
          <w:sz w:val="24"/>
          <w:szCs w:val="24"/>
          <w:lang w:eastAsia="es-ES"/>
        </w:rPr>
      </w:pPr>
      <w:r w:rsidRPr="00640597">
        <w:rPr>
          <w:rFonts w:ascii="Arial" w:hAnsi="Arial" w:cs="Arial"/>
          <w:b/>
          <w:bCs/>
          <w:sz w:val="24"/>
          <w:szCs w:val="24"/>
          <w:lang w:eastAsia="es-ES"/>
        </w:rPr>
        <w:t> </w:t>
      </w:r>
      <w:r w:rsidRPr="00640597">
        <w:rPr>
          <w:rFonts w:ascii="Arial" w:hAnsi="Arial" w:cs="Arial"/>
          <w:sz w:val="24"/>
          <w:szCs w:val="24"/>
          <w:lang w:eastAsia="es-ES"/>
        </w:rPr>
        <w:t>  </w:t>
      </w:r>
    </w:p>
    <w:p w14:paraId="18385EEA" w14:textId="77777777" w:rsidR="00CF39DC" w:rsidRPr="00640597" w:rsidRDefault="001919F7" w:rsidP="00640597">
      <w:pPr>
        <w:spacing w:after="0"/>
        <w:jc w:val="both"/>
        <w:rPr>
          <w:rFonts w:ascii="Arial" w:eastAsia="Times New Roman" w:hAnsi="Arial" w:cs="Arial"/>
          <w:spacing w:val="-2"/>
          <w:sz w:val="24"/>
          <w:szCs w:val="24"/>
          <w:lang w:eastAsia="es-ES"/>
        </w:rPr>
      </w:pPr>
      <w:r w:rsidRPr="00640597">
        <w:rPr>
          <w:rFonts w:ascii="Arial" w:eastAsia="Times New Roman" w:hAnsi="Arial" w:cs="Arial"/>
          <w:b/>
          <w:bCs/>
          <w:spacing w:val="-2"/>
          <w:sz w:val="24"/>
          <w:szCs w:val="24"/>
          <w:lang w:eastAsia="es-ES"/>
        </w:rPr>
        <w:t xml:space="preserve">PRIMERO. REVOCAR </w:t>
      </w:r>
      <w:r w:rsidR="00CF39DC" w:rsidRPr="00640597">
        <w:rPr>
          <w:rFonts w:ascii="Arial" w:eastAsia="Times New Roman" w:hAnsi="Arial" w:cs="Arial"/>
          <w:b/>
          <w:spacing w:val="-2"/>
          <w:sz w:val="24"/>
          <w:szCs w:val="24"/>
          <w:lang w:eastAsia="es-ES"/>
        </w:rPr>
        <w:t>PARCIALMENTE</w:t>
      </w:r>
      <w:r w:rsidR="00CF39DC" w:rsidRPr="00640597">
        <w:rPr>
          <w:rFonts w:ascii="Arial" w:eastAsia="Times New Roman" w:hAnsi="Arial" w:cs="Arial"/>
          <w:spacing w:val="-2"/>
          <w:sz w:val="24"/>
          <w:szCs w:val="24"/>
          <w:lang w:eastAsia="es-ES"/>
        </w:rPr>
        <w:t xml:space="preserve"> el ordinal PRIMERO de la sentencia proferida por el Juzgado Quinto Laboral del Circuito de Pereira el 18 de abril de 2022, en cual quedará así: “</w:t>
      </w:r>
      <w:r w:rsidR="00CF39DC" w:rsidRPr="00640597">
        <w:rPr>
          <w:rFonts w:ascii="Arial" w:eastAsia="Times New Roman" w:hAnsi="Arial" w:cs="Arial"/>
          <w:b/>
          <w:i/>
          <w:spacing w:val="-2"/>
          <w:sz w:val="24"/>
          <w:szCs w:val="24"/>
          <w:lang w:eastAsia="es-ES"/>
        </w:rPr>
        <w:t>NEGAR</w:t>
      </w:r>
      <w:r w:rsidR="00CF39DC" w:rsidRPr="00640597">
        <w:rPr>
          <w:rFonts w:ascii="Arial" w:eastAsia="Times New Roman" w:hAnsi="Arial" w:cs="Arial"/>
          <w:i/>
          <w:spacing w:val="-2"/>
          <w:sz w:val="24"/>
          <w:szCs w:val="24"/>
          <w:lang w:eastAsia="es-ES"/>
        </w:rPr>
        <w:t xml:space="preserve"> la totalidad de las pretensiones de la demanda</w:t>
      </w:r>
      <w:r w:rsidR="00CF39DC" w:rsidRPr="00640597">
        <w:rPr>
          <w:rFonts w:ascii="Arial" w:eastAsia="Times New Roman" w:hAnsi="Arial" w:cs="Arial"/>
          <w:spacing w:val="-2"/>
          <w:sz w:val="24"/>
          <w:szCs w:val="24"/>
          <w:lang w:eastAsia="es-ES"/>
        </w:rPr>
        <w:t xml:space="preserve">”. </w:t>
      </w:r>
    </w:p>
    <w:p w14:paraId="5997CC1D" w14:textId="77777777" w:rsidR="00CF39DC" w:rsidRPr="00640597" w:rsidRDefault="00CF39DC" w:rsidP="00640597">
      <w:pPr>
        <w:spacing w:after="0"/>
        <w:jc w:val="both"/>
        <w:rPr>
          <w:rFonts w:ascii="Arial" w:eastAsia="Times New Roman" w:hAnsi="Arial" w:cs="Arial"/>
          <w:sz w:val="24"/>
          <w:szCs w:val="24"/>
          <w:lang w:val="es-ES" w:eastAsia="es-ES"/>
        </w:rPr>
      </w:pPr>
    </w:p>
    <w:p w14:paraId="13CF765F" w14:textId="77777777" w:rsidR="001919F7" w:rsidRPr="00640597" w:rsidRDefault="001919F7" w:rsidP="00640597">
      <w:pPr>
        <w:spacing w:after="0"/>
        <w:jc w:val="both"/>
        <w:rPr>
          <w:rFonts w:ascii="Arial" w:eastAsia="Times New Roman" w:hAnsi="Arial" w:cs="Arial"/>
          <w:sz w:val="24"/>
          <w:szCs w:val="24"/>
          <w:lang w:eastAsia="es-ES"/>
        </w:rPr>
      </w:pPr>
      <w:r w:rsidRPr="00640597">
        <w:rPr>
          <w:rFonts w:ascii="Arial" w:eastAsia="Times New Roman" w:hAnsi="Arial" w:cs="Arial"/>
          <w:b/>
          <w:bCs/>
          <w:sz w:val="24"/>
          <w:szCs w:val="24"/>
          <w:lang w:val="es-ES" w:eastAsia="es-ES"/>
        </w:rPr>
        <w:t xml:space="preserve">SEGUNDO: </w:t>
      </w:r>
      <w:r w:rsidR="00CF39DC" w:rsidRPr="00640597">
        <w:rPr>
          <w:rFonts w:ascii="Arial" w:eastAsia="Times New Roman" w:hAnsi="Arial" w:cs="Arial"/>
          <w:bCs/>
          <w:sz w:val="24"/>
          <w:szCs w:val="24"/>
          <w:lang w:val="es-ES" w:eastAsia="es-ES"/>
        </w:rPr>
        <w:t>Sin costas en esta instancia.</w:t>
      </w:r>
      <w:r w:rsidR="00CF39DC" w:rsidRPr="00640597">
        <w:rPr>
          <w:rFonts w:ascii="Arial" w:eastAsia="Times New Roman" w:hAnsi="Arial" w:cs="Arial"/>
          <w:b/>
          <w:bCs/>
          <w:sz w:val="24"/>
          <w:szCs w:val="24"/>
          <w:lang w:val="es-ES" w:eastAsia="es-ES"/>
        </w:rPr>
        <w:t xml:space="preserve"> </w:t>
      </w:r>
    </w:p>
    <w:p w14:paraId="6638116B" w14:textId="77777777" w:rsidR="001919F7" w:rsidRPr="00640597" w:rsidRDefault="001919F7" w:rsidP="00640597">
      <w:pPr>
        <w:suppressAutoHyphens/>
        <w:spacing w:after="0"/>
        <w:jc w:val="both"/>
        <w:rPr>
          <w:rFonts w:ascii="Arial" w:eastAsia="Times New Roman" w:hAnsi="Arial" w:cs="Arial"/>
          <w:spacing w:val="-2"/>
          <w:sz w:val="24"/>
          <w:szCs w:val="24"/>
          <w:lang w:eastAsia="es-ES"/>
        </w:rPr>
      </w:pPr>
      <w:r w:rsidRPr="00640597">
        <w:rPr>
          <w:rFonts w:ascii="Arial" w:eastAsia="Times New Roman" w:hAnsi="Arial" w:cs="Arial"/>
          <w:spacing w:val="-2"/>
          <w:sz w:val="24"/>
          <w:szCs w:val="24"/>
          <w:lang w:eastAsia="es-ES"/>
        </w:rPr>
        <w:t>       </w:t>
      </w:r>
    </w:p>
    <w:p w14:paraId="39A7C9F1" w14:textId="77777777" w:rsidR="0024607C" w:rsidRPr="00640597" w:rsidRDefault="0024607C" w:rsidP="00640597">
      <w:pPr>
        <w:suppressAutoHyphens/>
        <w:spacing w:after="0"/>
        <w:jc w:val="both"/>
        <w:rPr>
          <w:rFonts w:ascii="Arial" w:eastAsia="Times New Roman" w:hAnsi="Arial" w:cs="Arial"/>
          <w:spacing w:val="-2"/>
          <w:sz w:val="24"/>
          <w:szCs w:val="24"/>
          <w:lang w:eastAsia="es-ES"/>
        </w:rPr>
      </w:pPr>
      <w:r w:rsidRPr="00640597">
        <w:rPr>
          <w:rFonts w:ascii="Arial" w:hAnsi="Arial" w:cs="Arial"/>
          <w:sz w:val="24"/>
          <w:szCs w:val="24"/>
          <w:lang w:eastAsia="es-CO"/>
        </w:rPr>
        <w:t>No</w:t>
      </w:r>
      <w:r w:rsidRPr="00640597">
        <w:rPr>
          <w:rFonts w:ascii="Arial" w:eastAsia="Arial" w:hAnsi="Arial" w:cs="Arial"/>
          <w:sz w:val="24"/>
          <w:szCs w:val="24"/>
        </w:rPr>
        <w:t>tifíquese por estado y a los correos electrónicos de los apoderados de las partes</w:t>
      </w:r>
      <w:r w:rsidRPr="00640597">
        <w:rPr>
          <w:rFonts w:ascii="Arial" w:eastAsia="Times New Roman" w:hAnsi="Arial" w:cs="Arial"/>
          <w:spacing w:val="-2"/>
          <w:sz w:val="24"/>
          <w:szCs w:val="24"/>
          <w:lang w:eastAsia="es-ES"/>
        </w:rPr>
        <w:t xml:space="preserve"> </w:t>
      </w:r>
    </w:p>
    <w:p w14:paraId="78B2D142" w14:textId="77777777" w:rsidR="00640597" w:rsidRPr="00640597" w:rsidRDefault="00640597" w:rsidP="00640597">
      <w:pPr>
        <w:widowControl w:val="0"/>
        <w:autoSpaceDE w:val="0"/>
        <w:autoSpaceDN w:val="0"/>
        <w:adjustRightInd w:val="0"/>
        <w:spacing w:after="0"/>
        <w:jc w:val="both"/>
        <w:rPr>
          <w:rFonts w:ascii="Arial" w:hAnsi="Arial" w:cs="Arial"/>
          <w:sz w:val="24"/>
          <w:szCs w:val="24"/>
        </w:rPr>
      </w:pPr>
    </w:p>
    <w:p w14:paraId="7F12D6DF" w14:textId="77777777" w:rsidR="00640597" w:rsidRPr="00640597" w:rsidRDefault="00640597" w:rsidP="00640597">
      <w:pPr>
        <w:widowControl w:val="0"/>
        <w:autoSpaceDE w:val="0"/>
        <w:autoSpaceDN w:val="0"/>
        <w:adjustRightInd w:val="0"/>
        <w:spacing w:after="0"/>
        <w:jc w:val="both"/>
        <w:rPr>
          <w:rFonts w:ascii="Arial" w:hAnsi="Arial" w:cs="Arial"/>
          <w:sz w:val="24"/>
          <w:szCs w:val="24"/>
        </w:rPr>
      </w:pPr>
      <w:r w:rsidRPr="00640597">
        <w:rPr>
          <w:rFonts w:ascii="Arial" w:hAnsi="Arial" w:cs="Arial"/>
          <w:sz w:val="24"/>
          <w:szCs w:val="24"/>
        </w:rPr>
        <w:t>Quienes integran la Sala,</w:t>
      </w:r>
    </w:p>
    <w:p w14:paraId="10CA19A2" w14:textId="77777777" w:rsidR="00640597" w:rsidRPr="00640597" w:rsidRDefault="00640597" w:rsidP="00640597">
      <w:pPr>
        <w:widowControl w:val="0"/>
        <w:autoSpaceDE w:val="0"/>
        <w:autoSpaceDN w:val="0"/>
        <w:adjustRightInd w:val="0"/>
        <w:spacing w:after="0"/>
        <w:rPr>
          <w:rFonts w:ascii="Arial" w:hAnsi="Arial" w:cs="Arial"/>
          <w:b/>
          <w:sz w:val="24"/>
          <w:szCs w:val="24"/>
        </w:rPr>
      </w:pPr>
    </w:p>
    <w:p w14:paraId="34460FA1" w14:textId="77777777" w:rsidR="00640597" w:rsidRPr="00640597" w:rsidRDefault="00640597" w:rsidP="00640597">
      <w:pPr>
        <w:widowControl w:val="0"/>
        <w:autoSpaceDE w:val="0"/>
        <w:autoSpaceDN w:val="0"/>
        <w:adjustRightInd w:val="0"/>
        <w:spacing w:after="0"/>
        <w:rPr>
          <w:rFonts w:ascii="Arial" w:hAnsi="Arial" w:cs="Arial"/>
          <w:b/>
          <w:sz w:val="24"/>
          <w:szCs w:val="24"/>
        </w:rPr>
      </w:pPr>
    </w:p>
    <w:p w14:paraId="7ED25AAB" w14:textId="77777777" w:rsidR="00640597" w:rsidRPr="00640597" w:rsidRDefault="00640597" w:rsidP="00640597">
      <w:pPr>
        <w:widowControl w:val="0"/>
        <w:autoSpaceDE w:val="0"/>
        <w:autoSpaceDN w:val="0"/>
        <w:adjustRightInd w:val="0"/>
        <w:spacing w:after="0"/>
        <w:rPr>
          <w:rFonts w:ascii="Arial" w:hAnsi="Arial" w:cs="Arial"/>
          <w:b/>
          <w:sz w:val="24"/>
          <w:szCs w:val="24"/>
        </w:rPr>
      </w:pPr>
    </w:p>
    <w:p w14:paraId="66ED4163" w14:textId="77777777" w:rsidR="00640597" w:rsidRPr="00640597" w:rsidRDefault="00640597" w:rsidP="00640597">
      <w:pPr>
        <w:widowControl w:val="0"/>
        <w:autoSpaceDE w:val="0"/>
        <w:autoSpaceDN w:val="0"/>
        <w:adjustRightInd w:val="0"/>
        <w:spacing w:after="0"/>
        <w:jc w:val="center"/>
        <w:rPr>
          <w:rFonts w:ascii="Arial" w:hAnsi="Arial" w:cs="Arial"/>
          <w:b/>
          <w:bCs/>
          <w:sz w:val="24"/>
          <w:szCs w:val="24"/>
        </w:rPr>
      </w:pPr>
      <w:r w:rsidRPr="00640597">
        <w:rPr>
          <w:rFonts w:ascii="Arial" w:hAnsi="Arial" w:cs="Arial"/>
          <w:b/>
          <w:bCs/>
          <w:sz w:val="24"/>
          <w:szCs w:val="24"/>
        </w:rPr>
        <w:t>JULIO CÉSAR SALAZAR MUÑOZ</w:t>
      </w:r>
    </w:p>
    <w:p w14:paraId="36F26921" w14:textId="77777777" w:rsidR="00640597" w:rsidRPr="00640597" w:rsidRDefault="00640597" w:rsidP="00640597">
      <w:pPr>
        <w:widowControl w:val="0"/>
        <w:autoSpaceDE w:val="0"/>
        <w:autoSpaceDN w:val="0"/>
        <w:adjustRightInd w:val="0"/>
        <w:spacing w:after="0"/>
        <w:jc w:val="center"/>
        <w:rPr>
          <w:rFonts w:ascii="Arial" w:hAnsi="Arial" w:cs="Arial"/>
          <w:sz w:val="24"/>
          <w:szCs w:val="24"/>
        </w:rPr>
      </w:pPr>
      <w:r w:rsidRPr="00640597">
        <w:rPr>
          <w:rFonts w:ascii="Arial" w:hAnsi="Arial" w:cs="Arial"/>
          <w:sz w:val="24"/>
          <w:szCs w:val="24"/>
        </w:rPr>
        <w:t>Magistrado Ponente</w:t>
      </w:r>
    </w:p>
    <w:p w14:paraId="0CB7DBA0" w14:textId="77777777" w:rsidR="00640597" w:rsidRPr="00640597" w:rsidRDefault="00640597" w:rsidP="00640597">
      <w:pPr>
        <w:widowControl w:val="0"/>
        <w:autoSpaceDE w:val="0"/>
        <w:autoSpaceDN w:val="0"/>
        <w:adjustRightInd w:val="0"/>
        <w:spacing w:after="0"/>
        <w:rPr>
          <w:rFonts w:ascii="Arial" w:hAnsi="Arial" w:cs="Arial"/>
          <w:sz w:val="24"/>
          <w:szCs w:val="24"/>
        </w:rPr>
      </w:pPr>
    </w:p>
    <w:p w14:paraId="04714B4A" w14:textId="77777777" w:rsidR="00640597" w:rsidRPr="00640597" w:rsidRDefault="00640597" w:rsidP="00640597">
      <w:pPr>
        <w:widowControl w:val="0"/>
        <w:autoSpaceDE w:val="0"/>
        <w:autoSpaceDN w:val="0"/>
        <w:adjustRightInd w:val="0"/>
        <w:spacing w:after="0"/>
        <w:rPr>
          <w:rFonts w:ascii="Arial" w:hAnsi="Arial" w:cs="Arial"/>
          <w:sz w:val="24"/>
          <w:szCs w:val="24"/>
        </w:rPr>
      </w:pPr>
    </w:p>
    <w:p w14:paraId="09621846" w14:textId="77777777" w:rsidR="00640597" w:rsidRPr="00640597" w:rsidRDefault="00640597" w:rsidP="00640597">
      <w:pPr>
        <w:widowControl w:val="0"/>
        <w:autoSpaceDE w:val="0"/>
        <w:autoSpaceDN w:val="0"/>
        <w:adjustRightInd w:val="0"/>
        <w:spacing w:after="0"/>
        <w:rPr>
          <w:rFonts w:ascii="Arial" w:hAnsi="Arial" w:cs="Arial"/>
          <w:sz w:val="24"/>
          <w:szCs w:val="24"/>
        </w:rPr>
      </w:pPr>
    </w:p>
    <w:p w14:paraId="1349E65C" w14:textId="77777777" w:rsidR="00640597" w:rsidRPr="00640597" w:rsidRDefault="00640597" w:rsidP="00640597">
      <w:pPr>
        <w:widowControl w:val="0"/>
        <w:autoSpaceDE w:val="0"/>
        <w:autoSpaceDN w:val="0"/>
        <w:adjustRightInd w:val="0"/>
        <w:spacing w:after="0"/>
        <w:rPr>
          <w:rFonts w:ascii="Arial" w:hAnsi="Arial" w:cs="Arial"/>
          <w:sz w:val="24"/>
          <w:szCs w:val="24"/>
        </w:rPr>
      </w:pPr>
      <w:r w:rsidRPr="00640597">
        <w:rPr>
          <w:rFonts w:ascii="Arial" w:hAnsi="Arial" w:cs="Arial"/>
          <w:b/>
          <w:bCs/>
          <w:sz w:val="24"/>
          <w:szCs w:val="24"/>
        </w:rPr>
        <w:t>ANA LUCÍA CAICEDO CALDERON</w:t>
      </w:r>
      <w:r w:rsidRPr="00640597">
        <w:rPr>
          <w:rFonts w:ascii="Arial" w:hAnsi="Arial" w:cs="Arial"/>
          <w:b/>
          <w:bCs/>
          <w:sz w:val="24"/>
          <w:szCs w:val="24"/>
        </w:rPr>
        <w:tab/>
      </w:r>
      <w:r w:rsidRPr="00640597">
        <w:rPr>
          <w:rFonts w:ascii="Arial" w:hAnsi="Arial" w:cs="Arial"/>
          <w:b/>
          <w:bCs/>
          <w:sz w:val="24"/>
          <w:szCs w:val="24"/>
        </w:rPr>
        <w:tab/>
        <w:t xml:space="preserve">   GERMÁN DARÍO GÓEZ VINASCO</w:t>
      </w:r>
    </w:p>
    <w:p w14:paraId="1517225A" w14:textId="77777777" w:rsidR="00640597" w:rsidRPr="00640597" w:rsidRDefault="00640597" w:rsidP="00640597">
      <w:pPr>
        <w:spacing w:after="0"/>
        <w:rPr>
          <w:rFonts w:ascii="Arial" w:eastAsia="Times New Roman" w:hAnsi="Arial" w:cs="Arial"/>
          <w:sz w:val="24"/>
          <w:szCs w:val="24"/>
          <w:lang w:val="es-ES_tradnl"/>
        </w:rPr>
      </w:pPr>
      <w:r w:rsidRPr="00640597">
        <w:rPr>
          <w:rFonts w:ascii="Arial" w:hAnsi="Arial" w:cs="Arial"/>
          <w:bCs/>
          <w:sz w:val="24"/>
          <w:szCs w:val="24"/>
        </w:rPr>
        <w:t>Magistrada</w:t>
      </w:r>
      <w:r w:rsidRPr="00640597">
        <w:rPr>
          <w:rFonts w:ascii="Arial" w:hAnsi="Arial" w:cs="Arial"/>
          <w:bCs/>
          <w:sz w:val="24"/>
          <w:szCs w:val="24"/>
        </w:rPr>
        <w:tab/>
      </w:r>
      <w:r w:rsidRPr="00640597">
        <w:rPr>
          <w:rFonts w:ascii="Arial" w:hAnsi="Arial" w:cs="Arial"/>
          <w:bCs/>
          <w:sz w:val="24"/>
          <w:szCs w:val="24"/>
        </w:rPr>
        <w:tab/>
      </w:r>
      <w:r w:rsidRPr="00640597">
        <w:rPr>
          <w:rFonts w:ascii="Arial" w:hAnsi="Arial" w:cs="Arial"/>
          <w:bCs/>
          <w:sz w:val="24"/>
          <w:szCs w:val="24"/>
        </w:rPr>
        <w:tab/>
      </w:r>
      <w:r w:rsidRPr="00640597">
        <w:rPr>
          <w:rFonts w:ascii="Arial" w:hAnsi="Arial" w:cs="Arial"/>
          <w:bCs/>
          <w:sz w:val="24"/>
          <w:szCs w:val="24"/>
        </w:rPr>
        <w:tab/>
      </w:r>
      <w:r w:rsidRPr="00640597">
        <w:rPr>
          <w:rFonts w:ascii="Arial" w:hAnsi="Arial" w:cs="Arial"/>
          <w:bCs/>
          <w:sz w:val="24"/>
          <w:szCs w:val="24"/>
        </w:rPr>
        <w:tab/>
      </w:r>
      <w:r w:rsidRPr="00640597">
        <w:rPr>
          <w:rFonts w:ascii="Arial" w:hAnsi="Arial" w:cs="Arial"/>
          <w:bCs/>
          <w:sz w:val="24"/>
          <w:szCs w:val="24"/>
        </w:rPr>
        <w:tab/>
      </w:r>
      <w:r w:rsidRPr="00640597">
        <w:rPr>
          <w:rFonts w:ascii="Arial" w:hAnsi="Arial" w:cs="Arial"/>
          <w:b/>
          <w:bCs/>
          <w:sz w:val="24"/>
          <w:szCs w:val="24"/>
        </w:rPr>
        <w:t xml:space="preserve">   </w:t>
      </w:r>
      <w:r w:rsidRPr="00640597">
        <w:rPr>
          <w:rFonts w:ascii="Arial" w:eastAsia="Times New Roman" w:hAnsi="Arial" w:cs="Arial"/>
          <w:bCs/>
          <w:sz w:val="24"/>
          <w:szCs w:val="24"/>
          <w:lang w:val="es-ES_tradnl"/>
        </w:rPr>
        <w:t>Magistrado</w:t>
      </w:r>
    </w:p>
    <w:p w14:paraId="60EEA765" w14:textId="17EE10F8" w:rsidR="0024607C" w:rsidRPr="00640597" w:rsidRDefault="00640597" w:rsidP="00640597">
      <w:pPr>
        <w:suppressAutoHyphens/>
        <w:spacing w:after="0"/>
        <w:jc w:val="both"/>
        <w:rPr>
          <w:rFonts w:ascii="Arial" w:hAnsi="Arial" w:cs="Arial"/>
          <w:sz w:val="24"/>
          <w:szCs w:val="24"/>
        </w:rPr>
      </w:pPr>
      <w:r w:rsidRPr="004B7C69">
        <w:rPr>
          <w:rFonts w:ascii="Arial" w:eastAsia="Times New Roman" w:hAnsi="Arial" w:cs="Arial"/>
          <w:sz w:val="24"/>
          <w:szCs w:val="24"/>
          <w:lang w:val="es-ES_tradnl" w:eastAsia="es-ES"/>
        </w:rPr>
        <w:t>En compensación por Hábeas Corpus</w:t>
      </w:r>
    </w:p>
    <w:sectPr w:rsidR="0024607C" w:rsidRPr="00640597" w:rsidSect="00AE45E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A5506E" w16cex:dateUtc="2022-08-06T16:14:43.927Z"/>
  <w16cex:commentExtensible w16cex:durableId="1B1BCADA" w16cex:dateUtc="2022-08-12T19:10:29.2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3B26" w14:textId="77777777" w:rsidR="002043CA" w:rsidRDefault="002043CA">
      <w:pPr>
        <w:spacing w:after="0" w:line="240" w:lineRule="auto"/>
      </w:pPr>
      <w:r>
        <w:separator/>
      </w:r>
    </w:p>
  </w:endnote>
  <w:endnote w:type="continuationSeparator" w:id="0">
    <w:p w14:paraId="38C7EDB7" w14:textId="77777777" w:rsidR="002043CA" w:rsidRDefault="0020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39E387D7" w:rsidR="00A439B1" w:rsidRPr="00A801FB" w:rsidRDefault="00B81BBD" w:rsidP="00A801FB">
    <w:pPr>
      <w:suppressAutoHyphens/>
      <w:spacing w:after="0" w:line="240" w:lineRule="auto"/>
      <w:jc w:val="right"/>
      <w:rPr>
        <w:rStyle w:val="normaltextrun"/>
        <w:rFonts w:ascii="Arial" w:hAnsi="Arial" w:cs="Arial"/>
        <w:sz w:val="18"/>
        <w:szCs w:val="14"/>
      </w:rPr>
    </w:pPr>
    <w:r w:rsidRPr="00A801FB">
      <w:rPr>
        <w:rStyle w:val="normaltextrun"/>
        <w:rFonts w:ascii="Arial" w:hAnsi="Arial" w:cs="Arial"/>
        <w:sz w:val="18"/>
        <w:szCs w:val="14"/>
      </w:rPr>
      <w:fldChar w:fldCharType="begin"/>
    </w:r>
    <w:r w:rsidRPr="00A801FB">
      <w:rPr>
        <w:rStyle w:val="normaltextrun"/>
        <w:rFonts w:ascii="Arial" w:hAnsi="Arial" w:cs="Arial"/>
        <w:sz w:val="18"/>
        <w:szCs w:val="14"/>
      </w:rPr>
      <w:instrText>PAGE   \* MERGEFORMAT</w:instrText>
    </w:r>
    <w:r w:rsidRPr="00A801FB">
      <w:rPr>
        <w:rStyle w:val="normaltextrun"/>
        <w:rFonts w:ascii="Arial" w:hAnsi="Arial" w:cs="Arial"/>
        <w:sz w:val="18"/>
        <w:szCs w:val="14"/>
      </w:rPr>
      <w:fldChar w:fldCharType="separate"/>
    </w:r>
    <w:r w:rsidR="000B4BAC" w:rsidRPr="00A801FB">
      <w:rPr>
        <w:rStyle w:val="normaltextrun"/>
        <w:rFonts w:ascii="Arial" w:hAnsi="Arial" w:cs="Arial"/>
        <w:sz w:val="18"/>
        <w:szCs w:val="14"/>
      </w:rPr>
      <w:t>9</w:t>
    </w:r>
    <w:r w:rsidRPr="00A801FB">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9586D" w14:textId="77777777" w:rsidR="002043CA" w:rsidRDefault="002043CA">
      <w:pPr>
        <w:spacing w:after="0" w:line="240" w:lineRule="auto"/>
      </w:pPr>
      <w:r>
        <w:separator/>
      </w:r>
    </w:p>
  </w:footnote>
  <w:footnote w:type="continuationSeparator" w:id="0">
    <w:p w14:paraId="00D5748D" w14:textId="77777777" w:rsidR="002043CA" w:rsidRDefault="0020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2576" w14:textId="77777777" w:rsidR="00A801FB" w:rsidRPr="00A801FB" w:rsidRDefault="0085785E" w:rsidP="00A801FB">
    <w:pPr>
      <w:suppressAutoHyphens/>
      <w:spacing w:after="0" w:line="240" w:lineRule="auto"/>
      <w:jc w:val="center"/>
      <w:rPr>
        <w:rStyle w:val="normaltextrun"/>
        <w:rFonts w:ascii="Arial" w:hAnsi="Arial" w:cs="Arial"/>
        <w:sz w:val="18"/>
        <w:szCs w:val="14"/>
      </w:rPr>
    </w:pPr>
    <w:r w:rsidRPr="00A801FB">
      <w:rPr>
        <w:rStyle w:val="normaltextrun"/>
        <w:rFonts w:ascii="Arial" w:hAnsi="Arial" w:cs="Arial"/>
        <w:sz w:val="18"/>
        <w:szCs w:val="14"/>
      </w:rPr>
      <w:t>Andrea Liliana Pereira y otros Vs Cooperativa de Trabajo Asociado Colaborar y otros</w:t>
    </w:r>
  </w:p>
  <w:p w14:paraId="1F288AAF" w14:textId="50473BD6" w:rsidR="0085785E" w:rsidRPr="00A801FB" w:rsidRDefault="0085785E" w:rsidP="00A801FB">
    <w:pPr>
      <w:suppressAutoHyphens/>
      <w:spacing w:after="0" w:line="240" w:lineRule="auto"/>
      <w:jc w:val="center"/>
      <w:rPr>
        <w:rFonts w:ascii="Arial" w:hAnsi="Arial" w:cs="Arial"/>
        <w:sz w:val="14"/>
        <w:szCs w:val="14"/>
      </w:rPr>
    </w:pPr>
    <w:r w:rsidRPr="00A801FB">
      <w:rPr>
        <w:rStyle w:val="normaltextrun"/>
        <w:rFonts w:ascii="Arial" w:hAnsi="Arial" w:cs="Arial"/>
        <w:sz w:val="18"/>
        <w:szCs w:val="14"/>
      </w:rPr>
      <w:t>Rad. 66001310500520160014901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E4791"/>
    <w:multiLevelType w:val="hybridMultilevel"/>
    <w:tmpl w:val="CC7C5F3A"/>
    <w:lvl w:ilvl="0" w:tplc="B8960928">
      <w:start w:val="1"/>
      <w:numFmt w:val="decimal"/>
      <w:lvlText w:val="%1."/>
      <w:lvlJc w:val="left"/>
      <w:pPr>
        <w:ind w:left="720" w:hanging="360"/>
      </w:pPr>
    </w:lvl>
    <w:lvl w:ilvl="1" w:tplc="98C2D1CA">
      <w:start w:val="1"/>
      <w:numFmt w:val="lowerLetter"/>
      <w:lvlText w:val="%2."/>
      <w:lvlJc w:val="left"/>
      <w:pPr>
        <w:ind w:left="1440" w:hanging="360"/>
      </w:pPr>
    </w:lvl>
    <w:lvl w:ilvl="2" w:tplc="E8A25576">
      <w:start w:val="1"/>
      <w:numFmt w:val="lowerRoman"/>
      <w:lvlText w:val="%3."/>
      <w:lvlJc w:val="right"/>
      <w:pPr>
        <w:ind w:left="2160" w:hanging="180"/>
      </w:pPr>
    </w:lvl>
    <w:lvl w:ilvl="3" w:tplc="0802B8E0">
      <w:start w:val="1"/>
      <w:numFmt w:val="decimal"/>
      <w:lvlText w:val="%4."/>
      <w:lvlJc w:val="left"/>
      <w:pPr>
        <w:ind w:left="2880" w:hanging="360"/>
      </w:pPr>
    </w:lvl>
    <w:lvl w:ilvl="4" w:tplc="13FC0128">
      <w:start w:val="1"/>
      <w:numFmt w:val="lowerLetter"/>
      <w:lvlText w:val="%5."/>
      <w:lvlJc w:val="left"/>
      <w:pPr>
        <w:ind w:left="3600" w:hanging="360"/>
      </w:pPr>
    </w:lvl>
    <w:lvl w:ilvl="5" w:tplc="AD82D698">
      <w:start w:val="1"/>
      <w:numFmt w:val="lowerRoman"/>
      <w:lvlText w:val="%6."/>
      <w:lvlJc w:val="right"/>
      <w:pPr>
        <w:ind w:left="4320" w:hanging="180"/>
      </w:pPr>
    </w:lvl>
    <w:lvl w:ilvl="6" w:tplc="31EA3684">
      <w:start w:val="1"/>
      <w:numFmt w:val="decimal"/>
      <w:lvlText w:val="%7."/>
      <w:lvlJc w:val="left"/>
      <w:pPr>
        <w:ind w:left="5040" w:hanging="360"/>
      </w:pPr>
    </w:lvl>
    <w:lvl w:ilvl="7" w:tplc="DDAEFA1E">
      <w:start w:val="1"/>
      <w:numFmt w:val="lowerLetter"/>
      <w:lvlText w:val="%8."/>
      <w:lvlJc w:val="left"/>
      <w:pPr>
        <w:ind w:left="5760" w:hanging="360"/>
      </w:pPr>
    </w:lvl>
    <w:lvl w:ilvl="8" w:tplc="D6EE25FC">
      <w:start w:val="1"/>
      <w:numFmt w:val="lowerRoman"/>
      <w:lvlText w:val="%9."/>
      <w:lvlJc w:val="right"/>
      <w:pPr>
        <w:ind w:left="6480" w:hanging="180"/>
      </w:pPr>
    </w:lvl>
  </w:abstractNum>
  <w:abstractNum w:abstractNumId="1" w15:restartNumberingAfterBreak="0">
    <w:nsid w:val="5F2265CC"/>
    <w:multiLevelType w:val="hybridMultilevel"/>
    <w:tmpl w:val="70280E16"/>
    <w:lvl w:ilvl="0" w:tplc="0FA6DACC">
      <w:start w:val="1"/>
      <w:numFmt w:val="decimal"/>
      <w:lvlText w:val="%1."/>
      <w:lvlJc w:val="left"/>
      <w:pPr>
        <w:ind w:left="720" w:hanging="360"/>
      </w:pPr>
      <w:rPr>
        <w:rFonts w:ascii="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E9A5B0E"/>
    <w:multiLevelType w:val="hybridMultilevel"/>
    <w:tmpl w:val="745C682E"/>
    <w:lvl w:ilvl="0" w:tplc="C844650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F7"/>
    <w:rsid w:val="00025C40"/>
    <w:rsid w:val="0005124C"/>
    <w:rsid w:val="00056956"/>
    <w:rsid w:val="0007001F"/>
    <w:rsid w:val="00095235"/>
    <w:rsid w:val="00096262"/>
    <w:rsid w:val="000A706C"/>
    <w:rsid w:val="000B4BAC"/>
    <w:rsid w:val="000E5E9B"/>
    <w:rsid w:val="00132B88"/>
    <w:rsid w:val="00136E67"/>
    <w:rsid w:val="00160373"/>
    <w:rsid w:val="00175BC8"/>
    <w:rsid w:val="001919F7"/>
    <w:rsid w:val="001926D1"/>
    <w:rsid w:val="001B22FB"/>
    <w:rsid w:val="001E0DE4"/>
    <w:rsid w:val="001F1DB2"/>
    <w:rsid w:val="002043CA"/>
    <w:rsid w:val="00207FD2"/>
    <w:rsid w:val="0024256D"/>
    <w:rsid w:val="0024607C"/>
    <w:rsid w:val="00254828"/>
    <w:rsid w:val="002B79CE"/>
    <w:rsid w:val="003107F5"/>
    <w:rsid w:val="00321C7F"/>
    <w:rsid w:val="00324D2F"/>
    <w:rsid w:val="00334B01"/>
    <w:rsid w:val="00344909"/>
    <w:rsid w:val="00361A0C"/>
    <w:rsid w:val="0036433C"/>
    <w:rsid w:val="003724E7"/>
    <w:rsid w:val="003A753D"/>
    <w:rsid w:val="003F0694"/>
    <w:rsid w:val="003F60CF"/>
    <w:rsid w:val="003F7E68"/>
    <w:rsid w:val="00406760"/>
    <w:rsid w:val="00407CE2"/>
    <w:rsid w:val="0042270C"/>
    <w:rsid w:val="004229E1"/>
    <w:rsid w:val="00427887"/>
    <w:rsid w:val="00467216"/>
    <w:rsid w:val="004922B7"/>
    <w:rsid w:val="004A6FB7"/>
    <w:rsid w:val="005142E5"/>
    <w:rsid w:val="0058382C"/>
    <w:rsid w:val="005F1D29"/>
    <w:rsid w:val="005F7313"/>
    <w:rsid w:val="0060707A"/>
    <w:rsid w:val="00632F28"/>
    <w:rsid w:val="00640597"/>
    <w:rsid w:val="00666030"/>
    <w:rsid w:val="006A6F6A"/>
    <w:rsid w:val="006B31ED"/>
    <w:rsid w:val="006C2ACB"/>
    <w:rsid w:val="006D0DEE"/>
    <w:rsid w:val="006D433C"/>
    <w:rsid w:val="006E1712"/>
    <w:rsid w:val="006F1D30"/>
    <w:rsid w:val="007A20FB"/>
    <w:rsid w:val="007A39B4"/>
    <w:rsid w:val="007F25FB"/>
    <w:rsid w:val="00823DEA"/>
    <w:rsid w:val="0085785E"/>
    <w:rsid w:val="00862C91"/>
    <w:rsid w:val="008B5567"/>
    <w:rsid w:val="008B7604"/>
    <w:rsid w:val="008C2DF9"/>
    <w:rsid w:val="008D1D0F"/>
    <w:rsid w:val="008D363C"/>
    <w:rsid w:val="008F513A"/>
    <w:rsid w:val="00941045"/>
    <w:rsid w:val="00951596"/>
    <w:rsid w:val="00A13E83"/>
    <w:rsid w:val="00A14087"/>
    <w:rsid w:val="00A1646C"/>
    <w:rsid w:val="00A23764"/>
    <w:rsid w:val="00A42AFE"/>
    <w:rsid w:val="00A43A65"/>
    <w:rsid w:val="00A55F35"/>
    <w:rsid w:val="00A801FB"/>
    <w:rsid w:val="00AA5300"/>
    <w:rsid w:val="00AB0E7F"/>
    <w:rsid w:val="00AD1423"/>
    <w:rsid w:val="00AE45E0"/>
    <w:rsid w:val="00B02C7C"/>
    <w:rsid w:val="00B10524"/>
    <w:rsid w:val="00B44C0B"/>
    <w:rsid w:val="00B81BBD"/>
    <w:rsid w:val="00B82F2A"/>
    <w:rsid w:val="00B97630"/>
    <w:rsid w:val="00BA111F"/>
    <w:rsid w:val="00BC2735"/>
    <w:rsid w:val="00BC4BD4"/>
    <w:rsid w:val="00BE7A0C"/>
    <w:rsid w:val="00C07361"/>
    <w:rsid w:val="00C27AEF"/>
    <w:rsid w:val="00C3243D"/>
    <w:rsid w:val="00C375A1"/>
    <w:rsid w:val="00C473D8"/>
    <w:rsid w:val="00C80B73"/>
    <w:rsid w:val="00C91C9C"/>
    <w:rsid w:val="00C935F1"/>
    <w:rsid w:val="00CE2256"/>
    <w:rsid w:val="00CE311A"/>
    <w:rsid w:val="00CE78AC"/>
    <w:rsid w:val="00CF34CC"/>
    <w:rsid w:val="00CF39DC"/>
    <w:rsid w:val="00CF7469"/>
    <w:rsid w:val="00D26EDF"/>
    <w:rsid w:val="00D408B7"/>
    <w:rsid w:val="00DB717D"/>
    <w:rsid w:val="00DE4156"/>
    <w:rsid w:val="00E142D9"/>
    <w:rsid w:val="00E22039"/>
    <w:rsid w:val="00E27AAA"/>
    <w:rsid w:val="00E62884"/>
    <w:rsid w:val="00E663AF"/>
    <w:rsid w:val="00E70AD0"/>
    <w:rsid w:val="00E752E8"/>
    <w:rsid w:val="00E81DC8"/>
    <w:rsid w:val="00ED1C51"/>
    <w:rsid w:val="00EE5954"/>
    <w:rsid w:val="00EF021D"/>
    <w:rsid w:val="00EF0435"/>
    <w:rsid w:val="00F01F51"/>
    <w:rsid w:val="00F2045E"/>
    <w:rsid w:val="00F43B83"/>
    <w:rsid w:val="00F642B8"/>
    <w:rsid w:val="00F67AF0"/>
    <w:rsid w:val="00F83213"/>
    <w:rsid w:val="00FC1EFC"/>
    <w:rsid w:val="00FC7E26"/>
    <w:rsid w:val="00FF018E"/>
    <w:rsid w:val="00FF0DA7"/>
    <w:rsid w:val="0C0D4AF3"/>
    <w:rsid w:val="1A0C0EE2"/>
    <w:rsid w:val="272D5DCA"/>
    <w:rsid w:val="338CDF6F"/>
    <w:rsid w:val="42D7786B"/>
    <w:rsid w:val="447348CC"/>
    <w:rsid w:val="6050BADE"/>
    <w:rsid w:val="6E27BB9E"/>
    <w:rsid w:val="73BC9E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2B1B"/>
  <w15:chartTrackingRefBased/>
  <w15:docId w15:val="{1AFB6441-CCEB-49AE-AF31-229A3995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9F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19F7"/>
    <w:pPr>
      <w:tabs>
        <w:tab w:val="center" w:pos="4419"/>
        <w:tab w:val="right" w:pos="8838"/>
      </w:tabs>
    </w:pPr>
  </w:style>
  <w:style w:type="character" w:customStyle="1" w:styleId="PiedepginaCar">
    <w:name w:val="Pie de página Car"/>
    <w:basedOn w:val="Fuentedeprrafopredeter"/>
    <w:link w:val="Piedepgina"/>
    <w:uiPriority w:val="99"/>
    <w:rsid w:val="001919F7"/>
    <w:rPr>
      <w:rFonts w:ascii="Calibri" w:eastAsia="Calibri" w:hAnsi="Calibri" w:cs="Times New Roman"/>
    </w:rPr>
  </w:style>
  <w:style w:type="paragraph" w:customStyle="1" w:styleId="paragraph">
    <w:name w:val="paragraph"/>
    <w:basedOn w:val="Normal"/>
    <w:rsid w:val="001919F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919F7"/>
  </w:style>
  <w:style w:type="character" w:customStyle="1" w:styleId="eop">
    <w:name w:val="eop"/>
    <w:rsid w:val="001919F7"/>
  </w:style>
  <w:style w:type="paragraph" w:styleId="Sinespaciado">
    <w:name w:val="No Spacing"/>
    <w:uiPriority w:val="1"/>
    <w:qFormat/>
    <w:rsid w:val="001919F7"/>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1919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19F7"/>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919F7"/>
    <w:rPr>
      <w:sz w:val="16"/>
      <w:szCs w:val="16"/>
    </w:rPr>
  </w:style>
  <w:style w:type="paragraph" w:styleId="Textodeglobo">
    <w:name w:val="Balloon Text"/>
    <w:basedOn w:val="Normal"/>
    <w:link w:val="TextodegloboCar"/>
    <w:uiPriority w:val="99"/>
    <w:semiHidden/>
    <w:unhideWhenUsed/>
    <w:rsid w:val="00191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9F7"/>
    <w:rPr>
      <w:rFonts w:ascii="Segoe UI" w:eastAsia="Calibri" w:hAnsi="Segoe UI" w:cs="Segoe UI"/>
      <w:sz w:val="18"/>
      <w:szCs w:val="18"/>
    </w:rPr>
  </w:style>
  <w:style w:type="paragraph" w:styleId="Encabezado">
    <w:name w:val="header"/>
    <w:basedOn w:val="Normal"/>
    <w:link w:val="EncabezadoCar"/>
    <w:uiPriority w:val="99"/>
    <w:unhideWhenUsed/>
    <w:rsid w:val="001919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9F7"/>
    <w:rPr>
      <w:rFonts w:ascii="Calibri" w:eastAsia="Calibri" w:hAnsi="Calibri" w:cs="Times New Roman"/>
    </w:rPr>
  </w:style>
  <w:style w:type="paragraph" w:styleId="Textoindependiente2">
    <w:name w:val="Body Text 2"/>
    <w:basedOn w:val="Normal"/>
    <w:link w:val="Textoindependiente2Car"/>
    <w:semiHidden/>
    <w:unhideWhenUsed/>
    <w:rsid w:val="001919F7"/>
    <w:pPr>
      <w:spacing w:after="0" w:line="360" w:lineRule="auto"/>
      <w:ind w:right="51"/>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semiHidden/>
    <w:rsid w:val="001919F7"/>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1919F7"/>
    <w:pPr>
      <w:spacing w:after="120"/>
    </w:pPr>
  </w:style>
  <w:style w:type="character" w:customStyle="1" w:styleId="TextoindependienteCar">
    <w:name w:val="Texto independiente Car"/>
    <w:basedOn w:val="Fuentedeprrafopredeter"/>
    <w:link w:val="Textoindependiente"/>
    <w:uiPriority w:val="99"/>
    <w:semiHidden/>
    <w:rsid w:val="001919F7"/>
    <w:rPr>
      <w:rFonts w:ascii="Calibri" w:eastAsia="Calibri" w:hAnsi="Calibri" w:cs="Times New Roman"/>
    </w:rPr>
  </w:style>
  <w:style w:type="paragraph" w:styleId="Prrafodelista">
    <w:name w:val="List Paragraph"/>
    <w:basedOn w:val="Normal"/>
    <w:uiPriority w:val="34"/>
    <w:qFormat/>
    <w:rsid w:val="0019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173">
      <w:bodyDiv w:val="1"/>
      <w:marLeft w:val="0"/>
      <w:marRight w:val="0"/>
      <w:marTop w:val="0"/>
      <w:marBottom w:val="0"/>
      <w:divBdr>
        <w:top w:val="none" w:sz="0" w:space="0" w:color="auto"/>
        <w:left w:val="none" w:sz="0" w:space="0" w:color="auto"/>
        <w:bottom w:val="none" w:sz="0" w:space="0" w:color="auto"/>
        <w:right w:val="none" w:sz="0" w:space="0" w:color="auto"/>
      </w:divBdr>
    </w:div>
    <w:div w:id="243148138">
      <w:bodyDiv w:val="1"/>
      <w:marLeft w:val="0"/>
      <w:marRight w:val="0"/>
      <w:marTop w:val="0"/>
      <w:marBottom w:val="0"/>
      <w:divBdr>
        <w:top w:val="none" w:sz="0" w:space="0" w:color="auto"/>
        <w:left w:val="none" w:sz="0" w:space="0" w:color="auto"/>
        <w:bottom w:val="none" w:sz="0" w:space="0" w:color="auto"/>
        <w:right w:val="none" w:sz="0" w:space="0" w:color="auto"/>
      </w:divBdr>
    </w:div>
    <w:div w:id="581795757">
      <w:bodyDiv w:val="1"/>
      <w:marLeft w:val="0"/>
      <w:marRight w:val="0"/>
      <w:marTop w:val="0"/>
      <w:marBottom w:val="0"/>
      <w:divBdr>
        <w:top w:val="none" w:sz="0" w:space="0" w:color="auto"/>
        <w:left w:val="none" w:sz="0" w:space="0" w:color="auto"/>
        <w:bottom w:val="none" w:sz="0" w:space="0" w:color="auto"/>
        <w:right w:val="none" w:sz="0" w:space="0" w:color="auto"/>
      </w:divBdr>
      <w:divsChild>
        <w:div w:id="999576376">
          <w:marLeft w:val="0"/>
          <w:marRight w:val="0"/>
          <w:marTop w:val="0"/>
          <w:marBottom w:val="0"/>
          <w:divBdr>
            <w:top w:val="none" w:sz="0" w:space="0" w:color="auto"/>
            <w:left w:val="none" w:sz="0" w:space="0" w:color="auto"/>
            <w:bottom w:val="none" w:sz="0" w:space="0" w:color="auto"/>
            <w:right w:val="none" w:sz="0" w:space="0" w:color="auto"/>
          </w:divBdr>
        </w:div>
        <w:div w:id="566696164">
          <w:marLeft w:val="0"/>
          <w:marRight w:val="0"/>
          <w:marTop w:val="0"/>
          <w:marBottom w:val="0"/>
          <w:divBdr>
            <w:top w:val="none" w:sz="0" w:space="0" w:color="auto"/>
            <w:left w:val="none" w:sz="0" w:space="0" w:color="auto"/>
            <w:bottom w:val="none" w:sz="0" w:space="0" w:color="auto"/>
            <w:right w:val="none" w:sz="0" w:space="0" w:color="auto"/>
          </w:divBdr>
        </w:div>
        <w:div w:id="1803038323">
          <w:marLeft w:val="0"/>
          <w:marRight w:val="0"/>
          <w:marTop w:val="0"/>
          <w:marBottom w:val="0"/>
          <w:divBdr>
            <w:top w:val="none" w:sz="0" w:space="0" w:color="auto"/>
            <w:left w:val="none" w:sz="0" w:space="0" w:color="auto"/>
            <w:bottom w:val="none" w:sz="0" w:space="0" w:color="auto"/>
            <w:right w:val="none" w:sz="0" w:space="0" w:color="auto"/>
          </w:divBdr>
        </w:div>
        <w:div w:id="407072176">
          <w:marLeft w:val="0"/>
          <w:marRight w:val="0"/>
          <w:marTop w:val="0"/>
          <w:marBottom w:val="0"/>
          <w:divBdr>
            <w:top w:val="none" w:sz="0" w:space="0" w:color="auto"/>
            <w:left w:val="none" w:sz="0" w:space="0" w:color="auto"/>
            <w:bottom w:val="none" w:sz="0" w:space="0" w:color="auto"/>
            <w:right w:val="none" w:sz="0" w:space="0" w:color="auto"/>
          </w:divBdr>
        </w:div>
        <w:div w:id="426343222">
          <w:marLeft w:val="0"/>
          <w:marRight w:val="0"/>
          <w:marTop w:val="0"/>
          <w:marBottom w:val="0"/>
          <w:divBdr>
            <w:top w:val="none" w:sz="0" w:space="0" w:color="auto"/>
            <w:left w:val="none" w:sz="0" w:space="0" w:color="auto"/>
            <w:bottom w:val="none" w:sz="0" w:space="0" w:color="auto"/>
            <w:right w:val="none" w:sz="0" w:space="0" w:color="auto"/>
          </w:divBdr>
        </w:div>
        <w:div w:id="1803377078">
          <w:marLeft w:val="0"/>
          <w:marRight w:val="0"/>
          <w:marTop w:val="0"/>
          <w:marBottom w:val="0"/>
          <w:divBdr>
            <w:top w:val="none" w:sz="0" w:space="0" w:color="auto"/>
            <w:left w:val="none" w:sz="0" w:space="0" w:color="auto"/>
            <w:bottom w:val="none" w:sz="0" w:space="0" w:color="auto"/>
            <w:right w:val="none" w:sz="0" w:space="0" w:color="auto"/>
          </w:divBdr>
        </w:div>
        <w:div w:id="880046745">
          <w:marLeft w:val="0"/>
          <w:marRight w:val="0"/>
          <w:marTop w:val="0"/>
          <w:marBottom w:val="0"/>
          <w:divBdr>
            <w:top w:val="none" w:sz="0" w:space="0" w:color="auto"/>
            <w:left w:val="none" w:sz="0" w:space="0" w:color="auto"/>
            <w:bottom w:val="none" w:sz="0" w:space="0" w:color="auto"/>
            <w:right w:val="none" w:sz="0" w:space="0" w:color="auto"/>
          </w:divBdr>
        </w:div>
        <w:div w:id="1949970095">
          <w:marLeft w:val="0"/>
          <w:marRight w:val="0"/>
          <w:marTop w:val="0"/>
          <w:marBottom w:val="0"/>
          <w:divBdr>
            <w:top w:val="none" w:sz="0" w:space="0" w:color="auto"/>
            <w:left w:val="none" w:sz="0" w:space="0" w:color="auto"/>
            <w:bottom w:val="none" w:sz="0" w:space="0" w:color="auto"/>
            <w:right w:val="none" w:sz="0" w:space="0" w:color="auto"/>
          </w:divBdr>
        </w:div>
        <w:div w:id="76824687">
          <w:marLeft w:val="0"/>
          <w:marRight w:val="0"/>
          <w:marTop w:val="0"/>
          <w:marBottom w:val="0"/>
          <w:divBdr>
            <w:top w:val="none" w:sz="0" w:space="0" w:color="auto"/>
            <w:left w:val="none" w:sz="0" w:space="0" w:color="auto"/>
            <w:bottom w:val="none" w:sz="0" w:space="0" w:color="auto"/>
            <w:right w:val="none" w:sz="0" w:space="0" w:color="auto"/>
          </w:divBdr>
        </w:div>
        <w:div w:id="1807964564">
          <w:marLeft w:val="0"/>
          <w:marRight w:val="0"/>
          <w:marTop w:val="0"/>
          <w:marBottom w:val="0"/>
          <w:divBdr>
            <w:top w:val="none" w:sz="0" w:space="0" w:color="auto"/>
            <w:left w:val="none" w:sz="0" w:space="0" w:color="auto"/>
            <w:bottom w:val="none" w:sz="0" w:space="0" w:color="auto"/>
            <w:right w:val="none" w:sz="0" w:space="0" w:color="auto"/>
          </w:divBdr>
        </w:div>
        <w:div w:id="748045321">
          <w:marLeft w:val="0"/>
          <w:marRight w:val="0"/>
          <w:marTop w:val="0"/>
          <w:marBottom w:val="0"/>
          <w:divBdr>
            <w:top w:val="none" w:sz="0" w:space="0" w:color="auto"/>
            <w:left w:val="none" w:sz="0" w:space="0" w:color="auto"/>
            <w:bottom w:val="none" w:sz="0" w:space="0" w:color="auto"/>
            <w:right w:val="none" w:sz="0" w:space="0" w:color="auto"/>
          </w:divBdr>
        </w:div>
      </w:divsChild>
    </w:div>
    <w:div w:id="1913541275">
      <w:bodyDiv w:val="1"/>
      <w:marLeft w:val="0"/>
      <w:marRight w:val="0"/>
      <w:marTop w:val="0"/>
      <w:marBottom w:val="0"/>
      <w:divBdr>
        <w:top w:val="none" w:sz="0" w:space="0" w:color="auto"/>
        <w:left w:val="none" w:sz="0" w:space="0" w:color="auto"/>
        <w:bottom w:val="none" w:sz="0" w:space="0" w:color="auto"/>
        <w:right w:val="none" w:sz="0" w:space="0" w:color="auto"/>
      </w:divBdr>
    </w:div>
    <w:div w:id="20779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b76d6b2b225f45a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D68A-0BE6-4C90-9633-247AB1E9554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46933CD-217E-4674-8999-6F725A8F569D}">
  <ds:schemaRefs>
    <ds:schemaRef ds:uri="http://schemas.microsoft.com/sharepoint/v3/contenttype/forms"/>
  </ds:schemaRefs>
</ds:datastoreItem>
</file>

<file path=customXml/itemProps3.xml><?xml version="1.0" encoding="utf-8"?>
<ds:datastoreItem xmlns:ds="http://schemas.openxmlformats.org/officeDocument/2006/customXml" ds:itemID="{55C43598-EF0A-44DC-8474-ECEA33C88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A5BF0-0CE9-4E40-9707-E3156119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3096</Words>
  <Characters>17031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10</cp:revision>
  <dcterms:created xsi:type="dcterms:W3CDTF">2022-08-04T23:11:00Z</dcterms:created>
  <dcterms:modified xsi:type="dcterms:W3CDTF">2022-09-15T19:29:00Z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