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AB5" w:rsidRPr="00611AB5" w:rsidRDefault="00611AB5" w:rsidP="00611AB5">
      <w:pPr>
        <w:jc w:val="both"/>
        <w:rPr>
          <w:rFonts w:ascii="Arial" w:hAnsi="Arial" w:cs="Arial"/>
          <w:b/>
          <w:bCs/>
          <w:szCs w:val="24"/>
          <w:lang w:val="es-CO"/>
        </w:rPr>
      </w:pPr>
      <w:bookmarkStart w:id="0" w:name="_GoBack"/>
      <w:bookmarkEnd w:id="0"/>
      <w:r w:rsidRPr="00611AB5">
        <w:rPr>
          <w:rFonts w:ascii="Arial" w:hAnsi="Arial" w:cs="Arial"/>
          <w:szCs w:val="24"/>
        </w:rPr>
        <w:t>Radicación:</w:t>
      </w:r>
      <w:r>
        <w:rPr>
          <w:rFonts w:ascii="Arial" w:hAnsi="Arial" w:cs="Arial"/>
          <w:szCs w:val="24"/>
        </w:rPr>
        <w:tab/>
        <w:t>6</w:t>
      </w:r>
      <w:r w:rsidRPr="00611AB5">
        <w:rPr>
          <w:rFonts w:ascii="Arial" w:hAnsi="Arial" w:cs="Arial"/>
          <w:szCs w:val="24"/>
        </w:rPr>
        <w:t>6001-31-05-001-2018-00362-01</w:t>
      </w:r>
      <w:r w:rsidRPr="00611AB5">
        <w:rPr>
          <w:rFonts w:ascii="Arial" w:hAnsi="Arial" w:cs="Arial"/>
          <w:b/>
          <w:bCs/>
          <w:szCs w:val="24"/>
          <w:lang w:val="es-CO"/>
        </w:rPr>
        <w:t> </w:t>
      </w:r>
    </w:p>
    <w:p w:rsidR="00611AB5" w:rsidRPr="00611AB5" w:rsidRDefault="00611AB5" w:rsidP="00611AB5">
      <w:pPr>
        <w:jc w:val="both"/>
        <w:rPr>
          <w:rFonts w:ascii="Arial" w:hAnsi="Arial" w:cs="Arial"/>
          <w:b/>
          <w:bCs/>
          <w:szCs w:val="24"/>
          <w:lang w:val="es-CO"/>
        </w:rPr>
      </w:pPr>
      <w:r w:rsidRPr="00611AB5">
        <w:rPr>
          <w:rFonts w:ascii="Arial" w:hAnsi="Arial" w:cs="Arial"/>
          <w:szCs w:val="24"/>
        </w:rPr>
        <w:t>Proceso:</w:t>
      </w:r>
      <w:r>
        <w:rPr>
          <w:rFonts w:ascii="Arial" w:hAnsi="Arial" w:cs="Arial"/>
          <w:szCs w:val="24"/>
        </w:rPr>
        <w:tab/>
        <w:t>O</w:t>
      </w:r>
      <w:r w:rsidRPr="00611AB5">
        <w:rPr>
          <w:rFonts w:ascii="Arial" w:hAnsi="Arial" w:cs="Arial"/>
          <w:szCs w:val="24"/>
        </w:rPr>
        <w:t>rdinario</w:t>
      </w:r>
      <w:r w:rsidRPr="00611AB5">
        <w:rPr>
          <w:rFonts w:ascii="Arial" w:hAnsi="Arial" w:cs="Arial"/>
          <w:b/>
          <w:bCs/>
          <w:szCs w:val="24"/>
          <w:lang w:val="es-CO"/>
        </w:rPr>
        <w:t> </w:t>
      </w:r>
    </w:p>
    <w:p w:rsidR="00611AB5" w:rsidRPr="00611AB5" w:rsidRDefault="00611AB5" w:rsidP="00611AB5">
      <w:pPr>
        <w:jc w:val="both"/>
        <w:rPr>
          <w:rFonts w:ascii="Arial" w:hAnsi="Arial" w:cs="Arial"/>
          <w:b/>
          <w:bCs/>
          <w:szCs w:val="24"/>
          <w:lang w:val="es-CO"/>
        </w:rPr>
      </w:pPr>
      <w:r w:rsidRPr="00611AB5">
        <w:rPr>
          <w:rFonts w:ascii="Arial" w:hAnsi="Arial" w:cs="Arial"/>
          <w:szCs w:val="24"/>
        </w:rPr>
        <w:t>Demandante:</w:t>
      </w:r>
      <w:r>
        <w:rPr>
          <w:rFonts w:ascii="Arial" w:hAnsi="Arial" w:cs="Arial"/>
          <w:szCs w:val="24"/>
        </w:rPr>
        <w:tab/>
      </w:r>
      <w:r w:rsidRPr="00611AB5">
        <w:rPr>
          <w:rFonts w:ascii="Arial" w:hAnsi="Arial" w:cs="Arial"/>
          <w:szCs w:val="24"/>
        </w:rPr>
        <w:t>Sergio Alirio Arenas Galvis</w:t>
      </w:r>
      <w:r w:rsidRPr="00611AB5">
        <w:rPr>
          <w:rFonts w:ascii="Arial" w:hAnsi="Arial" w:cs="Arial"/>
          <w:b/>
          <w:bCs/>
          <w:szCs w:val="24"/>
          <w:lang w:val="es-CO"/>
        </w:rPr>
        <w:t> </w:t>
      </w:r>
    </w:p>
    <w:p w:rsidR="00611AB5" w:rsidRPr="00611AB5" w:rsidRDefault="00611AB5" w:rsidP="00611AB5">
      <w:pPr>
        <w:jc w:val="both"/>
        <w:rPr>
          <w:rFonts w:ascii="Arial" w:hAnsi="Arial" w:cs="Arial"/>
          <w:b/>
          <w:bCs/>
          <w:szCs w:val="24"/>
          <w:lang w:val="es-CO"/>
        </w:rPr>
      </w:pPr>
      <w:r w:rsidRPr="00611AB5">
        <w:rPr>
          <w:rFonts w:ascii="Arial" w:hAnsi="Arial" w:cs="Arial"/>
          <w:szCs w:val="24"/>
        </w:rPr>
        <w:t>Demandado:</w:t>
      </w:r>
      <w:r>
        <w:rPr>
          <w:rFonts w:ascii="Arial" w:hAnsi="Arial" w:cs="Arial"/>
          <w:szCs w:val="24"/>
        </w:rPr>
        <w:tab/>
      </w:r>
      <w:r w:rsidRPr="00611AB5">
        <w:rPr>
          <w:rFonts w:ascii="Arial" w:hAnsi="Arial" w:cs="Arial"/>
          <w:szCs w:val="24"/>
          <w:lang w:val="es-CO"/>
        </w:rPr>
        <w:t xml:space="preserve">Colpensiones </w:t>
      </w:r>
    </w:p>
    <w:p w:rsidR="00460562" w:rsidRDefault="00460562" w:rsidP="00611AB5">
      <w:pPr>
        <w:jc w:val="both"/>
        <w:rPr>
          <w:rFonts w:ascii="Arial" w:hAnsi="Arial" w:cs="Arial"/>
          <w:szCs w:val="24"/>
        </w:rPr>
      </w:pPr>
    </w:p>
    <w:p w:rsidR="00611AB5" w:rsidRDefault="00611AB5" w:rsidP="00611AB5">
      <w:pPr>
        <w:jc w:val="both"/>
        <w:rPr>
          <w:rFonts w:ascii="Arial" w:hAnsi="Arial" w:cs="Arial"/>
          <w:szCs w:val="24"/>
        </w:rPr>
      </w:pPr>
    </w:p>
    <w:p w:rsidR="00611AB5" w:rsidRPr="00611AB5" w:rsidRDefault="00611AB5" w:rsidP="00611AB5">
      <w:pPr>
        <w:jc w:val="both"/>
        <w:rPr>
          <w:rFonts w:ascii="Arial" w:hAnsi="Arial" w:cs="Arial"/>
          <w:szCs w:val="24"/>
        </w:rPr>
      </w:pPr>
    </w:p>
    <w:p w:rsidR="00611AB5" w:rsidRPr="00611AB5" w:rsidRDefault="00611AB5" w:rsidP="00611AB5">
      <w:pPr>
        <w:jc w:val="both"/>
        <w:rPr>
          <w:rFonts w:ascii="Arial" w:hAnsi="Arial" w:cs="Arial"/>
          <w:szCs w:val="24"/>
        </w:rPr>
      </w:pPr>
    </w:p>
    <w:p w:rsidR="006E1A05" w:rsidRPr="00126D17" w:rsidRDefault="006E1A05" w:rsidP="006E1A05">
      <w:pPr>
        <w:spacing w:line="276" w:lineRule="auto"/>
        <w:jc w:val="center"/>
        <w:rPr>
          <w:rFonts w:ascii="Arial" w:hAnsi="Arial" w:cs="Arial"/>
          <w:b/>
          <w:sz w:val="24"/>
          <w:szCs w:val="26"/>
        </w:rPr>
      </w:pPr>
      <w:r>
        <w:rPr>
          <w:rFonts w:ascii="Arial" w:hAnsi="Arial" w:cs="Arial"/>
          <w:b/>
          <w:sz w:val="24"/>
          <w:szCs w:val="26"/>
        </w:rPr>
        <w:t>TRIBUNAL SUPERIOR DEL DISTRITO</w:t>
      </w:r>
    </w:p>
    <w:p w:rsidR="006E1A05" w:rsidRPr="00126D17" w:rsidRDefault="006E1A05" w:rsidP="006E1A05">
      <w:pPr>
        <w:spacing w:line="276" w:lineRule="auto"/>
        <w:jc w:val="center"/>
        <w:rPr>
          <w:rFonts w:ascii="Arial" w:hAnsi="Arial" w:cs="Arial"/>
          <w:b/>
          <w:sz w:val="24"/>
          <w:szCs w:val="26"/>
        </w:rPr>
      </w:pPr>
      <w:r>
        <w:rPr>
          <w:rFonts w:ascii="Arial" w:hAnsi="Arial" w:cs="Arial"/>
          <w:b/>
          <w:sz w:val="24"/>
          <w:szCs w:val="26"/>
        </w:rPr>
        <w:t>SALA LABORAL</w:t>
      </w:r>
    </w:p>
    <w:p w:rsidR="00F93C8E" w:rsidRPr="00611AB5" w:rsidRDefault="00F93C8E" w:rsidP="006E1A05">
      <w:pPr>
        <w:spacing w:line="276" w:lineRule="auto"/>
        <w:jc w:val="center"/>
        <w:rPr>
          <w:rFonts w:ascii="Arial" w:hAnsi="Arial" w:cs="Arial"/>
          <w:b/>
          <w:sz w:val="24"/>
          <w:szCs w:val="24"/>
        </w:rPr>
      </w:pPr>
      <w:r w:rsidRPr="00611AB5">
        <w:rPr>
          <w:rFonts w:ascii="Arial" w:hAnsi="Arial" w:cs="Arial"/>
          <w:sz w:val="24"/>
          <w:szCs w:val="24"/>
        </w:rPr>
        <w:t xml:space="preserve">MAGISTRADO: </w:t>
      </w:r>
      <w:r w:rsidRPr="00611AB5">
        <w:rPr>
          <w:rFonts w:ascii="Arial" w:hAnsi="Arial" w:cs="Arial"/>
          <w:b/>
          <w:sz w:val="24"/>
          <w:szCs w:val="24"/>
        </w:rPr>
        <w:t>JULIO CÉSAR SALAZAR MUÑOZ</w:t>
      </w:r>
    </w:p>
    <w:p w:rsidR="00460562" w:rsidRPr="00611AB5" w:rsidRDefault="00460562" w:rsidP="006E1A05">
      <w:pPr>
        <w:spacing w:line="276" w:lineRule="auto"/>
        <w:rPr>
          <w:rFonts w:ascii="Arial" w:hAnsi="Arial" w:cs="Arial"/>
          <w:b/>
          <w:sz w:val="24"/>
          <w:szCs w:val="24"/>
        </w:rPr>
      </w:pPr>
    </w:p>
    <w:p w:rsidR="00F93C8E" w:rsidRPr="00611AB5" w:rsidRDefault="00F93C8E" w:rsidP="006E1A05">
      <w:pPr>
        <w:spacing w:line="276" w:lineRule="auto"/>
        <w:jc w:val="center"/>
        <w:rPr>
          <w:rFonts w:ascii="Arial" w:hAnsi="Arial" w:cs="Arial"/>
          <w:sz w:val="24"/>
          <w:szCs w:val="24"/>
        </w:rPr>
      </w:pPr>
      <w:r w:rsidRPr="00611AB5">
        <w:rPr>
          <w:rFonts w:ascii="Arial" w:hAnsi="Arial" w:cs="Arial"/>
          <w:sz w:val="24"/>
          <w:szCs w:val="24"/>
        </w:rPr>
        <w:t xml:space="preserve">Pereira, </w:t>
      </w:r>
      <w:r w:rsidR="006D3DE4" w:rsidRPr="00611AB5">
        <w:rPr>
          <w:rFonts w:ascii="Arial" w:hAnsi="Arial" w:cs="Arial"/>
          <w:sz w:val="24"/>
          <w:szCs w:val="24"/>
        </w:rPr>
        <w:t>veint</w:t>
      </w:r>
      <w:r w:rsidR="00213C75" w:rsidRPr="00611AB5">
        <w:rPr>
          <w:rFonts w:ascii="Arial" w:hAnsi="Arial" w:cs="Arial"/>
          <w:sz w:val="24"/>
          <w:szCs w:val="24"/>
        </w:rPr>
        <w:t>iuno</w:t>
      </w:r>
      <w:r w:rsidRPr="00611AB5">
        <w:rPr>
          <w:rFonts w:ascii="Arial" w:hAnsi="Arial" w:cs="Arial"/>
          <w:sz w:val="24"/>
          <w:szCs w:val="24"/>
        </w:rPr>
        <w:t xml:space="preserve"> [</w:t>
      </w:r>
      <w:r w:rsidR="006D3DE4" w:rsidRPr="00611AB5">
        <w:rPr>
          <w:rFonts w:ascii="Arial" w:hAnsi="Arial" w:cs="Arial"/>
          <w:sz w:val="24"/>
          <w:szCs w:val="24"/>
        </w:rPr>
        <w:t>2</w:t>
      </w:r>
      <w:r w:rsidR="00213C75" w:rsidRPr="00611AB5">
        <w:rPr>
          <w:rFonts w:ascii="Arial" w:hAnsi="Arial" w:cs="Arial"/>
          <w:sz w:val="24"/>
          <w:szCs w:val="24"/>
        </w:rPr>
        <w:t>1</w:t>
      </w:r>
      <w:r w:rsidRPr="00611AB5">
        <w:rPr>
          <w:rFonts w:ascii="Arial" w:hAnsi="Arial" w:cs="Arial"/>
          <w:sz w:val="24"/>
          <w:szCs w:val="24"/>
        </w:rPr>
        <w:t xml:space="preserve">] de </w:t>
      </w:r>
      <w:r w:rsidR="006077E5" w:rsidRPr="00611AB5">
        <w:rPr>
          <w:rFonts w:ascii="Arial" w:hAnsi="Arial" w:cs="Arial"/>
          <w:sz w:val="24"/>
          <w:szCs w:val="24"/>
        </w:rPr>
        <w:t>abril</w:t>
      </w:r>
      <w:r w:rsidRPr="00611AB5">
        <w:rPr>
          <w:rFonts w:ascii="Arial" w:hAnsi="Arial" w:cs="Arial"/>
          <w:sz w:val="24"/>
          <w:szCs w:val="24"/>
        </w:rPr>
        <w:t xml:space="preserve"> de dos mil </w:t>
      </w:r>
      <w:r w:rsidR="00C857D6" w:rsidRPr="00611AB5">
        <w:rPr>
          <w:rFonts w:ascii="Arial" w:hAnsi="Arial" w:cs="Arial"/>
          <w:sz w:val="24"/>
          <w:szCs w:val="24"/>
        </w:rPr>
        <w:t>veintidós</w:t>
      </w:r>
      <w:r w:rsidRPr="00611AB5">
        <w:rPr>
          <w:rFonts w:ascii="Arial" w:hAnsi="Arial" w:cs="Arial"/>
          <w:sz w:val="24"/>
          <w:szCs w:val="24"/>
        </w:rPr>
        <w:t xml:space="preserve"> [20</w:t>
      </w:r>
      <w:r w:rsidR="006D3DE4" w:rsidRPr="00611AB5">
        <w:rPr>
          <w:rFonts w:ascii="Arial" w:hAnsi="Arial" w:cs="Arial"/>
          <w:sz w:val="24"/>
          <w:szCs w:val="24"/>
        </w:rPr>
        <w:t>2</w:t>
      </w:r>
      <w:r w:rsidR="00BB7A85" w:rsidRPr="00611AB5">
        <w:rPr>
          <w:rFonts w:ascii="Arial" w:hAnsi="Arial" w:cs="Arial"/>
          <w:sz w:val="24"/>
          <w:szCs w:val="24"/>
        </w:rPr>
        <w:t>2</w:t>
      </w:r>
      <w:r w:rsidRPr="00611AB5">
        <w:rPr>
          <w:rFonts w:ascii="Arial" w:hAnsi="Arial" w:cs="Arial"/>
          <w:sz w:val="24"/>
          <w:szCs w:val="24"/>
        </w:rPr>
        <w:t>]</w:t>
      </w:r>
    </w:p>
    <w:p w:rsidR="00460562" w:rsidRDefault="00460562" w:rsidP="00611AB5">
      <w:pPr>
        <w:tabs>
          <w:tab w:val="left" w:pos="1440"/>
        </w:tabs>
        <w:spacing w:line="276" w:lineRule="auto"/>
        <w:jc w:val="both"/>
        <w:rPr>
          <w:rFonts w:ascii="Arial" w:hAnsi="Arial" w:cs="Arial"/>
          <w:snapToGrid w:val="0"/>
          <w:sz w:val="24"/>
          <w:szCs w:val="24"/>
        </w:rPr>
      </w:pPr>
    </w:p>
    <w:p w:rsidR="00611AB5" w:rsidRPr="00611AB5" w:rsidRDefault="00611AB5" w:rsidP="00611AB5">
      <w:pPr>
        <w:tabs>
          <w:tab w:val="left" w:pos="1440"/>
        </w:tabs>
        <w:spacing w:line="276" w:lineRule="auto"/>
        <w:jc w:val="both"/>
        <w:rPr>
          <w:rFonts w:ascii="Arial" w:hAnsi="Arial" w:cs="Arial"/>
          <w:snapToGrid w:val="0"/>
          <w:sz w:val="24"/>
          <w:szCs w:val="24"/>
        </w:rPr>
      </w:pPr>
    </w:p>
    <w:p w:rsidR="00F93C8E" w:rsidRPr="00611AB5" w:rsidRDefault="00F93C8E" w:rsidP="00611AB5">
      <w:pPr>
        <w:spacing w:line="276" w:lineRule="auto"/>
        <w:jc w:val="center"/>
        <w:rPr>
          <w:rFonts w:ascii="Arial" w:hAnsi="Arial" w:cs="Arial"/>
          <w:b/>
          <w:sz w:val="24"/>
          <w:szCs w:val="24"/>
          <w:u w:val="single"/>
        </w:rPr>
      </w:pPr>
      <w:r w:rsidRPr="00611AB5">
        <w:rPr>
          <w:rFonts w:ascii="Arial" w:hAnsi="Arial" w:cs="Arial"/>
          <w:b/>
          <w:sz w:val="24"/>
          <w:szCs w:val="24"/>
          <w:u w:val="single"/>
        </w:rPr>
        <w:t>SALVAMENTO DE VOTO</w:t>
      </w:r>
    </w:p>
    <w:p w:rsidR="00F93C8E" w:rsidRDefault="00F93C8E" w:rsidP="00611AB5">
      <w:pPr>
        <w:pStyle w:val="Textoindependiente"/>
        <w:spacing w:line="276" w:lineRule="auto"/>
        <w:rPr>
          <w:sz w:val="24"/>
          <w:szCs w:val="24"/>
        </w:rPr>
      </w:pPr>
    </w:p>
    <w:p w:rsidR="00611AB5" w:rsidRPr="00611AB5" w:rsidRDefault="00611AB5" w:rsidP="00611AB5">
      <w:pPr>
        <w:pStyle w:val="Textoindependiente"/>
        <w:spacing w:line="276" w:lineRule="auto"/>
        <w:rPr>
          <w:sz w:val="24"/>
          <w:szCs w:val="24"/>
        </w:rPr>
      </w:pPr>
    </w:p>
    <w:p w:rsidR="006077E5" w:rsidRPr="00611AB5" w:rsidRDefault="006077E5" w:rsidP="00611AB5">
      <w:pPr>
        <w:pStyle w:val="Textoindependiente"/>
        <w:spacing w:line="276" w:lineRule="auto"/>
        <w:rPr>
          <w:sz w:val="24"/>
          <w:szCs w:val="24"/>
        </w:rPr>
      </w:pPr>
      <w:r w:rsidRPr="00611AB5">
        <w:rPr>
          <w:sz w:val="24"/>
          <w:szCs w:val="24"/>
        </w:rPr>
        <w:t>Disiento del fallo en cuanto considero que en el presente caso se debió declarar, como lo hemos hecho en asuntos anteriores de similares características, la excepción de cosa juzgada.</w:t>
      </w:r>
    </w:p>
    <w:p w:rsidR="006077E5" w:rsidRPr="00611AB5" w:rsidRDefault="006077E5" w:rsidP="00611AB5">
      <w:pPr>
        <w:pStyle w:val="Textoindependiente"/>
        <w:spacing w:line="276" w:lineRule="auto"/>
        <w:rPr>
          <w:sz w:val="24"/>
          <w:szCs w:val="24"/>
        </w:rPr>
      </w:pPr>
    </w:p>
    <w:p w:rsidR="006077E5" w:rsidRPr="00611AB5" w:rsidRDefault="006077E5" w:rsidP="00611AB5">
      <w:pPr>
        <w:pStyle w:val="Textoindependiente"/>
        <w:spacing w:line="276" w:lineRule="auto"/>
        <w:rPr>
          <w:sz w:val="24"/>
          <w:szCs w:val="24"/>
        </w:rPr>
      </w:pPr>
      <w:r w:rsidRPr="00611AB5">
        <w:rPr>
          <w:sz w:val="24"/>
          <w:szCs w:val="24"/>
        </w:rPr>
        <w:t>Sobre el tema, con anterioridad he dicho reiteradamente lo siguiente:</w:t>
      </w:r>
    </w:p>
    <w:p w:rsidR="006077E5" w:rsidRPr="00611AB5" w:rsidRDefault="006077E5" w:rsidP="00611AB5">
      <w:pPr>
        <w:pStyle w:val="Textoindependiente"/>
        <w:spacing w:line="276" w:lineRule="auto"/>
        <w:rPr>
          <w:sz w:val="24"/>
          <w:szCs w:val="24"/>
        </w:rPr>
      </w:pPr>
    </w:p>
    <w:p w:rsidR="006077E5" w:rsidRPr="00611AB5" w:rsidRDefault="006077E5" w:rsidP="00611AB5">
      <w:pPr>
        <w:spacing w:line="276" w:lineRule="auto"/>
        <w:ind w:right="51"/>
        <w:jc w:val="both"/>
        <w:rPr>
          <w:rFonts w:ascii="Arial" w:hAnsi="Arial" w:cs="Arial"/>
          <w:sz w:val="24"/>
          <w:szCs w:val="24"/>
          <w:lang w:val="es-CO"/>
        </w:rPr>
      </w:pPr>
      <w:r w:rsidRPr="00611AB5">
        <w:rPr>
          <w:rFonts w:ascii="Arial" w:hAnsi="Arial" w:cs="Arial"/>
          <w:b/>
          <w:sz w:val="24"/>
          <w:szCs w:val="24"/>
          <w:lang w:val="es-CO"/>
        </w:rPr>
        <w:t>LOS FALLOS DE TUTELA EN MATERIA PENSIONAL</w:t>
      </w:r>
    </w:p>
    <w:p w:rsidR="006077E5" w:rsidRPr="00611AB5" w:rsidRDefault="006077E5" w:rsidP="00611AB5">
      <w:pPr>
        <w:spacing w:line="276" w:lineRule="auto"/>
        <w:ind w:right="51"/>
        <w:jc w:val="both"/>
        <w:rPr>
          <w:rFonts w:ascii="Arial" w:hAnsi="Arial" w:cs="Arial"/>
          <w:b/>
          <w:sz w:val="24"/>
          <w:szCs w:val="24"/>
          <w:lang w:val="es-CO"/>
        </w:rPr>
      </w:pPr>
    </w:p>
    <w:p w:rsidR="006077E5" w:rsidRPr="00611AB5" w:rsidRDefault="006077E5" w:rsidP="00611AB5">
      <w:pPr>
        <w:spacing w:line="276" w:lineRule="auto"/>
        <w:ind w:right="51"/>
        <w:jc w:val="both"/>
        <w:rPr>
          <w:rFonts w:ascii="Arial" w:hAnsi="Arial" w:cs="Arial"/>
          <w:sz w:val="24"/>
          <w:szCs w:val="24"/>
          <w:lang w:val="es-CO"/>
        </w:rPr>
      </w:pPr>
      <w:r w:rsidRPr="00611AB5">
        <w:rPr>
          <w:rFonts w:ascii="Arial" w:hAnsi="Arial" w:cs="Arial"/>
          <w:sz w:val="24"/>
          <w:szCs w:val="24"/>
          <w:lang w:val="es-CO"/>
        </w:rPr>
        <w:t>En materia de pensiones se tiene establecido por regla general que no procede su reconocimiento por tutela, pues solo excepcionalmente, cuando no cabe duda alguna del cumplimiento cabal de los requisitos exigidos por la Ley para el efecto y/o cuando la jurisdicción ordinaria no se percibe eficaz para su efectivo otorgamiento, se considera posible concederlas por esta vía, aunque solo como mecanismo provisional, para que sea el juez natural, esto es, el ordinario, quien proceda posteriormente a hacer el estudio total que permita declarar el derecho con carácter definitivo. Pero cuando el juez constitucional, omite esta previsión y se arroga la facultad de otorgar una pensión de manera definitiva, en desarrollo del ordinal 4 del artículo 29 del decreto 2591 de 1991 debe establecer “la orden y la definición precisa de la conducta a cumplir con el fin de hacer efectiva la tutela” pues, a su vez, mientras el art. 27 ídem señala la obligación de acatamiento de la decisión por la autoridad obligada, estableciendo de paso el procedimiento a seguir en caso de incumplimiento, el 52 ibídem precisa las sanciones a imponer en caso de desacato.</w:t>
      </w:r>
    </w:p>
    <w:p w:rsidR="006077E5" w:rsidRPr="00611AB5" w:rsidRDefault="006077E5" w:rsidP="00611AB5">
      <w:pPr>
        <w:spacing w:line="276" w:lineRule="auto"/>
        <w:ind w:right="51"/>
        <w:jc w:val="both"/>
        <w:rPr>
          <w:rFonts w:ascii="Arial" w:hAnsi="Arial" w:cs="Arial"/>
          <w:sz w:val="24"/>
          <w:szCs w:val="24"/>
          <w:lang w:val="es-CO"/>
        </w:rPr>
      </w:pPr>
    </w:p>
    <w:p w:rsidR="001E7D12" w:rsidRPr="00611AB5" w:rsidRDefault="006077E5" w:rsidP="00611AB5">
      <w:pPr>
        <w:pStyle w:val="Textoindependiente3"/>
        <w:spacing w:line="276" w:lineRule="auto"/>
        <w:rPr>
          <w:iCs w:val="0"/>
          <w:lang w:val="es-CO"/>
        </w:rPr>
      </w:pPr>
      <w:r w:rsidRPr="00611AB5">
        <w:rPr>
          <w:iCs w:val="0"/>
          <w:lang w:val="es-CO"/>
        </w:rPr>
        <w:t>Pero no se encuentra previsto en nuestra legislación que, incumplida una orden de tutela proferida como mecanismo definitivo, la jurisdicción ordinaria sea utilizada como una especie de ejecutor de las órdenes impartidas en aquella vía, pues ello, entre otras cosas, además de atentar contra la independencia judicial, podría conllevar la proliferación de decisiones contradictorias.</w:t>
      </w:r>
    </w:p>
    <w:p w:rsidR="006077E5" w:rsidRPr="00611AB5" w:rsidRDefault="006077E5" w:rsidP="00611AB5">
      <w:pPr>
        <w:pStyle w:val="Textoindependiente3"/>
        <w:spacing w:line="276" w:lineRule="auto"/>
      </w:pPr>
    </w:p>
    <w:p w:rsidR="006077E5" w:rsidRPr="00611AB5" w:rsidRDefault="006077E5" w:rsidP="00611AB5">
      <w:pPr>
        <w:suppressAutoHyphens/>
        <w:spacing w:line="276" w:lineRule="auto"/>
        <w:jc w:val="both"/>
        <w:rPr>
          <w:rFonts w:ascii="Arial" w:hAnsi="Arial" w:cs="Arial"/>
          <w:spacing w:val="-2"/>
          <w:sz w:val="24"/>
          <w:szCs w:val="24"/>
          <w:lang w:val="es-ES_tradnl"/>
        </w:rPr>
      </w:pPr>
      <w:r w:rsidRPr="00611AB5">
        <w:rPr>
          <w:rFonts w:ascii="Arial" w:hAnsi="Arial" w:cs="Arial"/>
          <w:spacing w:val="-2"/>
          <w:sz w:val="24"/>
          <w:szCs w:val="24"/>
          <w:lang w:val="es-ES_tradnl"/>
        </w:rPr>
        <w:t xml:space="preserve">Bajo esas circunstancias, resuelto con carácter definitivo el derecho pensional por la jurisdicción constitucional, esto es, sin contemplar la posibilidad de que la jurisdicción ordinaria estudiara el asunto y lo definiera según los parámetros jurisprudenciales vigentes, la orden allí dada es la que se debe cumplir, sin que esté previsto que los </w:t>
      </w:r>
      <w:r w:rsidRPr="00611AB5">
        <w:rPr>
          <w:rFonts w:ascii="Arial" w:hAnsi="Arial" w:cs="Arial"/>
          <w:spacing w:val="-2"/>
          <w:sz w:val="24"/>
          <w:szCs w:val="24"/>
          <w:lang w:val="es-ES_tradnl"/>
        </w:rPr>
        <w:lastRenderedPageBreak/>
        <w:t xml:space="preserve">jueces ordinarios tengan funciones de complementación, hagan las veces de revisores, ni mucho menos se conviertan en ejecutores de aquella, pues el reestudio de la orden constitucional está fuera de su órbita de competencia. De allí que, si Colpensiones cumplió o no lo ordenado, es un tema que resulta ajeno al presente debate, pues el incidente de desacato es el mecanismo previsto en la legislación para lograr la efectividad de aquella orden. </w:t>
      </w:r>
    </w:p>
    <w:p w:rsidR="006077E5" w:rsidRPr="00611AB5" w:rsidRDefault="006077E5" w:rsidP="00611AB5">
      <w:pPr>
        <w:suppressAutoHyphens/>
        <w:spacing w:line="276" w:lineRule="auto"/>
        <w:jc w:val="both"/>
        <w:rPr>
          <w:rFonts w:ascii="Arial" w:hAnsi="Arial" w:cs="Arial"/>
          <w:spacing w:val="-2"/>
          <w:sz w:val="24"/>
          <w:szCs w:val="24"/>
          <w:lang w:val="es-ES_tradnl"/>
        </w:rPr>
      </w:pPr>
    </w:p>
    <w:p w:rsidR="006077E5" w:rsidRPr="00611AB5" w:rsidRDefault="006077E5" w:rsidP="00611AB5">
      <w:pPr>
        <w:suppressAutoHyphens/>
        <w:spacing w:line="276" w:lineRule="auto"/>
        <w:jc w:val="both"/>
        <w:rPr>
          <w:rFonts w:ascii="Arial" w:hAnsi="Arial" w:cs="Arial"/>
          <w:spacing w:val="-2"/>
          <w:sz w:val="24"/>
          <w:szCs w:val="24"/>
          <w:lang w:val="es-ES_tradnl"/>
        </w:rPr>
      </w:pPr>
      <w:r w:rsidRPr="00611AB5">
        <w:rPr>
          <w:rFonts w:ascii="Arial" w:hAnsi="Arial" w:cs="Arial"/>
          <w:spacing w:val="-2"/>
          <w:sz w:val="24"/>
          <w:szCs w:val="24"/>
          <w:lang w:val="es-ES_tradnl"/>
        </w:rPr>
        <w:t xml:space="preserve">Es que no se concibe que, ante una congestión judicial como la que se está viviendo, un solo asunto ocupe simultáneamente a las jurisdicciones Constitucional y Ordinaria, generándoles incluso el riesgo permanente de producir decisiones opuestas. </w:t>
      </w:r>
    </w:p>
    <w:p w:rsidR="006077E5" w:rsidRPr="00611AB5" w:rsidRDefault="006077E5" w:rsidP="00611AB5">
      <w:pPr>
        <w:suppressAutoHyphens/>
        <w:spacing w:line="276" w:lineRule="auto"/>
        <w:jc w:val="both"/>
        <w:rPr>
          <w:rFonts w:ascii="Arial" w:hAnsi="Arial" w:cs="Arial"/>
          <w:spacing w:val="-2"/>
          <w:sz w:val="24"/>
          <w:szCs w:val="24"/>
          <w:lang w:val="es-ES_tradnl"/>
        </w:rPr>
      </w:pPr>
    </w:p>
    <w:p w:rsidR="006077E5" w:rsidRPr="00611AB5" w:rsidRDefault="006077E5" w:rsidP="00611AB5">
      <w:pPr>
        <w:pStyle w:val="Textoindependiente3"/>
        <w:spacing w:line="276" w:lineRule="auto"/>
        <w:rPr>
          <w:iCs w:val="0"/>
          <w:spacing w:val="-2"/>
          <w:lang w:val="es-ES_tradnl"/>
        </w:rPr>
      </w:pPr>
      <w:r w:rsidRPr="00611AB5">
        <w:rPr>
          <w:iCs w:val="0"/>
          <w:spacing w:val="-2"/>
          <w:lang w:val="es-ES_tradnl"/>
        </w:rPr>
        <w:t xml:space="preserve">Por eso, cuando los jueces constitucionales, vía tutela, se arrogan la facultad de resolver asuntos pensionales con carácter definitivo y no simplemente transitorio, la decisión que de ellos emane no es reformable ni </w:t>
      </w:r>
      <w:proofErr w:type="spellStart"/>
      <w:r w:rsidRPr="00611AB5">
        <w:rPr>
          <w:iCs w:val="0"/>
          <w:spacing w:val="-2"/>
          <w:lang w:val="es-ES_tradnl"/>
        </w:rPr>
        <w:t>complementable</w:t>
      </w:r>
      <w:proofErr w:type="spellEnd"/>
      <w:r w:rsidRPr="00611AB5">
        <w:rPr>
          <w:iCs w:val="0"/>
          <w:spacing w:val="-2"/>
          <w:lang w:val="es-ES_tradnl"/>
        </w:rPr>
        <w:t xml:space="preserve"> por la jurisdicción ordinaria.</w:t>
      </w:r>
    </w:p>
    <w:p w:rsidR="006077E5" w:rsidRPr="00611AB5" w:rsidRDefault="006077E5" w:rsidP="00611AB5">
      <w:pPr>
        <w:pStyle w:val="Textoindependiente3"/>
        <w:spacing w:line="276" w:lineRule="auto"/>
        <w:rPr>
          <w:iCs w:val="0"/>
          <w:spacing w:val="-2"/>
          <w:lang w:val="es-ES_tradnl"/>
        </w:rPr>
      </w:pPr>
    </w:p>
    <w:p w:rsidR="006077E5" w:rsidRPr="00611AB5" w:rsidRDefault="006077E5" w:rsidP="00611AB5">
      <w:pPr>
        <w:pStyle w:val="Textoindependiente3"/>
        <w:spacing w:line="276" w:lineRule="auto"/>
        <w:rPr>
          <w:iCs w:val="0"/>
          <w:spacing w:val="-2"/>
          <w:lang w:val="es-ES_tradnl"/>
        </w:rPr>
      </w:pPr>
      <w:r w:rsidRPr="00611AB5">
        <w:rPr>
          <w:iCs w:val="0"/>
          <w:spacing w:val="-2"/>
          <w:lang w:val="es-ES_tradnl"/>
        </w:rPr>
        <w:t>Esta fue la situación que se presentó en este asunto</w:t>
      </w:r>
      <w:r w:rsidR="006E058F">
        <w:rPr>
          <w:iCs w:val="0"/>
          <w:spacing w:val="-2"/>
          <w:lang w:val="es-ES_tradnl"/>
        </w:rPr>
        <w:t>,</w:t>
      </w:r>
      <w:r w:rsidR="003F46FD" w:rsidRPr="00611AB5">
        <w:rPr>
          <w:iCs w:val="0"/>
          <w:spacing w:val="-2"/>
          <w:lang w:val="es-ES_tradnl"/>
        </w:rPr>
        <w:t xml:space="preserve"> pues con la sentencia de tutela se ordenó a Colpensiones reconocer la pensión de invalidez y, como quiera que la entidad cumplió la orden sin el pago de retroactivo, ahora se acude a la jurisdicción ordinaria para que disponga su pago, cuando esta no tiene ya ninguna posibilidad de hacer el análisis que en realidad correspondía, referente a la existencia o inexistencia del derecho, por cuanto opera la cosa juzgada constitucional. </w:t>
      </w:r>
    </w:p>
    <w:p w:rsidR="003F46FD" w:rsidRPr="00611AB5" w:rsidRDefault="003F46FD" w:rsidP="00611AB5">
      <w:pPr>
        <w:pStyle w:val="Textoindependiente3"/>
        <w:spacing w:line="276" w:lineRule="auto"/>
        <w:rPr>
          <w:iCs w:val="0"/>
          <w:spacing w:val="-2"/>
          <w:lang w:val="es-ES_tradnl"/>
        </w:rPr>
      </w:pPr>
    </w:p>
    <w:p w:rsidR="003F46FD" w:rsidRPr="00611AB5" w:rsidRDefault="003F46FD" w:rsidP="00611AB5">
      <w:pPr>
        <w:pStyle w:val="Textoindependiente3"/>
        <w:spacing w:line="276" w:lineRule="auto"/>
        <w:rPr>
          <w:iCs w:val="0"/>
          <w:spacing w:val="-2"/>
          <w:lang w:val="es-ES_tradnl"/>
        </w:rPr>
      </w:pPr>
      <w:r w:rsidRPr="00611AB5">
        <w:rPr>
          <w:iCs w:val="0"/>
          <w:spacing w:val="-2"/>
          <w:lang w:val="es-ES_tradnl"/>
        </w:rPr>
        <w:t>Este tipo de decisiones desdice del proceso ordinario, desconoce el juez natural y de alguna manera patrocina, en temas tan trascendentales para la sociedad, como lo son los referentes a derechos pensionales, la cultura de restringir a ciertas entidades su legítimo derecho de defensa</w:t>
      </w:r>
      <w:r w:rsidR="00095EC4" w:rsidRPr="00611AB5">
        <w:rPr>
          <w:iCs w:val="0"/>
          <w:spacing w:val="-2"/>
          <w:lang w:val="es-ES_tradnl"/>
        </w:rPr>
        <w:t>.</w:t>
      </w:r>
    </w:p>
    <w:p w:rsidR="00095EC4" w:rsidRPr="00611AB5" w:rsidRDefault="00095EC4" w:rsidP="00611AB5">
      <w:pPr>
        <w:pStyle w:val="Textoindependiente3"/>
        <w:spacing w:line="276" w:lineRule="auto"/>
        <w:rPr>
          <w:iCs w:val="0"/>
          <w:spacing w:val="-2"/>
          <w:lang w:val="es-ES_tradnl"/>
        </w:rPr>
      </w:pPr>
    </w:p>
    <w:p w:rsidR="00095EC4" w:rsidRPr="00611AB5" w:rsidRDefault="00095EC4" w:rsidP="00611AB5">
      <w:pPr>
        <w:pStyle w:val="Textoindependiente3"/>
        <w:spacing w:line="276" w:lineRule="auto"/>
        <w:rPr>
          <w:iCs w:val="0"/>
          <w:spacing w:val="-2"/>
          <w:lang w:val="es-ES_tradnl"/>
        </w:rPr>
      </w:pPr>
      <w:r w:rsidRPr="00611AB5">
        <w:rPr>
          <w:iCs w:val="0"/>
          <w:spacing w:val="-2"/>
          <w:lang w:val="es-ES_tradnl"/>
        </w:rPr>
        <w:t>No me cabe duda que si existía un retroactivo por reclamar, lo que correspondía era iniciar un incidente de desacato para el cumplimiento de la sentencia que dispuso el reconocimiento y pago de la pensión.</w:t>
      </w:r>
    </w:p>
    <w:p w:rsidR="00095EC4" w:rsidRPr="00611AB5" w:rsidRDefault="00095EC4" w:rsidP="00611AB5">
      <w:pPr>
        <w:pStyle w:val="Textoindependiente3"/>
        <w:spacing w:line="276" w:lineRule="auto"/>
        <w:rPr>
          <w:iCs w:val="0"/>
          <w:spacing w:val="-2"/>
          <w:lang w:val="es-ES_tradnl"/>
        </w:rPr>
      </w:pPr>
    </w:p>
    <w:p w:rsidR="00095EC4" w:rsidRPr="00611AB5" w:rsidRDefault="00095EC4" w:rsidP="00611AB5">
      <w:pPr>
        <w:pStyle w:val="Textoindependiente3"/>
        <w:spacing w:line="276" w:lineRule="auto"/>
        <w:rPr>
          <w:iCs w:val="0"/>
          <w:spacing w:val="-2"/>
          <w:lang w:val="es-ES_tradnl"/>
        </w:rPr>
      </w:pPr>
      <w:r w:rsidRPr="00611AB5">
        <w:rPr>
          <w:iCs w:val="0"/>
          <w:spacing w:val="-2"/>
          <w:lang w:val="es-ES_tradnl"/>
        </w:rPr>
        <w:t>Insisto, los jueces ordinarios no son ejecutores de las decisiones de la jurisdicción constitucional.</w:t>
      </w:r>
    </w:p>
    <w:p w:rsidR="00095EC4" w:rsidRPr="00611AB5" w:rsidRDefault="00095EC4" w:rsidP="00611AB5">
      <w:pPr>
        <w:pStyle w:val="Textoindependiente3"/>
        <w:spacing w:line="276" w:lineRule="auto"/>
        <w:rPr>
          <w:iCs w:val="0"/>
          <w:spacing w:val="-2"/>
          <w:lang w:val="es-ES_tradnl"/>
        </w:rPr>
      </w:pPr>
    </w:p>
    <w:p w:rsidR="00095EC4" w:rsidRPr="00611AB5" w:rsidRDefault="00095EC4" w:rsidP="00611AB5">
      <w:pPr>
        <w:pStyle w:val="Textoindependiente3"/>
        <w:spacing w:line="276" w:lineRule="auto"/>
        <w:rPr>
          <w:iCs w:val="0"/>
          <w:spacing w:val="-2"/>
          <w:lang w:val="es-ES_tradnl"/>
        </w:rPr>
      </w:pPr>
      <w:r w:rsidRPr="00611AB5">
        <w:rPr>
          <w:iCs w:val="0"/>
          <w:spacing w:val="-2"/>
          <w:lang w:val="es-ES_tradnl"/>
        </w:rPr>
        <w:t>Dejo así salvado mi voto.</w:t>
      </w:r>
    </w:p>
    <w:p w:rsidR="006077E5" w:rsidRPr="00611AB5" w:rsidRDefault="006077E5" w:rsidP="00611AB5">
      <w:pPr>
        <w:pStyle w:val="Textoindependiente3"/>
        <w:spacing w:line="276" w:lineRule="auto"/>
      </w:pPr>
    </w:p>
    <w:p w:rsidR="006077E5" w:rsidRDefault="006077E5" w:rsidP="00611AB5">
      <w:pPr>
        <w:pStyle w:val="Textoindependiente3"/>
        <w:spacing w:line="276" w:lineRule="auto"/>
      </w:pPr>
    </w:p>
    <w:p w:rsidR="006E058F" w:rsidRPr="00611AB5" w:rsidRDefault="006E058F" w:rsidP="00611AB5">
      <w:pPr>
        <w:pStyle w:val="Textoindependiente3"/>
        <w:spacing w:line="276" w:lineRule="auto"/>
      </w:pPr>
    </w:p>
    <w:p w:rsidR="00815D3A" w:rsidRPr="00611AB5" w:rsidRDefault="00815D3A" w:rsidP="00611AB5">
      <w:pPr>
        <w:tabs>
          <w:tab w:val="left" w:pos="7185"/>
        </w:tabs>
        <w:spacing w:line="276" w:lineRule="auto"/>
        <w:jc w:val="both"/>
        <w:rPr>
          <w:rFonts w:ascii="Arial" w:hAnsi="Arial" w:cs="Arial"/>
          <w:iCs/>
          <w:sz w:val="24"/>
          <w:szCs w:val="24"/>
        </w:rPr>
      </w:pPr>
    </w:p>
    <w:p w:rsidR="00F93C8E" w:rsidRPr="00611AB5" w:rsidRDefault="00F93C8E" w:rsidP="00611AB5">
      <w:pPr>
        <w:spacing w:line="276" w:lineRule="auto"/>
        <w:jc w:val="center"/>
        <w:rPr>
          <w:rFonts w:ascii="Arial" w:hAnsi="Arial" w:cs="Arial"/>
          <w:b/>
          <w:sz w:val="24"/>
          <w:szCs w:val="24"/>
        </w:rPr>
      </w:pPr>
      <w:r w:rsidRPr="00611AB5">
        <w:rPr>
          <w:rFonts w:ascii="Arial" w:hAnsi="Arial" w:cs="Arial"/>
          <w:b/>
          <w:sz w:val="24"/>
          <w:szCs w:val="24"/>
        </w:rPr>
        <w:t>JULIO CÉSAR SALAZAR MUÑOZ</w:t>
      </w:r>
    </w:p>
    <w:p w:rsidR="00F93C8E" w:rsidRPr="00611AB5" w:rsidRDefault="00F93C8E" w:rsidP="00611AB5">
      <w:pPr>
        <w:spacing w:line="276" w:lineRule="auto"/>
        <w:jc w:val="center"/>
        <w:rPr>
          <w:rFonts w:ascii="Arial" w:hAnsi="Arial" w:cs="Arial"/>
          <w:sz w:val="24"/>
          <w:szCs w:val="24"/>
        </w:rPr>
      </w:pPr>
      <w:r w:rsidRPr="00611AB5">
        <w:rPr>
          <w:rFonts w:ascii="Arial" w:hAnsi="Arial" w:cs="Arial"/>
          <w:sz w:val="24"/>
          <w:szCs w:val="24"/>
        </w:rPr>
        <w:t>Magistrado</w:t>
      </w:r>
    </w:p>
    <w:sectPr w:rsidR="00F93C8E" w:rsidRPr="00611AB5" w:rsidSect="00611AB5">
      <w:headerReference w:type="default" r:id="rId10"/>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691" w:rsidRDefault="00136691">
      <w:r>
        <w:separator/>
      </w:r>
    </w:p>
  </w:endnote>
  <w:endnote w:type="continuationSeparator" w:id="0">
    <w:p w:rsidR="00136691" w:rsidRDefault="0013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691" w:rsidRDefault="00136691">
      <w:r>
        <w:separator/>
      </w:r>
    </w:p>
  </w:footnote>
  <w:footnote w:type="continuationSeparator" w:id="0">
    <w:p w:rsidR="00136691" w:rsidRDefault="0013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C8E" w:rsidRDefault="00F93C8E">
    <w:pPr>
      <w:tabs>
        <w:tab w:val="left" w:pos="-720"/>
      </w:tabs>
      <w:suppressAutoHyphens/>
      <w:jc w:val="both"/>
      <w:rPr>
        <w:rFonts w:ascii="Arial" w:hAnsi="Arial"/>
        <w:b/>
        <w:spacing w:val="-3"/>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2E"/>
    <w:rsid w:val="00012266"/>
    <w:rsid w:val="00040B7C"/>
    <w:rsid w:val="00043B07"/>
    <w:rsid w:val="00095EC4"/>
    <w:rsid w:val="00097493"/>
    <w:rsid w:val="000A4F95"/>
    <w:rsid w:val="000C2D3C"/>
    <w:rsid w:val="00136691"/>
    <w:rsid w:val="001E7D12"/>
    <w:rsid w:val="00213C75"/>
    <w:rsid w:val="0023751B"/>
    <w:rsid w:val="0024083A"/>
    <w:rsid w:val="002B7F85"/>
    <w:rsid w:val="002D4FB4"/>
    <w:rsid w:val="002E2869"/>
    <w:rsid w:val="003269FC"/>
    <w:rsid w:val="0033341D"/>
    <w:rsid w:val="00377A7D"/>
    <w:rsid w:val="003C6690"/>
    <w:rsid w:val="003D16E8"/>
    <w:rsid w:val="003F46FD"/>
    <w:rsid w:val="0044582C"/>
    <w:rsid w:val="00457920"/>
    <w:rsid w:val="00460562"/>
    <w:rsid w:val="004A123B"/>
    <w:rsid w:val="004C7987"/>
    <w:rsid w:val="004D71B2"/>
    <w:rsid w:val="004E2551"/>
    <w:rsid w:val="004E2E48"/>
    <w:rsid w:val="00561D44"/>
    <w:rsid w:val="005941FB"/>
    <w:rsid w:val="005C3200"/>
    <w:rsid w:val="005E66EB"/>
    <w:rsid w:val="00601230"/>
    <w:rsid w:val="006077E5"/>
    <w:rsid w:val="00611AB5"/>
    <w:rsid w:val="006317AA"/>
    <w:rsid w:val="00633013"/>
    <w:rsid w:val="00681C62"/>
    <w:rsid w:val="006D3DE4"/>
    <w:rsid w:val="006E058F"/>
    <w:rsid w:val="006E1A05"/>
    <w:rsid w:val="007222A6"/>
    <w:rsid w:val="007B18B2"/>
    <w:rsid w:val="007F45EC"/>
    <w:rsid w:val="00815D3A"/>
    <w:rsid w:val="00820095"/>
    <w:rsid w:val="00865D57"/>
    <w:rsid w:val="008C1CCF"/>
    <w:rsid w:val="00951131"/>
    <w:rsid w:val="00961FE9"/>
    <w:rsid w:val="009648B4"/>
    <w:rsid w:val="009706A9"/>
    <w:rsid w:val="009A6D7D"/>
    <w:rsid w:val="00A418C3"/>
    <w:rsid w:val="00A54E72"/>
    <w:rsid w:val="00A60BF5"/>
    <w:rsid w:val="00A85604"/>
    <w:rsid w:val="00AA54E1"/>
    <w:rsid w:val="00AD1098"/>
    <w:rsid w:val="00AE62C6"/>
    <w:rsid w:val="00B23175"/>
    <w:rsid w:val="00B823F6"/>
    <w:rsid w:val="00BB7A85"/>
    <w:rsid w:val="00BC2998"/>
    <w:rsid w:val="00BC7D37"/>
    <w:rsid w:val="00BE3E41"/>
    <w:rsid w:val="00C4490E"/>
    <w:rsid w:val="00C46C95"/>
    <w:rsid w:val="00C65A99"/>
    <w:rsid w:val="00C857D6"/>
    <w:rsid w:val="00D6498D"/>
    <w:rsid w:val="00D71A6D"/>
    <w:rsid w:val="00D87D30"/>
    <w:rsid w:val="00D94D3E"/>
    <w:rsid w:val="00DA18A1"/>
    <w:rsid w:val="00DD60DF"/>
    <w:rsid w:val="00E712DB"/>
    <w:rsid w:val="00E75A2E"/>
    <w:rsid w:val="00ED6E34"/>
    <w:rsid w:val="00F019D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5DB8"/>
  <w15:docId w15:val="{8EE76AE1-5BAA-4736-A531-BAE87C9B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8A1"/>
  </w:style>
  <w:style w:type="paragraph" w:styleId="Ttulo1">
    <w:name w:val="heading 1"/>
    <w:basedOn w:val="Normal"/>
    <w:next w:val="Normal"/>
    <w:qFormat/>
    <w:rsid w:val="00DA18A1"/>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DA18A1"/>
    <w:pPr>
      <w:keepNext/>
      <w:spacing w:line="360" w:lineRule="auto"/>
      <w:jc w:val="both"/>
      <w:outlineLvl w:val="1"/>
    </w:pPr>
    <w:rPr>
      <w:rFonts w:ascii="Arial" w:hAnsi="Arial" w:cs="Arial"/>
      <w:sz w:val="24"/>
    </w:rPr>
  </w:style>
  <w:style w:type="paragraph" w:styleId="Ttulo3">
    <w:name w:val="heading 3"/>
    <w:basedOn w:val="Normal"/>
    <w:next w:val="Normal"/>
    <w:qFormat/>
    <w:rsid w:val="00DA18A1"/>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DA18A1"/>
    <w:pPr>
      <w:tabs>
        <w:tab w:val="center" w:pos="4252"/>
        <w:tab w:val="right" w:pos="8504"/>
      </w:tabs>
    </w:pPr>
  </w:style>
  <w:style w:type="paragraph" w:styleId="Piedepgina">
    <w:name w:val="footer"/>
    <w:basedOn w:val="Normal"/>
    <w:semiHidden/>
    <w:rsid w:val="00DA18A1"/>
    <w:pPr>
      <w:tabs>
        <w:tab w:val="center" w:pos="4252"/>
        <w:tab w:val="right" w:pos="8504"/>
      </w:tabs>
    </w:pPr>
  </w:style>
  <w:style w:type="paragraph" w:styleId="Textodeglobo">
    <w:name w:val="Balloon Text"/>
    <w:basedOn w:val="Normal"/>
    <w:semiHidden/>
    <w:rsid w:val="00DA18A1"/>
    <w:rPr>
      <w:rFonts w:ascii="Tahoma" w:hAnsi="Tahoma" w:cs="Tahoma"/>
      <w:sz w:val="16"/>
      <w:szCs w:val="16"/>
    </w:rPr>
  </w:style>
  <w:style w:type="paragraph" w:styleId="Textoindependiente">
    <w:name w:val="Body Text"/>
    <w:basedOn w:val="Normal"/>
    <w:semiHidden/>
    <w:rsid w:val="00DA18A1"/>
    <w:pPr>
      <w:spacing w:line="360" w:lineRule="auto"/>
      <w:jc w:val="both"/>
    </w:pPr>
    <w:rPr>
      <w:rFonts w:ascii="Arial" w:hAnsi="Arial" w:cs="Arial"/>
      <w:iCs/>
      <w:sz w:val="26"/>
      <w:szCs w:val="26"/>
    </w:rPr>
  </w:style>
  <w:style w:type="paragraph" w:styleId="Textoindependiente2">
    <w:name w:val="Body Text 2"/>
    <w:basedOn w:val="Normal"/>
    <w:semiHidden/>
    <w:rsid w:val="00DA18A1"/>
    <w:pPr>
      <w:spacing w:line="360" w:lineRule="auto"/>
      <w:jc w:val="both"/>
    </w:pPr>
    <w:rPr>
      <w:rFonts w:ascii="Arial" w:hAnsi="Arial" w:cs="Arial"/>
      <w:iCs/>
      <w:sz w:val="22"/>
      <w:szCs w:val="26"/>
    </w:rPr>
  </w:style>
  <w:style w:type="paragraph" w:styleId="Textoindependiente3">
    <w:name w:val="Body Text 3"/>
    <w:basedOn w:val="Normal"/>
    <w:semiHidden/>
    <w:rsid w:val="00DA18A1"/>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DA18A1"/>
  </w:style>
  <w:style w:type="character" w:styleId="Hipervnculo">
    <w:name w:val="Hyperlink"/>
    <w:semiHidden/>
    <w:rsid w:val="00DA18A1"/>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basedOn w:val="Fuentedeprrafopredeter"/>
    <w:uiPriority w:val="99"/>
    <w:semiHidden/>
    <w:unhideWhenUsed/>
    <w:rsid w:val="00A60BF5"/>
    <w:rPr>
      <w:color w:val="605E5C"/>
      <w:shd w:val="clear" w:color="auto" w:fill="E1DFDD"/>
    </w:rPr>
  </w:style>
  <w:style w:type="character" w:customStyle="1" w:styleId="CarCar1">
    <w:name w:val="Car Car1"/>
    <w:rsid w:val="006077E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95AC9-9BD6-41BD-B4B9-8AD742220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2</cp:revision>
  <cp:lastPrinted>2016-04-18T20:28:00Z</cp:lastPrinted>
  <dcterms:created xsi:type="dcterms:W3CDTF">2022-07-29T22:02:00Z</dcterms:created>
  <dcterms:modified xsi:type="dcterms:W3CDTF">2022-07-29T22:02:00Z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