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5A500" w14:textId="711817A1" w:rsidR="00156701" w:rsidRPr="00156701" w:rsidRDefault="00156701" w:rsidP="00156701">
      <w:pPr>
        <w:pStyle w:val="Sinespaciado"/>
        <w:jc w:val="both"/>
        <w:rPr>
          <w:rFonts w:ascii="Tahoma" w:eastAsia="Calibri" w:hAnsi="Tahoma" w:cs="Tahoma"/>
          <w:color w:val="000000" w:themeColor="text1"/>
          <w:sz w:val="18"/>
          <w:szCs w:val="18"/>
          <w:lang w:eastAsia="en-US"/>
        </w:rPr>
      </w:pPr>
      <w:r w:rsidRPr="00156701">
        <w:rPr>
          <w:rFonts w:ascii="Tahoma" w:hAnsi="Tahoma" w:cs="Tahoma"/>
          <w:b/>
          <w:color w:val="000000" w:themeColor="text1"/>
          <w:sz w:val="18"/>
          <w:szCs w:val="18"/>
        </w:rPr>
        <w:t>Radicación No</w:t>
      </w:r>
      <w:r w:rsidRPr="00156701">
        <w:rPr>
          <w:rFonts w:ascii="Tahoma" w:hAnsi="Tahoma" w:cs="Tahoma"/>
          <w:color w:val="000000" w:themeColor="text1"/>
          <w:sz w:val="18"/>
          <w:szCs w:val="18"/>
        </w:rPr>
        <w:t xml:space="preserve">.: </w:t>
      </w:r>
      <w:r w:rsidRPr="00156701">
        <w:rPr>
          <w:rFonts w:ascii="Tahoma" w:hAnsi="Tahoma" w:cs="Tahoma"/>
          <w:sz w:val="18"/>
          <w:szCs w:val="18"/>
        </w:rPr>
        <w:t>66001-31-05-004-2020-00329-01</w:t>
      </w:r>
    </w:p>
    <w:p w14:paraId="4947F240" w14:textId="44A59C0B" w:rsidR="00156701" w:rsidRPr="00156701" w:rsidRDefault="00156701" w:rsidP="00156701">
      <w:pPr>
        <w:jc w:val="both"/>
        <w:rPr>
          <w:rFonts w:ascii="Tahoma" w:hAnsi="Tahoma" w:cs="Tahoma"/>
          <w:color w:val="000000" w:themeColor="text1"/>
          <w:sz w:val="18"/>
          <w:szCs w:val="18"/>
        </w:rPr>
      </w:pPr>
      <w:r w:rsidRPr="00156701">
        <w:rPr>
          <w:rFonts w:ascii="Tahoma" w:hAnsi="Tahoma" w:cs="Tahoma"/>
          <w:b/>
          <w:bCs/>
          <w:color w:val="000000" w:themeColor="text1"/>
          <w:sz w:val="18"/>
          <w:szCs w:val="18"/>
        </w:rPr>
        <w:t>Demandante:</w:t>
      </w:r>
      <w:r w:rsidRPr="00156701">
        <w:rPr>
          <w:rFonts w:ascii="Tahoma" w:hAnsi="Tahoma" w:cs="Tahoma"/>
          <w:bCs/>
          <w:iCs/>
          <w:color w:val="000000" w:themeColor="text1"/>
          <w:sz w:val="18"/>
          <w:szCs w:val="18"/>
        </w:rPr>
        <w:t xml:space="preserve"> </w:t>
      </w:r>
      <w:r w:rsidRPr="00156701">
        <w:rPr>
          <w:rFonts w:ascii="Tahoma" w:hAnsi="Tahoma" w:cs="Tahoma"/>
          <w:sz w:val="18"/>
          <w:szCs w:val="18"/>
        </w:rPr>
        <w:t>Carlos Alberto Saldarriaga Martínez</w:t>
      </w:r>
    </w:p>
    <w:p w14:paraId="682567D3" w14:textId="6313E73D" w:rsidR="00156701" w:rsidRPr="00156701" w:rsidRDefault="00156701" w:rsidP="00156701">
      <w:pPr>
        <w:jc w:val="both"/>
        <w:rPr>
          <w:rFonts w:ascii="Tahoma" w:hAnsi="Tahoma" w:cs="Tahoma"/>
          <w:color w:val="000000" w:themeColor="text1"/>
          <w:sz w:val="18"/>
          <w:szCs w:val="18"/>
        </w:rPr>
      </w:pPr>
      <w:r w:rsidRPr="00156701">
        <w:rPr>
          <w:rFonts w:ascii="Tahoma" w:eastAsia="Calibri" w:hAnsi="Tahoma" w:cs="Tahoma"/>
          <w:b/>
          <w:bCs/>
          <w:color w:val="000000" w:themeColor="text1"/>
          <w:sz w:val="18"/>
          <w:szCs w:val="18"/>
          <w:lang w:eastAsia="en-US"/>
        </w:rPr>
        <w:t>Demandada</w:t>
      </w:r>
      <w:r w:rsidRPr="00156701">
        <w:rPr>
          <w:rFonts w:ascii="Tahoma" w:hAnsi="Tahoma" w:cs="Tahoma"/>
          <w:color w:val="000000" w:themeColor="text1"/>
          <w:sz w:val="18"/>
          <w:szCs w:val="18"/>
        </w:rPr>
        <w:t xml:space="preserve">: </w:t>
      </w:r>
      <w:r w:rsidRPr="00156701">
        <w:rPr>
          <w:rFonts w:ascii="Tahoma" w:hAnsi="Tahoma" w:cs="Tahoma"/>
          <w:sz w:val="18"/>
          <w:szCs w:val="18"/>
        </w:rPr>
        <w:t>Colpensiones y Protección S.A.</w:t>
      </w:r>
    </w:p>
    <w:p w14:paraId="7E0CFD0A" w14:textId="62A8B701" w:rsidR="00156701" w:rsidRPr="00156701" w:rsidRDefault="00156701" w:rsidP="00156701">
      <w:pPr>
        <w:autoSpaceDE w:val="0"/>
        <w:autoSpaceDN w:val="0"/>
        <w:adjustRightInd w:val="0"/>
        <w:rPr>
          <w:rFonts w:ascii="Tahoma" w:hAnsi="Tahoma" w:cs="Tahoma"/>
          <w:color w:val="000000" w:themeColor="text1"/>
          <w:sz w:val="18"/>
          <w:szCs w:val="18"/>
        </w:rPr>
      </w:pPr>
      <w:r w:rsidRPr="00156701">
        <w:rPr>
          <w:rFonts w:ascii="Tahoma" w:hAnsi="Tahoma" w:cs="Tahoma"/>
          <w:b/>
          <w:bCs/>
          <w:color w:val="000000" w:themeColor="text1"/>
          <w:sz w:val="18"/>
          <w:szCs w:val="18"/>
        </w:rPr>
        <w:t xml:space="preserve">Magistrada ponente: </w:t>
      </w:r>
      <w:r w:rsidRPr="00156701">
        <w:rPr>
          <w:rFonts w:ascii="Tahoma" w:hAnsi="Tahoma" w:cs="Tahoma"/>
          <w:color w:val="000000" w:themeColor="text1"/>
          <w:sz w:val="18"/>
          <w:szCs w:val="18"/>
        </w:rPr>
        <w:t xml:space="preserve">Dra. Olga Lucía Hoyos </w:t>
      </w:r>
      <w:r w:rsidR="00A07571" w:rsidRPr="00156701">
        <w:rPr>
          <w:rFonts w:ascii="Tahoma" w:hAnsi="Tahoma" w:cs="Tahoma"/>
          <w:color w:val="000000" w:themeColor="text1"/>
          <w:sz w:val="18"/>
          <w:szCs w:val="18"/>
        </w:rPr>
        <w:t>Sepúlveda</w:t>
      </w:r>
    </w:p>
    <w:p w14:paraId="53545E58" w14:textId="77777777" w:rsidR="00156701" w:rsidRPr="00156701" w:rsidRDefault="00156701" w:rsidP="00156701">
      <w:pPr>
        <w:pStyle w:val="Ttulo"/>
        <w:spacing w:line="240" w:lineRule="auto"/>
        <w:ind w:left="2805" w:hanging="2805"/>
        <w:jc w:val="both"/>
        <w:rPr>
          <w:rFonts w:ascii="Tahoma" w:hAnsi="Tahoma" w:cs="Tahoma"/>
          <w:b w:val="0"/>
          <w:color w:val="000000" w:themeColor="text1"/>
          <w:sz w:val="18"/>
          <w:szCs w:val="18"/>
        </w:rPr>
      </w:pPr>
      <w:r w:rsidRPr="00156701">
        <w:rPr>
          <w:rFonts w:ascii="Tahoma" w:hAnsi="Tahoma" w:cs="Tahoma"/>
          <w:color w:val="000000" w:themeColor="text1"/>
          <w:sz w:val="18"/>
          <w:szCs w:val="18"/>
        </w:rPr>
        <w:t xml:space="preserve">Magistrada que salva voto: </w:t>
      </w:r>
      <w:r w:rsidRPr="00156701">
        <w:rPr>
          <w:rFonts w:ascii="Tahoma" w:hAnsi="Tahoma" w:cs="Tahoma"/>
          <w:b w:val="0"/>
          <w:color w:val="000000" w:themeColor="text1"/>
          <w:sz w:val="18"/>
          <w:szCs w:val="18"/>
        </w:rPr>
        <w:t>Dra. Ana Lucía Caicedo Calderón</w:t>
      </w:r>
    </w:p>
    <w:p w14:paraId="66B43D98" w14:textId="3B1CBF33" w:rsidR="00156701" w:rsidRDefault="00156701" w:rsidP="00156701">
      <w:pPr>
        <w:pStyle w:val="Ttulo"/>
        <w:spacing w:line="240" w:lineRule="auto"/>
        <w:ind w:left="2805" w:hanging="2805"/>
        <w:jc w:val="both"/>
        <w:rPr>
          <w:rFonts w:ascii="Tahoma" w:hAnsi="Tahoma" w:cs="Tahoma"/>
          <w:color w:val="000000" w:themeColor="text1"/>
          <w:lang w:eastAsia="es-MX"/>
        </w:rPr>
      </w:pPr>
    </w:p>
    <w:p w14:paraId="58DFCDE2" w14:textId="1CEA4673" w:rsidR="003578FF" w:rsidRDefault="003578FF" w:rsidP="00156701">
      <w:pPr>
        <w:pStyle w:val="Ttulo"/>
        <w:spacing w:line="240" w:lineRule="auto"/>
        <w:ind w:left="2805" w:hanging="2805"/>
        <w:jc w:val="both"/>
        <w:rPr>
          <w:rFonts w:ascii="Tahoma" w:hAnsi="Tahoma" w:cs="Tahoma"/>
          <w:color w:val="000000" w:themeColor="text1"/>
          <w:lang w:eastAsia="es-MX"/>
        </w:rPr>
      </w:pPr>
    </w:p>
    <w:p w14:paraId="629D5A1B" w14:textId="77777777" w:rsidR="003578FF" w:rsidRPr="002057DD" w:rsidRDefault="003578FF" w:rsidP="00156701">
      <w:pPr>
        <w:pStyle w:val="Ttulo"/>
        <w:spacing w:line="240" w:lineRule="auto"/>
        <w:ind w:left="2805" w:hanging="2805"/>
        <w:jc w:val="both"/>
        <w:rPr>
          <w:rFonts w:ascii="Tahoma" w:hAnsi="Tahoma" w:cs="Tahoma"/>
          <w:color w:val="000000" w:themeColor="text1"/>
          <w:lang w:eastAsia="es-MX"/>
        </w:rPr>
      </w:pPr>
    </w:p>
    <w:p w14:paraId="2BABD214" w14:textId="77777777" w:rsidR="00156701" w:rsidRPr="002057DD" w:rsidRDefault="00156701" w:rsidP="00156701">
      <w:pPr>
        <w:pStyle w:val="paragraph"/>
        <w:spacing w:before="0" w:beforeAutospacing="0" w:after="0" w:afterAutospacing="0"/>
        <w:jc w:val="both"/>
        <w:textAlignment w:val="baseline"/>
        <w:rPr>
          <w:rFonts w:ascii="Tahoma" w:hAnsi="Tahoma" w:cs="Tahoma"/>
          <w:color w:val="000000" w:themeColor="text1"/>
        </w:rPr>
      </w:pPr>
      <w:r w:rsidRPr="002057DD">
        <w:rPr>
          <w:rFonts w:ascii="Tahoma" w:hAnsi="Tahoma" w:cs="Tahoma"/>
          <w:color w:val="000000" w:themeColor="text1"/>
          <w:lang w:eastAsia="es-MX"/>
        </w:rPr>
        <w:tab/>
      </w:r>
    </w:p>
    <w:p w14:paraId="178287F4" w14:textId="0E1D47BD" w:rsidR="00156701" w:rsidRDefault="00156701" w:rsidP="003578FF">
      <w:pPr>
        <w:pStyle w:val="paragraph"/>
        <w:spacing w:before="0" w:beforeAutospacing="0" w:after="0" w:afterAutospacing="0" w:line="360" w:lineRule="auto"/>
        <w:jc w:val="center"/>
        <w:textAlignment w:val="baseline"/>
        <w:rPr>
          <w:rFonts w:ascii="Tahoma" w:hAnsi="Tahoma" w:cs="Tahoma"/>
          <w:b/>
          <w:bCs/>
          <w:color w:val="000000" w:themeColor="text1"/>
        </w:rPr>
      </w:pPr>
      <w:r w:rsidRPr="002057DD">
        <w:rPr>
          <w:rStyle w:val="normaltextrun"/>
          <w:rFonts w:ascii="Tahoma" w:hAnsi="Tahoma" w:cs="Tahoma"/>
          <w:b/>
          <w:bCs/>
          <w:color w:val="000000" w:themeColor="text1"/>
          <w:u w:val="single"/>
        </w:rPr>
        <w:t>SALVAMENTO DE VOTO</w:t>
      </w:r>
    </w:p>
    <w:p w14:paraId="1455D017" w14:textId="77777777" w:rsidR="003578FF" w:rsidRPr="003578FF" w:rsidRDefault="003578FF" w:rsidP="00FA7E9B">
      <w:pPr>
        <w:pStyle w:val="paragraph"/>
        <w:spacing w:before="0" w:beforeAutospacing="0" w:after="0" w:afterAutospacing="0" w:line="360" w:lineRule="auto"/>
        <w:jc w:val="center"/>
        <w:textAlignment w:val="baseline"/>
        <w:rPr>
          <w:rFonts w:ascii="Tahoma" w:hAnsi="Tahoma" w:cs="Tahoma"/>
          <w:b/>
          <w:bCs/>
          <w:color w:val="000000" w:themeColor="text1"/>
        </w:rPr>
      </w:pPr>
    </w:p>
    <w:p w14:paraId="05A66B98" w14:textId="2EEB3269" w:rsidR="00156701" w:rsidRDefault="00156701" w:rsidP="00FA7E9B">
      <w:pPr>
        <w:pStyle w:val="paragraph"/>
        <w:spacing w:before="0" w:beforeAutospacing="0" w:after="0" w:afterAutospacing="0" w:line="360" w:lineRule="auto"/>
        <w:ind w:firstLine="705"/>
        <w:jc w:val="both"/>
        <w:textAlignment w:val="baseline"/>
        <w:rPr>
          <w:rStyle w:val="normaltextrun"/>
          <w:rFonts w:ascii="Tahoma" w:hAnsi="Tahoma" w:cs="Tahoma"/>
          <w:color w:val="000000" w:themeColor="text1"/>
        </w:rPr>
      </w:pPr>
      <w:r w:rsidRPr="00156701">
        <w:rPr>
          <w:rStyle w:val="normaltextrun"/>
          <w:rFonts w:ascii="Tahoma" w:hAnsi="Tahoma" w:cs="Tahoma"/>
          <w:color w:val="000000" w:themeColor="text1"/>
        </w:rPr>
        <w:t>Con mi acostumbrado respeto, manifiesto mi inconformidad frente a la providencia mayoritaria por las siguientes razones:</w:t>
      </w:r>
    </w:p>
    <w:p w14:paraId="0FF9AFE1" w14:textId="77777777" w:rsidR="00156701" w:rsidRPr="00156701" w:rsidRDefault="00156701" w:rsidP="00FA7E9B">
      <w:pPr>
        <w:pStyle w:val="paragraph"/>
        <w:spacing w:before="0" w:beforeAutospacing="0" w:after="0" w:afterAutospacing="0" w:line="360" w:lineRule="auto"/>
        <w:ind w:firstLine="705"/>
        <w:jc w:val="both"/>
        <w:textAlignment w:val="baseline"/>
        <w:rPr>
          <w:rStyle w:val="normaltextrun"/>
          <w:rFonts w:ascii="Tahoma" w:hAnsi="Tahoma" w:cs="Tahoma"/>
          <w:color w:val="000000" w:themeColor="text1"/>
        </w:rPr>
      </w:pPr>
    </w:p>
    <w:p w14:paraId="66448B15" w14:textId="77777777" w:rsidR="00D25C76" w:rsidRDefault="00156701" w:rsidP="00FA7E9B">
      <w:pPr>
        <w:pStyle w:val="Textocomentario"/>
        <w:spacing w:line="360" w:lineRule="auto"/>
        <w:ind w:firstLine="709"/>
        <w:contextualSpacing/>
        <w:jc w:val="both"/>
        <w:rPr>
          <w:rFonts w:ascii="Tahoma" w:hAnsi="Tahoma" w:cs="Tahoma"/>
          <w:sz w:val="24"/>
          <w:szCs w:val="24"/>
        </w:rPr>
      </w:pPr>
      <w:r w:rsidRPr="00156701">
        <w:rPr>
          <w:rFonts w:ascii="Tahoma" w:hAnsi="Tahoma" w:cs="Tahoma"/>
          <w:sz w:val="24"/>
          <w:szCs w:val="24"/>
        </w:rPr>
        <w:t xml:space="preserve">Respecto a los actos de relacionamiento como instrumento para valorar la voluntad de elección del afiliado de que se habló en la sentencia SL 3752 de 2020, proferida por la Sala Laboral de Descongestión de la Corte Suprema de Justicia, debe decirse que en la más reciente providencia </w:t>
      </w:r>
      <w:r w:rsidRPr="00156701">
        <w:rPr>
          <w:rFonts w:ascii="Tahoma" w:hAnsi="Tahoma" w:cs="Tahoma"/>
          <w:b/>
          <w:sz w:val="24"/>
          <w:szCs w:val="24"/>
        </w:rPr>
        <w:t>SL5205-2021</w:t>
      </w:r>
      <w:r w:rsidRPr="00156701">
        <w:rPr>
          <w:rFonts w:ascii="Tahoma" w:hAnsi="Tahoma" w:cs="Tahoma"/>
          <w:sz w:val="24"/>
          <w:szCs w:val="24"/>
        </w:rPr>
        <w:t xml:space="preserve">, el Alto Tribunal corrigió el criterio plasmado en las sentencias CSJ SL3752-2020, CSJ SL4934-2020, CSJ SL1008-2021, CSJ SL1061-2021, CSJ SL2439-2021, CSJ SL2440-2021, CSJ SL2753-2021, por no encajar en la línea de pensamiento de la </w:t>
      </w:r>
      <w:r w:rsidRPr="00156701">
        <w:rPr>
          <w:rFonts w:ascii="Tahoma" w:hAnsi="Tahoma" w:cs="Tahoma"/>
          <w:b/>
          <w:sz w:val="24"/>
          <w:szCs w:val="24"/>
        </w:rPr>
        <w:t>Sala de Casación Laboral permanente</w:t>
      </w:r>
      <w:r w:rsidRPr="00156701">
        <w:rPr>
          <w:rFonts w:ascii="Tahoma" w:hAnsi="Tahoma" w:cs="Tahoma"/>
          <w:sz w:val="24"/>
          <w:szCs w:val="24"/>
        </w:rPr>
        <w:t>, única constitucionalmente facultada para unificar la jurisprudencia del trabajo y de la seguridad social, motivo por el cual, la suscrita se acoge dicha consideración respecto a la inoperancia de los actos de relacionamiento en los casos de ineficacia del traslado.</w:t>
      </w:r>
    </w:p>
    <w:p w14:paraId="70C49360" w14:textId="77777777" w:rsidR="00D25C76" w:rsidRDefault="00D25C76" w:rsidP="00FA7E9B">
      <w:pPr>
        <w:pStyle w:val="Textocomentario"/>
        <w:spacing w:line="360" w:lineRule="auto"/>
        <w:ind w:firstLine="709"/>
        <w:contextualSpacing/>
        <w:jc w:val="both"/>
        <w:rPr>
          <w:rFonts w:ascii="Tahoma" w:hAnsi="Tahoma" w:cs="Tahoma"/>
          <w:sz w:val="24"/>
          <w:szCs w:val="24"/>
        </w:rPr>
      </w:pPr>
    </w:p>
    <w:p w14:paraId="0427B253" w14:textId="04854969" w:rsidR="00595ED1" w:rsidRPr="00D25C76" w:rsidRDefault="000C7684" w:rsidP="00FA7E9B">
      <w:pPr>
        <w:pStyle w:val="Textocomentario"/>
        <w:spacing w:line="360" w:lineRule="auto"/>
        <w:ind w:firstLine="709"/>
        <w:contextualSpacing/>
        <w:jc w:val="both"/>
        <w:rPr>
          <w:rFonts w:ascii="Tahoma" w:hAnsi="Tahoma" w:cs="Tahoma"/>
          <w:sz w:val="24"/>
          <w:szCs w:val="24"/>
        </w:rPr>
      </w:pPr>
      <w:r>
        <w:rPr>
          <w:rFonts w:ascii="Tahoma" w:hAnsi="Tahoma" w:cs="Tahoma"/>
          <w:sz w:val="24"/>
          <w:szCs w:val="24"/>
        </w:rPr>
        <w:t xml:space="preserve">En efecto, </w:t>
      </w:r>
      <w:r w:rsidR="00F862EE" w:rsidRPr="00D25C76">
        <w:rPr>
          <w:rFonts w:ascii="Tahoma" w:hAnsi="Tahoma" w:cs="Tahoma"/>
          <w:sz w:val="24"/>
          <w:szCs w:val="24"/>
        </w:rPr>
        <w:t xml:space="preserve">la </w:t>
      </w:r>
      <w:r w:rsidR="00C64048" w:rsidRPr="00D25C76">
        <w:rPr>
          <w:rFonts w:ascii="Tahoma" w:hAnsi="Tahoma" w:cs="Tahoma"/>
          <w:sz w:val="24"/>
          <w:szCs w:val="24"/>
        </w:rPr>
        <w:t xml:space="preserve">Sala </w:t>
      </w:r>
      <w:r w:rsidR="00C64048">
        <w:rPr>
          <w:rFonts w:ascii="Tahoma" w:hAnsi="Tahoma" w:cs="Tahoma"/>
          <w:sz w:val="24"/>
          <w:szCs w:val="24"/>
        </w:rPr>
        <w:t>de</w:t>
      </w:r>
      <w:r w:rsidR="00F168AC">
        <w:rPr>
          <w:rFonts w:ascii="Tahoma" w:hAnsi="Tahoma" w:cs="Tahoma"/>
          <w:sz w:val="24"/>
          <w:szCs w:val="24"/>
        </w:rPr>
        <w:t xml:space="preserve"> Casación </w:t>
      </w:r>
      <w:r w:rsidR="00F862EE" w:rsidRPr="00D25C76">
        <w:rPr>
          <w:rFonts w:ascii="Tahoma" w:hAnsi="Tahoma" w:cs="Tahoma"/>
          <w:sz w:val="24"/>
          <w:szCs w:val="24"/>
        </w:rPr>
        <w:t xml:space="preserve">Laboral de la Corte Suprema de </w:t>
      </w:r>
      <w:r w:rsidR="001166EA" w:rsidRPr="00D25C76">
        <w:rPr>
          <w:rFonts w:ascii="Tahoma" w:hAnsi="Tahoma" w:cs="Tahoma"/>
          <w:sz w:val="24"/>
          <w:szCs w:val="24"/>
        </w:rPr>
        <w:t>J</w:t>
      </w:r>
      <w:r w:rsidR="00F862EE" w:rsidRPr="00D25C76">
        <w:rPr>
          <w:rFonts w:ascii="Tahoma" w:hAnsi="Tahoma" w:cs="Tahoma"/>
          <w:sz w:val="24"/>
          <w:szCs w:val="24"/>
        </w:rPr>
        <w:t xml:space="preserve">usticia en la providencia </w:t>
      </w:r>
      <w:r w:rsidR="00F862EE" w:rsidRPr="00D25C76">
        <w:rPr>
          <w:rFonts w:ascii="Tahoma" w:hAnsi="Tahoma" w:cs="Tahoma"/>
          <w:bCs/>
          <w:sz w:val="24"/>
          <w:szCs w:val="24"/>
        </w:rPr>
        <w:t>SL5205-2021</w:t>
      </w:r>
      <w:r w:rsidR="00EB6F68">
        <w:rPr>
          <w:rFonts w:ascii="Tahoma" w:hAnsi="Tahoma" w:cs="Tahoma"/>
          <w:bCs/>
          <w:sz w:val="24"/>
          <w:szCs w:val="24"/>
        </w:rPr>
        <w:t>, con ponencia del Magistrado Dr. GERARDO BOTERO ZULUAGA,</w:t>
      </w:r>
      <w:r w:rsidR="00F862EE" w:rsidRPr="00D25C76">
        <w:rPr>
          <w:rFonts w:ascii="Tahoma" w:hAnsi="Tahoma" w:cs="Tahoma"/>
          <w:bCs/>
          <w:sz w:val="24"/>
          <w:szCs w:val="24"/>
        </w:rPr>
        <w:t xml:space="preserve"> </w:t>
      </w:r>
      <w:r w:rsidR="00595ED1" w:rsidRPr="00D25C76">
        <w:rPr>
          <w:rFonts w:ascii="Tahoma" w:hAnsi="Tahoma" w:cs="Tahoma"/>
          <w:sz w:val="24"/>
          <w:szCs w:val="24"/>
        </w:rPr>
        <w:t xml:space="preserve">señala </w:t>
      </w:r>
      <w:r w:rsidR="007E1586" w:rsidRPr="00D25C76">
        <w:rPr>
          <w:rFonts w:ascii="Tahoma" w:hAnsi="Tahoma" w:cs="Tahoma"/>
          <w:sz w:val="24"/>
          <w:szCs w:val="24"/>
        </w:rPr>
        <w:t xml:space="preserve">que la tesis que se encuentra vigente en la </w:t>
      </w:r>
      <w:r w:rsidR="00F862EE" w:rsidRPr="00D25C76">
        <w:rPr>
          <w:rFonts w:ascii="Tahoma" w:hAnsi="Tahoma" w:cs="Tahoma"/>
          <w:sz w:val="24"/>
          <w:szCs w:val="24"/>
        </w:rPr>
        <w:t>jurisprudencia</w:t>
      </w:r>
      <w:r w:rsidR="007E1586" w:rsidRPr="00D25C76">
        <w:rPr>
          <w:rFonts w:ascii="Tahoma" w:hAnsi="Tahoma" w:cs="Tahoma"/>
          <w:sz w:val="24"/>
          <w:szCs w:val="24"/>
        </w:rPr>
        <w:t xml:space="preserve"> de la Sala es </w:t>
      </w:r>
      <w:r w:rsidR="002727BF" w:rsidRPr="00D25C76">
        <w:rPr>
          <w:rFonts w:ascii="Tahoma" w:hAnsi="Tahoma" w:cs="Tahoma"/>
          <w:sz w:val="24"/>
          <w:szCs w:val="24"/>
        </w:rPr>
        <w:t xml:space="preserve">que </w:t>
      </w:r>
      <w:r w:rsidR="00CC1121" w:rsidRPr="00D25C76">
        <w:rPr>
          <w:rFonts w:ascii="Tahoma" w:hAnsi="Tahoma" w:cs="Tahoma"/>
          <w:sz w:val="24"/>
          <w:szCs w:val="24"/>
        </w:rPr>
        <w:t xml:space="preserve">al ser </w:t>
      </w:r>
      <w:r w:rsidR="00CC7FA0" w:rsidRPr="00D25C76">
        <w:rPr>
          <w:rFonts w:ascii="Tahoma" w:hAnsi="Tahoma" w:cs="Tahoma"/>
          <w:sz w:val="24"/>
          <w:szCs w:val="24"/>
        </w:rPr>
        <w:t xml:space="preserve">ineficaz </w:t>
      </w:r>
      <w:r>
        <w:rPr>
          <w:rFonts w:ascii="Tahoma" w:hAnsi="Tahoma" w:cs="Tahoma"/>
          <w:sz w:val="24"/>
          <w:szCs w:val="24"/>
        </w:rPr>
        <w:t xml:space="preserve">el </w:t>
      </w:r>
      <w:r w:rsidR="002727BF" w:rsidRPr="00D25C76">
        <w:rPr>
          <w:rFonts w:ascii="Tahoma" w:hAnsi="Tahoma" w:cs="Tahoma"/>
          <w:sz w:val="24"/>
          <w:szCs w:val="24"/>
        </w:rPr>
        <w:t xml:space="preserve">acto jurídico </w:t>
      </w:r>
      <w:r w:rsidR="00CC7FA0" w:rsidRPr="00D25C76">
        <w:rPr>
          <w:rFonts w:ascii="Tahoma" w:hAnsi="Tahoma" w:cs="Tahoma"/>
          <w:sz w:val="24"/>
          <w:szCs w:val="24"/>
        </w:rPr>
        <w:t xml:space="preserve">primigenio, este no se torna eficaz por los actos de relacionamiento </w:t>
      </w:r>
      <w:r w:rsidR="00174E94">
        <w:rPr>
          <w:rFonts w:ascii="Tahoma" w:hAnsi="Tahoma" w:cs="Tahoma"/>
          <w:sz w:val="24"/>
          <w:szCs w:val="24"/>
        </w:rPr>
        <w:t>posteriores</w:t>
      </w:r>
      <w:r w:rsidR="00CC1121" w:rsidRPr="00D25C76">
        <w:rPr>
          <w:rFonts w:ascii="Tahoma" w:hAnsi="Tahoma" w:cs="Tahoma"/>
          <w:sz w:val="24"/>
          <w:szCs w:val="24"/>
        </w:rPr>
        <w:t xml:space="preserve">. </w:t>
      </w:r>
      <w:r w:rsidR="00CC7FA0" w:rsidRPr="00D25C76">
        <w:rPr>
          <w:rFonts w:ascii="Tahoma" w:hAnsi="Tahoma" w:cs="Tahoma"/>
          <w:sz w:val="24"/>
          <w:szCs w:val="24"/>
        </w:rPr>
        <w:t>De esta manera lo manifestó el alto tribunal:</w:t>
      </w:r>
    </w:p>
    <w:p w14:paraId="0147295C" w14:textId="77777777" w:rsidR="000C7684" w:rsidRDefault="000C7684" w:rsidP="000C7684">
      <w:pPr>
        <w:spacing w:line="360" w:lineRule="auto"/>
        <w:ind w:firstLine="720"/>
        <w:jc w:val="both"/>
        <w:rPr>
          <w:rStyle w:val="normaltextrun"/>
          <w:rFonts w:ascii="Bookman Old Style" w:hAnsi="Bookman Old Style" w:cs="Segoe UI"/>
          <w:szCs w:val="28"/>
          <w:lang w:val="es-CO"/>
        </w:rPr>
      </w:pPr>
    </w:p>
    <w:p w14:paraId="4A607B73" w14:textId="25494162" w:rsidR="000C7684" w:rsidRPr="00EB6F68" w:rsidRDefault="00EB6F68" w:rsidP="000C7684">
      <w:pPr>
        <w:spacing w:line="360" w:lineRule="auto"/>
        <w:ind w:left="708" w:firstLine="720"/>
        <w:jc w:val="both"/>
        <w:rPr>
          <w:rFonts w:ascii="Bookman Old Style" w:hAnsi="Bookman Old Style" w:cs="Estrangelo Edessa"/>
          <w:i/>
          <w:sz w:val="24"/>
        </w:rPr>
      </w:pPr>
      <w:r>
        <w:rPr>
          <w:rStyle w:val="normaltextrun"/>
          <w:rFonts w:ascii="Bookman Old Style" w:hAnsi="Bookman Old Style" w:cs="Segoe UI"/>
          <w:i/>
          <w:sz w:val="24"/>
          <w:lang w:val="es-CO"/>
        </w:rPr>
        <w:t>“</w:t>
      </w:r>
      <w:r w:rsidR="000C7684" w:rsidRPr="00EB6F68">
        <w:rPr>
          <w:rStyle w:val="normaltextrun"/>
          <w:rFonts w:ascii="Bookman Old Style" w:hAnsi="Bookman Old Style" w:cs="Segoe UI"/>
          <w:i/>
          <w:sz w:val="24"/>
          <w:lang w:val="es-CO"/>
        </w:rPr>
        <w:t xml:space="preserve">Finalmente, debe advertirse que </w:t>
      </w:r>
      <w:r w:rsidR="000C7684" w:rsidRPr="00EB6F68">
        <w:rPr>
          <w:rFonts w:ascii="Bookman Old Style" w:hAnsi="Bookman Old Style" w:cs="Estrangelo Edessa"/>
          <w:i/>
          <w:sz w:val="24"/>
        </w:rPr>
        <w:t xml:space="preserve">Tribunal concluyó que el traslado fue voluntario, lo cual respalda Old Mutual S.A bajo la teoría </w:t>
      </w:r>
      <w:r w:rsidR="000C7684" w:rsidRPr="00EB6F68">
        <w:rPr>
          <w:rFonts w:ascii="Bookman Old Style" w:hAnsi="Bookman Old Style" w:cs="Estrangelo Edessa"/>
          <w:i/>
          <w:sz w:val="24"/>
        </w:rPr>
        <w:lastRenderedPageBreak/>
        <w:t>de los actos de relacionamiento que pueden denotar el compromiso serio de pertenecer en el RAIS, toda vez, con las solicitudes de información de saldos, actualizaciones de datos, cambios de clave, cambios entre administradoras del régimen privado, en otros actos, ratifican la voluntad seguir afiliado al RAIS.</w:t>
      </w:r>
      <w:r w:rsidR="000C7684" w:rsidRPr="00EB6F68">
        <w:rPr>
          <w:rFonts w:ascii="Bookman Old Style" w:hAnsi="Bookman Old Style" w:cs="Estrangelo Edessa"/>
          <w:i/>
          <w:sz w:val="24"/>
          <w:lang w:val="es-CO"/>
        </w:rPr>
        <w:t xml:space="preserve"> </w:t>
      </w:r>
    </w:p>
    <w:p w14:paraId="24272725" w14:textId="77777777" w:rsidR="00EB6F68" w:rsidRPr="00EB6F68" w:rsidRDefault="00EB6F68" w:rsidP="000C7684">
      <w:pPr>
        <w:spacing w:line="360" w:lineRule="auto"/>
        <w:ind w:left="708" w:firstLine="708"/>
        <w:jc w:val="both"/>
        <w:rPr>
          <w:rFonts w:ascii="Bookman Old Style" w:hAnsi="Bookman Old Style" w:cs="Estrangelo Edessa"/>
          <w:i/>
          <w:sz w:val="24"/>
          <w:lang w:val="es-CO"/>
        </w:rPr>
      </w:pPr>
    </w:p>
    <w:p w14:paraId="328C6176" w14:textId="2D8360D9" w:rsidR="000C7684" w:rsidRPr="00EB6F68" w:rsidRDefault="000C7684" w:rsidP="000C7684">
      <w:pPr>
        <w:spacing w:line="360" w:lineRule="auto"/>
        <w:ind w:left="708" w:firstLine="708"/>
        <w:jc w:val="both"/>
        <w:rPr>
          <w:rFonts w:ascii="Bookman Old Style" w:hAnsi="Bookman Old Style" w:cs="Estrangelo Edessa"/>
          <w:i/>
          <w:sz w:val="24"/>
          <w:lang w:val="es-CO"/>
        </w:rPr>
      </w:pPr>
      <w:r w:rsidRPr="00EB6F68">
        <w:rPr>
          <w:rFonts w:ascii="Bookman Old Style" w:hAnsi="Bookman Old Style" w:cs="Estrangelo Edessa"/>
          <w:i/>
          <w:sz w:val="24"/>
          <w:lang w:val="es-CO"/>
        </w:rPr>
        <w:t>Tal postura es contraria a la adoctrinada por esta Sala de Corte</w:t>
      </w:r>
      <w:r w:rsidRPr="00EB6F68">
        <w:rPr>
          <w:rFonts w:ascii="Bookman Old Style" w:hAnsi="Bookman Old Style" w:cs="Estrangelo Edessa"/>
          <w:i/>
          <w:spacing w:val="-4"/>
          <w:sz w:val="24"/>
        </w:rPr>
        <w:t xml:space="preserve">, desde la sentencia </w:t>
      </w:r>
      <w:r w:rsidRPr="00EB6F68">
        <w:rPr>
          <w:rFonts w:ascii="Bookman Old Style" w:hAnsi="Bookman Old Style" w:cs="Estrangelo Edessa"/>
          <w:i/>
          <w:sz w:val="24"/>
        </w:rPr>
        <w:t>CSJ SL, 9 sep. 2008, rad. 31989</w:t>
      </w:r>
      <w:r w:rsidRPr="00EB6F68">
        <w:rPr>
          <w:rFonts w:ascii="Bookman Old Style" w:hAnsi="Bookman Old Style" w:cs="Estrangelo Edessa"/>
          <w:i/>
          <w:spacing w:val="-4"/>
          <w:sz w:val="24"/>
        </w:rPr>
        <w:t xml:space="preserve">, se ha sostenido que, </w:t>
      </w:r>
      <w:r w:rsidRPr="00EB6F68">
        <w:rPr>
          <w:rFonts w:ascii="Bookman Old Style" w:hAnsi="Bookman Old Style" w:cs="Estrangelo Edessa"/>
          <w:i/>
          <w:sz w:val="24"/>
        </w:rPr>
        <w:t>una vez acreditada la ineficacia del traslado al régimen de ahorro individual, el acto jurídico no se torna en eficaz por los cambios que los afiliados hagan entre administradoras privadas lo que ha sido reiterado entre otras en las providencias CSJ SL2877-2020, CSJ SL1942-2021 y CSJ SL1949-2021</w:t>
      </w:r>
    </w:p>
    <w:p w14:paraId="4E83B1C6" w14:textId="77777777" w:rsidR="000C7684" w:rsidRPr="00EB6F68" w:rsidRDefault="000C7684" w:rsidP="000C7684">
      <w:pPr>
        <w:spacing w:line="360" w:lineRule="auto"/>
        <w:ind w:left="708" w:firstLine="708"/>
        <w:jc w:val="both"/>
        <w:rPr>
          <w:rFonts w:ascii="Bookman Old Style" w:hAnsi="Bookman Old Style" w:cs="Estrangelo Edessa"/>
          <w:i/>
          <w:spacing w:val="-4"/>
          <w:sz w:val="24"/>
        </w:rPr>
      </w:pPr>
    </w:p>
    <w:p w14:paraId="2D47E4D4" w14:textId="77777777" w:rsidR="000C7684" w:rsidRPr="00EB6F68" w:rsidRDefault="000C7684" w:rsidP="000C7684">
      <w:pPr>
        <w:spacing w:line="360" w:lineRule="auto"/>
        <w:ind w:left="708" w:firstLine="720"/>
        <w:jc w:val="both"/>
        <w:rPr>
          <w:rFonts w:ascii="Bookman Old Style" w:hAnsi="Bookman Old Style" w:cs="Estrangelo Edessa"/>
          <w:i/>
          <w:sz w:val="24"/>
        </w:rPr>
      </w:pPr>
      <w:r w:rsidRPr="00EB6F68">
        <w:rPr>
          <w:rFonts w:ascii="Bookman Old Style" w:hAnsi="Bookman Old Style" w:cs="Estrangelo Edessa"/>
          <w:i/>
          <w:sz w:val="24"/>
        </w:rPr>
        <w:t>El anterior criterio es el que se encuentra vigente en la jurisprudencia de la Sala; motivo por el cual se recoge cualquier otro que le sea contario y, frente a la cual se advierte que, como la declaratoria de ineficacia del traslado tiene como sustento el incumplimiento del deber de información en el traslado inicial, al estar afectado el acto jurídico primigenio, los negocios jurídicos subyacentes adolecen de igual afectación, entre ellos los traslados que se efectúen a los diversos fondos privados, ello en tanto que, el efecto de la declaratoria de ineficacia</w:t>
      </w:r>
      <w:r w:rsidRPr="00EB6F68">
        <w:rPr>
          <w:rFonts w:ascii="Bookman Old Style" w:hAnsi="Bookman Old Style"/>
          <w:i/>
          <w:sz w:val="24"/>
        </w:rPr>
        <w:t xml:space="preserve"> es volver al </w:t>
      </w:r>
      <w:r w:rsidRPr="00EB6F68">
        <w:rPr>
          <w:rFonts w:ascii="Bookman Old Style" w:hAnsi="Bookman Old Style"/>
          <w:i/>
          <w:iCs/>
          <w:sz w:val="24"/>
        </w:rPr>
        <w:t>statu quo</w:t>
      </w:r>
      <w:r w:rsidRPr="00EB6F68">
        <w:rPr>
          <w:rFonts w:ascii="Bookman Old Style" w:hAnsi="Bookman Old Style"/>
          <w:i/>
          <w:sz w:val="24"/>
        </w:rPr>
        <w:t>, lo que implica retrotraer la situación al estado en que se hallaría si el cambio de sistema pensional no hubiera existido jamás (CSJ 4025-2021, CSJ SL4062-2021, CSJ SL 4064-2021, entre muchas otras).</w:t>
      </w:r>
    </w:p>
    <w:p w14:paraId="3A226212" w14:textId="77777777" w:rsidR="000C7684" w:rsidRPr="00EB6F68" w:rsidRDefault="000C7684" w:rsidP="000C7684">
      <w:pPr>
        <w:pStyle w:val="Textoindependiente"/>
        <w:spacing w:after="0" w:line="360" w:lineRule="auto"/>
        <w:ind w:left="708" w:firstLine="708"/>
        <w:jc w:val="both"/>
        <w:rPr>
          <w:rFonts w:ascii="Bookman Old Style" w:hAnsi="Bookman Old Style"/>
          <w:i/>
          <w:spacing w:val="-4"/>
        </w:rPr>
      </w:pPr>
    </w:p>
    <w:p w14:paraId="54192A33" w14:textId="77777777" w:rsidR="000C7684" w:rsidRPr="00EB6F68" w:rsidRDefault="000C7684" w:rsidP="000C7684">
      <w:pPr>
        <w:spacing w:line="360" w:lineRule="auto"/>
        <w:ind w:left="708" w:firstLine="708"/>
        <w:jc w:val="both"/>
        <w:rPr>
          <w:rFonts w:ascii="Bookman Old Style" w:hAnsi="Bookman Old Style" w:cs="Estrangelo Edessa"/>
          <w:i/>
          <w:sz w:val="24"/>
        </w:rPr>
      </w:pPr>
      <w:r w:rsidRPr="00EB6F68">
        <w:rPr>
          <w:rFonts w:ascii="Bookman Old Style" w:hAnsi="Bookman Old Style"/>
          <w:i/>
          <w:spacing w:val="-4"/>
          <w:sz w:val="24"/>
        </w:rPr>
        <w:t xml:space="preserve">Luego entonces, para la Sala es claro que, en el presente asunto </w:t>
      </w:r>
      <w:r w:rsidRPr="00EB6F68">
        <w:rPr>
          <w:rFonts w:ascii="Bookman Old Style" w:eastAsia="Cambria" w:hAnsi="Bookman Old Style" w:cs="Estrangelo Edessa"/>
          <w:i/>
          <w:sz w:val="24"/>
        </w:rPr>
        <w:t>ni de la afiliación inicial, como tampoco de los traslados</w:t>
      </w:r>
      <w:r w:rsidRPr="00EB6F68">
        <w:rPr>
          <w:rFonts w:ascii="Bookman Old Style" w:hAnsi="Bookman Old Style" w:cs="Estrangelo Edessa"/>
          <w:i/>
          <w:sz w:val="24"/>
        </w:rPr>
        <w:t xml:space="preserve"> posteriores entre los diferentes fondos privados se evidencia que se hubiese recibido una información integral, completa y oportuna que brindara una ilustración </w:t>
      </w:r>
      <w:r w:rsidRPr="00EB6F68">
        <w:rPr>
          <w:rFonts w:ascii="Bookman Old Style" w:hAnsi="Bookman Old Style" w:cs="Estrangelo Edessa"/>
          <w:i/>
          <w:sz w:val="24"/>
        </w:rPr>
        <w:lastRenderedPageBreak/>
        <w:t xml:space="preserve">respecto de </w:t>
      </w:r>
      <w:r w:rsidRPr="00EB6F68">
        <w:rPr>
          <w:rFonts w:ascii="Bookman Old Style" w:eastAsia="Cambria" w:hAnsi="Bookman Old Style" w:cs="Estrangelo Edessa"/>
          <w:i/>
          <w:sz w:val="24"/>
        </w:rPr>
        <w:t xml:space="preserve">las características, condiciones del mercado, ventajas y desventajas de cada uno de los regímenes pensionales, así como de las contingencias financieras que tal decisión supondría en su derecho o como se dijo en la sentencia CSJ SL 6 oct.2021, rad.83576 « </w:t>
      </w:r>
      <w:r w:rsidRPr="00EB6F68">
        <w:rPr>
          <w:rFonts w:ascii="Bookman Old Style" w:hAnsi="Bookman Old Style" w:cs="Estrangelo Edessa"/>
          <w:i/>
          <w:iCs/>
          <w:sz w:val="24"/>
        </w:rPr>
        <w:t xml:space="preserve">no prueba por sí mismo y mucho menos genera una especie de presunción relativa a que la voluntad reflexiva de la persona afiliada al materializar su acto de traslado de régimen pensional y de los posteriores tránsitos entre administradoras estaban nutridos con la debida </w:t>
      </w:r>
      <w:r w:rsidRPr="00EB6F68">
        <w:rPr>
          <w:rFonts w:ascii="Bookman Old Style" w:eastAsia="Cambria" w:hAnsi="Bookman Old Style" w:cs="Estrangelo Edessa"/>
          <w:i/>
          <w:iCs/>
          <w:sz w:val="24"/>
        </w:rPr>
        <w:t>ilustración en los términos explicados, ni así lo ha previsto el legislador</w:t>
      </w:r>
      <w:r w:rsidRPr="00EB6F68">
        <w:rPr>
          <w:rFonts w:ascii="Bookman Old Style" w:eastAsia="Cambria" w:hAnsi="Bookman Old Style" w:cs="Estrangelo Edessa"/>
          <w:i/>
          <w:sz w:val="24"/>
        </w:rPr>
        <w:t>».</w:t>
      </w:r>
    </w:p>
    <w:p w14:paraId="6474C250" w14:textId="77777777" w:rsidR="000C7684" w:rsidRPr="00EB6F68" w:rsidRDefault="000C7684" w:rsidP="000C7684">
      <w:pPr>
        <w:spacing w:line="360" w:lineRule="auto"/>
        <w:ind w:left="708" w:firstLine="708"/>
        <w:jc w:val="both"/>
        <w:rPr>
          <w:rFonts w:ascii="Bookman Old Style" w:hAnsi="Bookman Old Style" w:cs="Estrangelo Edessa"/>
          <w:i/>
          <w:sz w:val="24"/>
        </w:rPr>
      </w:pPr>
    </w:p>
    <w:p w14:paraId="6E4F6475" w14:textId="77777777" w:rsidR="000C7684" w:rsidRPr="00EB6F68" w:rsidRDefault="000C7684" w:rsidP="000C7684">
      <w:pPr>
        <w:spacing w:line="360" w:lineRule="auto"/>
        <w:ind w:left="708" w:firstLine="708"/>
        <w:jc w:val="both"/>
        <w:rPr>
          <w:rFonts w:ascii="Bookman Old Style" w:hAnsi="Bookman Old Style" w:cs="Estrangelo Edessa"/>
          <w:i/>
          <w:sz w:val="24"/>
        </w:rPr>
      </w:pPr>
      <w:r w:rsidRPr="00EB6F68">
        <w:rPr>
          <w:rFonts w:ascii="Bookman Old Style" w:hAnsi="Bookman Old Style" w:cs="Estrangelo Edessa"/>
          <w:i/>
          <w:sz w:val="24"/>
        </w:rPr>
        <w:t>Por lo tanto, la Sala insiste y reitera que el solo hecho de que el afiliado se traslade en varias oportunidades dentro del RAIS, no puede convalidar, ni suplir el incumplimiento del deber de información por parte de la AFP al momento del traslado inicial y los traslados posteriores, así como tampoco resulta ser evidencia de que el afiliado fue informado debidamente en los términos exigidos por la ley y la jurisprudencia y, menos aún puede considerase que dicha circunstancia modera las consecuencias que ello supone en la eficacia del acto jurídico celebrado; todo esto bajo el contexto de que en el proceso quede por establecido que efectivamente el demandante no fue debidamente informado.</w:t>
      </w:r>
    </w:p>
    <w:p w14:paraId="76CDBDD5" w14:textId="77777777" w:rsidR="000C7684" w:rsidRPr="00EB6F68" w:rsidRDefault="000C7684" w:rsidP="000C7684">
      <w:pPr>
        <w:spacing w:line="360" w:lineRule="auto"/>
        <w:ind w:left="708" w:firstLine="708"/>
        <w:jc w:val="both"/>
        <w:rPr>
          <w:rFonts w:ascii="Bookman Old Style" w:hAnsi="Bookman Old Style" w:cs="Estrangelo Edessa"/>
          <w:i/>
          <w:sz w:val="24"/>
        </w:rPr>
      </w:pPr>
    </w:p>
    <w:p w14:paraId="4DF892C8" w14:textId="146E6E78" w:rsidR="000C7684" w:rsidRPr="00EB6F68" w:rsidRDefault="000C7684" w:rsidP="000C7684">
      <w:pPr>
        <w:spacing w:line="360" w:lineRule="auto"/>
        <w:ind w:left="708" w:firstLine="708"/>
        <w:jc w:val="both"/>
        <w:rPr>
          <w:rFonts w:ascii="Bookman Old Style" w:hAnsi="Bookman Old Style" w:cs="Estrangelo Edessa"/>
          <w:i/>
          <w:sz w:val="24"/>
          <w:lang w:val="es-CO"/>
        </w:rPr>
      </w:pPr>
      <w:r w:rsidRPr="00EB6F68">
        <w:rPr>
          <w:rFonts w:ascii="Bookman Old Style" w:hAnsi="Bookman Old Style" w:cs="Estrangelo Edessa"/>
          <w:i/>
          <w:sz w:val="24"/>
        </w:rPr>
        <w:t>En ese orden, el criterio jurisprudencial de la Sala no merece ninguna rectificación o variación, por lo que en esta oportunidad se reitera y con ello se corrige cualquier otro que le sea contrario</w:t>
      </w:r>
      <w:r w:rsidRPr="00EB6F68">
        <w:rPr>
          <w:rFonts w:ascii="Bookman Old Style" w:eastAsia="Bookman Old Style" w:hAnsi="Bookman Old Style" w:cs="Bookman Old Style"/>
          <w:i/>
          <w:color w:val="000000" w:themeColor="text1"/>
          <w:sz w:val="24"/>
        </w:rPr>
        <w:t xml:space="preserve">, en especial el condensado en las sentencias </w:t>
      </w:r>
      <w:r w:rsidRPr="00EB6F68">
        <w:rPr>
          <w:rFonts w:ascii="Bookman Old Style" w:hAnsi="Bookman Old Style" w:cs="Estrangelo Edessa"/>
          <w:i/>
          <w:sz w:val="24"/>
          <w:lang w:val="es-CO"/>
        </w:rPr>
        <w:t xml:space="preserve">CSJ SL3752-2020, CSJ SL4934-2020, CSJ SL1008-2021, CSJ SL1061-2021, CSJ SL2439-2021, CSJ SL2440-2021, CSJ SL2753-2021, </w:t>
      </w:r>
      <w:r w:rsidRPr="00EB6F68">
        <w:rPr>
          <w:rFonts w:ascii="Bookman Old Style" w:hAnsi="Bookman Old Style" w:cs="Estrangelo Edessa"/>
          <w:i/>
          <w:sz w:val="24"/>
        </w:rPr>
        <w:t>por no encajar en la línea de pensamiento de la Sala de Casación Laboral permanente, única constitucionalmente facultada para unificar la jurisprudencia del trabajo y de la seguridad social</w:t>
      </w:r>
      <w:r w:rsidR="00EB6F68">
        <w:rPr>
          <w:rFonts w:ascii="Bookman Old Style" w:hAnsi="Bookman Old Style" w:cs="Estrangelo Edessa"/>
          <w:i/>
          <w:sz w:val="24"/>
        </w:rPr>
        <w:t>”</w:t>
      </w:r>
      <w:r w:rsidRPr="00EB6F68">
        <w:rPr>
          <w:rFonts w:ascii="Bookman Old Style" w:hAnsi="Bookman Old Style" w:cs="Estrangelo Edessa"/>
          <w:i/>
          <w:sz w:val="24"/>
        </w:rPr>
        <w:t>.</w:t>
      </w:r>
    </w:p>
    <w:p w14:paraId="70B9711B" w14:textId="77777777" w:rsidR="00156701" w:rsidRPr="00156701" w:rsidRDefault="00156701" w:rsidP="00FA7E9B">
      <w:pPr>
        <w:pStyle w:val="Textocomentario"/>
        <w:spacing w:line="360" w:lineRule="auto"/>
        <w:contextualSpacing/>
        <w:jc w:val="both"/>
        <w:rPr>
          <w:rFonts w:ascii="Tahoma" w:hAnsi="Tahoma" w:cs="Tahoma"/>
          <w:sz w:val="24"/>
          <w:szCs w:val="24"/>
        </w:rPr>
      </w:pPr>
    </w:p>
    <w:p w14:paraId="633D443C" w14:textId="78DCF405" w:rsidR="00156701" w:rsidRDefault="00156701" w:rsidP="00FA7E9B">
      <w:pPr>
        <w:spacing w:line="360" w:lineRule="auto"/>
        <w:ind w:firstLine="709"/>
        <w:contextualSpacing/>
        <w:jc w:val="both"/>
        <w:rPr>
          <w:rFonts w:ascii="Tahoma" w:hAnsi="Tahoma" w:cs="Tahoma"/>
          <w:sz w:val="24"/>
        </w:rPr>
      </w:pPr>
      <w:r w:rsidRPr="00156701">
        <w:rPr>
          <w:rFonts w:ascii="Tahoma" w:hAnsi="Tahoma" w:cs="Tahoma"/>
          <w:sz w:val="24"/>
        </w:rPr>
        <w:t>Por lo anterior, debió confirmarse la sentencia de primera instancia por cuanto la parte pasiva no logró demostrar que le dio a la parte demandante la información suficiente, clara y precisa respecto a las ventajas y desventajas de cada uno de los regímenes pensionales.</w:t>
      </w:r>
    </w:p>
    <w:p w14:paraId="4F8A673D" w14:textId="77777777" w:rsidR="00156701" w:rsidRPr="00156701" w:rsidRDefault="00156701" w:rsidP="00FA7E9B">
      <w:pPr>
        <w:spacing w:line="360" w:lineRule="auto"/>
        <w:jc w:val="both"/>
        <w:rPr>
          <w:rFonts w:ascii="Tahoma" w:hAnsi="Tahoma" w:cs="Tahoma"/>
          <w:color w:val="000000" w:themeColor="text1"/>
          <w:sz w:val="24"/>
          <w:lang w:val="es-ES_tradnl"/>
        </w:rPr>
      </w:pPr>
    </w:p>
    <w:p w14:paraId="406FA869" w14:textId="77777777" w:rsidR="00156701" w:rsidRPr="00156701" w:rsidRDefault="00156701" w:rsidP="00FA7E9B">
      <w:pPr>
        <w:pStyle w:val="paragraph"/>
        <w:spacing w:before="0" w:beforeAutospacing="0" w:after="0" w:afterAutospacing="0" w:line="360" w:lineRule="auto"/>
        <w:ind w:firstLine="705"/>
        <w:jc w:val="both"/>
        <w:textAlignment w:val="baseline"/>
        <w:rPr>
          <w:rFonts w:ascii="Tahoma" w:hAnsi="Tahoma" w:cs="Tahoma"/>
          <w:color w:val="000000" w:themeColor="text1"/>
        </w:rPr>
      </w:pPr>
      <w:r w:rsidRPr="00156701">
        <w:rPr>
          <w:rStyle w:val="normaltextrun"/>
          <w:rFonts w:ascii="Tahoma" w:hAnsi="Tahoma" w:cs="Tahoma"/>
          <w:color w:val="000000" w:themeColor="text1"/>
        </w:rPr>
        <w:t>En estos términos sustento mi salvamento de voto.</w:t>
      </w:r>
      <w:r w:rsidRPr="00156701">
        <w:rPr>
          <w:rStyle w:val="eop"/>
          <w:rFonts w:ascii="Tahoma" w:hAnsi="Tahoma" w:cs="Tahoma"/>
          <w:color w:val="000000" w:themeColor="text1"/>
        </w:rPr>
        <w:t> </w:t>
      </w:r>
    </w:p>
    <w:p w14:paraId="169C8C3A" w14:textId="77777777" w:rsidR="00156701" w:rsidRPr="00156701" w:rsidRDefault="00156701" w:rsidP="00156701">
      <w:pPr>
        <w:pStyle w:val="paragraph"/>
        <w:spacing w:before="0" w:beforeAutospacing="0" w:after="0" w:afterAutospacing="0" w:line="276" w:lineRule="auto"/>
        <w:ind w:firstLine="705"/>
        <w:jc w:val="both"/>
        <w:textAlignment w:val="baseline"/>
        <w:rPr>
          <w:rFonts w:ascii="Tahoma" w:hAnsi="Tahoma" w:cs="Tahoma"/>
          <w:color w:val="000000" w:themeColor="text1"/>
        </w:rPr>
      </w:pPr>
      <w:r w:rsidRPr="00156701">
        <w:rPr>
          <w:rStyle w:val="eop"/>
          <w:rFonts w:ascii="Tahoma" w:hAnsi="Tahoma" w:cs="Tahoma"/>
          <w:color w:val="000000" w:themeColor="text1"/>
        </w:rPr>
        <w:t> </w:t>
      </w:r>
    </w:p>
    <w:p w14:paraId="1BB6F178" w14:textId="207F8D53" w:rsidR="00156701" w:rsidRPr="00BC5C13" w:rsidRDefault="00EB6F68" w:rsidP="00EB6F68">
      <w:pPr>
        <w:pStyle w:val="paragraph"/>
        <w:spacing w:before="0" w:beforeAutospacing="0" w:after="0" w:afterAutospacing="0" w:line="360" w:lineRule="auto"/>
        <w:jc w:val="center"/>
        <w:textAlignment w:val="baseline"/>
        <w:rPr>
          <w:rFonts w:ascii="Tahoma" w:hAnsi="Tahoma" w:cs="Tahoma"/>
        </w:rPr>
      </w:pPr>
      <w:r w:rsidRPr="004E4D13">
        <w:rPr>
          <w:noProof/>
        </w:rPr>
        <w:drawing>
          <wp:inline distT="0" distB="0" distL="0" distR="0" wp14:anchorId="585D774D" wp14:editId="14B6B020">
            <wp:extent cx="2676525" cy="1400175"/>
            <wp:effectExtent l="0" t="0" r="9525" b="9525"/>
            <wp:docPr id="1" name="Imagen 1" descr="C:\Users\Ana Lucia\Desktop\FIRMA DIG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C:\Users\Ana Lucia\Desktop\FIRMA DIGITA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76525" cy="1400175"/>
                    </a:xfrm>
                    <a:prstGeom prst="rect">
                      <a:avLst/>
                    </a:prstGeom>
                    <a:noFill/>
                    <a:ln>
                      <a:noFill/>
                    </a:ln>
                  </pic:spPr>
                </pic:pic>
              </a:graphicData>
            </a:graphic>
          </wp:inline>
        </w:drawing>
      </w:r>
      <w:bookmarkStart w:id="0" w:name="_GoBack"/>
      <w:bookmarkEnd w:id="0"/>
    </w:p>
    <w:p w14:paraId="545A4B0E" w14:textId="77777777" w:rsidR="00156701" w:rsidRPr="00BC5C13" w:rsidRDefault="00156701" w:rsidP="00156701">
      <w:pPr>
        <w:pStyle w:val="paragraph"/>
        <w:spacing w:before="0" w:beforeAutospacing="0" w:after="0" w:afterAutospacing="0" w:line="360" w:lineRule="auto"/>
        <w:ind w:firstLine="705"/>
        <w:jc w:val="center"/>
        <w:textAlignment w:val="baseline"/>
        <w:rPr>
          <w:rStyle w:val="normaltextrun"/>
          <w:rFonts w:ascii="Tahoma" w:hAnsi="Tahoma" w:cs="Tahoma"/>
          <w:b/>
          <w:bCs/>
        </w:rPr>
      </w:pPr>
      <w:r w:rsidRPr="00BC5C13">
        <w:rPr>
          <w:rStyle w:val="normaltextrun"/>
          <w:rFonts w:ascii="Tahoma" w:hAnsi="Tahoma" w:cs="Tahoma"/>
          <w:b/>
          <w:bCs/>
        </w:rPr>
        <w:t>ANA LUCÍA CAICEDO CALDERÓN</w:t>
      </w:r>
    </w:p>
    <w:p w14:paraId="26FE3659" w14:textId="77777777" w:rsidR="00156701" w:rsidRPr="00BC5C13" w:rsidRDefault="00156701" w:rsidP="00156701">
      <w:pPr>
        <w:pStyle w:val="paragraph"/>
        <w:spacing w:before="0" w:beforeAutospacing="0" w:after="0" w:afterAutospacing="0" w:line="360" w:lineRule="auto"/>
        <w:ind w:firstLine="705"/>
        <w:jc w:val="center"/>
        <w:textAlignment w:val="baseline"/>
        <w:rPr>
          <w:rStyle w:val="eop"/>
          <w:rFonts w:ascii="Tahoma" w:hAnsi="Tahoma" w:cs="Tahoma"/>
          <w:b/>
          <w:bCs/>
        </w:rPr>
      </w:pPr>
      <w:r w:rsidRPr="00BC5C13">
        <w:rPr>
          <w:rStyle w:val="eop"/>
          <w:rFonts w:ascii="Tahoma" w:hAnsi="Tahoma" w:cs="Tahoma"/>
          <w:b/>
          <w:bCs/>
        </w:rPr>
        <w:t>Magistrada</w:t>
      </w:r>
    </w:p>
    <w:p w14:paraId="64256C16" w14:textId="77777777" w:rsidR="00CA349D" w:rsidRDefault="00CA349D"/>
    <w:sectPr w:rsidR="00CA34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strangelo Edessa">
    <w:altName w:val="Segoe UI Historic"/>
    <w:panose1 w:val="000000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701"/>
    <w:rsid w:val="00007E07"/>
    <w:rsid w:val="000C7684"/>
    <w:rsid w:val="001166EA"/>
    <w:rsid w:val="00156701"/>
    <w:rsid w:val="00174E94"/>
    <w:rsid w:val="002264E4"/>
    <w:rsid w:val="002727BF"/>
    <w:rsid w:val="002B213B"/>
    <w:rsid w:val="003578FF"/>
    <w:rsid w:val="00464496"/>
    <w:rsid w:val="00582E59"/>
    <w:rsid w:val="00595ED1"/>
    <w:rsid w:val="0060766E"/>
    <w:rsid w:val="007C2018"/>
    <w:rsid w:val="007E1586"/>
    <w:rsid w:val="00860803"/>
    <w:rsid w:val="00A07571"/>
    <w:rsid w:val="00A3299A"/>
    <w:rsid w:val="00B534BA"/>
    <w:rsid w:val="00C64048"/>
    <w:rsid w:val="00CA349D"/>
    <w:rsid w:val="00CC1121"/>
    <w:rsid w:val="00CC7FA0"/>
    <w:rsid w:val="00CE09E0"/>
    <w:rsid w:val="00CE2BC5"/>
    <w:rsid w:val="00CF56BB"/>
    <w:rsid w:val="00D25C76"/>
    <w:rsid w:val="00DE76B2"/>
    <w:rsid w:val="00EB6F68"/>
    <w:rsid w:val="00F168AC"/>
    <w:rsid w:val="00F862EE"/>
    <w:rsid w:val="00FA7E9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E4D0C"/>
  <w15:chartTrackingRefBased/>
  <w15:docId w15:val="{4B80B9BE-8B04-4642-A259-1DD0BF639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pPr>
        <w:spacing w:before="100" w:beforeAutospacing="1" w:after="100" w:afterAutospacing="1" w:line="360" w:lineRule="auto"/>
        <w:ind w:firstLine="85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6701"/>
    <w:pPr>
      <w:spacing w:before="0" w:beforeAutospacing="0" w:after="0" w:afterAutospacing="0" w:line="240" w:lineRule="auto"/>
      <w:ind w:firstLine="0"/>
      <w:jc w:val="left"/>
    </w:pPr>
    <w:rPr>
      <w:rFonts w:ascii="Arial" w:eastAsia="Times New Roman" w:hAnsi="Arial" w:cs="Times New Roman"/>
      <w:sz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156701"/>
    <w:pPr>
      <w:spacing w:before="0" w:beforeAutospacing="0" w:after="0" w:afterAutospacing="0" w:line="240" w:lineRule="auto"/>
      <w:ind w:firstLine="0"/>
      <w:jc w:val="left"/>
    </w:pPr>
    <w:rPr>
      <w:rFonts w:ascii="Arial" w:eastAsia="Times New Roman" w:hAnsi="Arial" w:cs="Times New Roman"/>
      <w:sz w:val="28"/>
      <w:lang w:val="es-ES" w:eastAsia="es-ES"/>
    </w:rPr>
  </w:style>
  <w:style w:type="character" w:customStyle="1" w:styleId="SinespaciadoCar">
    <w:name w:val="Sin espaciado Car"/>
    <w:link w:val="Sinespaciado"/>
    <w:uiPriority w:val="1"/>
    <w:locked/>
    <w:rsid w:val="00156701"/>
    <w:rPr>
      <w:rFonts w:ascii="Arial" w:eastAsia="Times New Roman" w:hAnsi="Arial" w:cs="Times New Roman"/>
      <w:sz w:val="28"/>
      <w:lang w:val="es-ES" w:eastAsia="es-ES"/>
    </w:rPr>
  </w:style>
  <w:style w:type="paragraph" w:customStyle="1" w:styleId="paragraph">
    <w:name w:val="paragraph"/>
    <w:basedOn w:val="Normal"/>
    <w:rsid w:val="00156701"/>
    <w:pPr>
      <w:spacing w:before="100" w:beforeAutospacing="1" w:after="100" w:afterAutospacing="1"/>
    </w:pPr>
    <w:rPr>
      <w:rFonts w:ascii="Times New Roman" w:hAnsi="Times New Roman"/>
      <w:sz w:val="24"/>
      <w:lang w:val="es-CO" w:eastAsia="es-CO"/>
    </w:rPr>
  </w:style>
  <w:style w:type="character" w:customStyle="1" w:styleId="normaltextrun">
    <w:name w:val="normaltextrun"/>
    <w:basedOn w:val="Fuentedeprrafopredeter"/>
    <w:rsid w:val="00156701"/>
  </w:style>
  <w:style w:type="character" w:customStyle="1" w:styleId="eop">
    <w:name w:val="eop"/>
    <w:basedOn w:val="Fuentedeprrafopredeter"/>
    <w:rsid w:val="00156701"/>
  </w:style>
  <w:style w:type="paragraph" w:styleId="Ttulo">
    <w:name w:val="Title"/>
    <w:basedOn w:val="Normal"/>
    <w:link w:val="TtuloCar"/>
    <w:qFormat/>
    <w:rsid w:val="00156701"/>
    <w:pPr>
      <w:widowControl w:val="0"/>
      <w:autoSpaceDE w:val="0"/>
      <w:autoSpaceDN w:val="0"/>
      <w:adjustRightInd w:val="0"/>
      <w:spacing w:line="360" w:lineRule="auto"/>
      <w:jc w:val="center"/>
    </w:pPr>
    <w:rPr>
      <w:rFonts w:cs="Arial"/>
      <w:b/>
      <w:sz w:val="24"/>
    </w:rPr>
  </w:style>
  <w:style w:type="character" w:customStyle="1" w:styleId="TtuloCar">
    <w:name w:val="Título Car"/>
    <w:basedOn w:val="Fuentedeprrafopredeter"/>
    <w:link w:val="Ttulo"/>
    <w:rsid w:val="00156701"/>
    <w:rPr>
      <w:rFonts w:ascii="Arial" w:eastAsia="Times New Roman" w:hAnsi="Arial" w:cs="Arial"/>
      <w:b/>
      <w:lang w:val="es-ES" w:eastAsia="es-ES"/>
    </w:rPr>
  </w:style>
  <w:style w:type="paragraph" w:styleId="Textocomentario">
    <w:name w:val="annotation text"/>
    <w:basedOn w:val="Normal"/>
    <w:link w:val="TextocomentarioCar"/>
    <w:uiPriority w:val="99"/>
    <w:unhideWhenUsed/>
    <w:rsid w:val="00156701"/>
    <w:rPr>
      <w:rFonts w:ascii="Times New Roman" w:hAnsi="Times New Roman"/>
      <w:sz w:val="20"/>
      <w:szCs w:val="20"/>
      <w:lang w:val="es-ES_tradnl"/>
    </w:rPr>
  </w:style>
  <w:style w:type="character" w:customStyle="1" w:styleId="TextocomentarioCar">
    <w:name w:val="Texto comentario Car"/>
    <w:basedOn w:val="Fuentedeprrafopredeter"/>
    <w:link w:val="Textocomentario"/>
    <w:uiPriority w:val="99"/>
    <w:rsid w:val="00156701"/>
    <w:rPr>
      <w:rFonts w:ascii="Times New Roman" w:eastAsia="Times New Roman" w:hAnsi="Times New Roman" w:cs="Times New Roman"/>
      <w:sz w:val="20"/>
      <w:szCs w:val="20"/>
      <w:lang w:val="es-ES_tradnl" w:eastAsia="es-ES"/>
    </w:rPr>
  </w:style>
  <w:style w:type="paragraph" w:styleId="NormalWeb">
    <w:name w:val="Normal (Web)"/>
    <w:basedOn w:val="Normal"/>
    <w:uiPriority w:val="99"/>
    <w:unhideWhenUsed/>
    <w:rsid w:val="00595ED1"/>
    <w:pPr>
      <w:spacing w:before="100" w:beforeAutospacing="1" w:after="100" w:afterAutospacing="1"/>
    </w:pPr>
    <w:rPr>
      <w:rFonts w:ascii="Times New Roman" w:hAnsi="Times New Roman"/>
      <w:sz w:val="24"/>
      <w:lang w:val="es-CO" w:eastAsia="es-MX"/>
    </w:rPr>
  </w:style>
  <w:style w:type="paragraph" w:styleId="Textoindependiente">
    <w:name w:val="Body Text"/>
    <w:basedOn w:val="Normal"/>
    <w:link w:val="TextoindependienteCar"/>
    <w:uiPriority w:val="99"/>
    <w:rsid w:val="000C7684"/>
    <w:pPr>
      <w:spacing w:after="120"/>
    </w:pPr>
    <w:rPr>
      <w:rFonts w:ascii="Times New Roman" w:hAnsi="Times New Roman"/>
      <w:sz w:val="24"/>
    </w:rPr>
  </w:style>
  <w:style w:type="character" w:customStyle="1" w:styleId="TextoindependienteCar">
    <w:name w:val="Texto independiente Car"/>
    <w:basedOn w:val="Fuentedeprrafopredeter"/>
    <w:link w:val="Textoindependiente"/>
    <w:uiPriority w:val="99"/>
    <w:rsid w:val="000C7684"/>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861291">
      <w:bodyDiv w:val="1"/>
      <w:marLeft w:val="0"/>
      <w:marRight w:val="0"/>
      <w:marTop w:val="0"/>
      <w:marBottom w:val="0"/>
      <w:divBdr>
        <w:top w:val="none" w:sz="0" w:space="0" w:color="auto"/>
        <w:left w:val="none" w:sz="0" w:space="0" w:color="auto"/>
        <w:bottom w:val="none" w:sz="0" w:space="0" w:color="auto"/>
        <w:right w:val="none" w:sz="0" w:space="0" w:color="auto"/>
      </w:divBdr>
      <w:divsChild>
        <w:div w:id="1870751918">
          <w:marLeft w:val="0"/>
          <w:marRight w:val="0"/>
          <w:marTop w:val="0"/>
          <w:marBottom w:val="0"/>
          <w:divBdr>
            <w:top w:val="none" w:sz="0" w:space="0" w:color="auto"/>
            <w:left w:val="none" w:sz="0" w:space="0" w:color="auto"/>
            <w:bottom w:val="none" w:sz="0" w:space="0" w:color="auto"/>
            <w:right w:val="none" w:sz="0" w:space="0" w:color="auto"/>
          </w:divBdr>
          <w:divsChild>
            <w:div w:id="784811896">
              <w:marLeft w:val="0"/>
              <w:marRight w:val="0"/>
              <w:marTop w:val="0"/>
              <w:marBottom w:val="0"/>
              <w:divBdr>
                <w:top w:val="none" w:sz="0" w:space="0" w:color="auto"/>
                <w:left w:val="none" w:sz="0" w:space="0" w:color="auto"/>
                <w:bottom w:val="none" w:sz="0" w:space="0" w:color="auto"/>
                <w:right w:val="none" w:sz="0" w:space="0" w:color="auto"/>
              </w:divBdr>
              <w:divsChild>
                <w:div w:id="38918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39496">
      <w:bodyDiv w:val="1"/>
      <w:marLeft w:val="0"/>
      <w:marRight w:val="0"/>
      <w:marTop w:val="0"/>
      <w:marBottom w:val="0"/>
      <w:divBdr>
        <w:top w:val="none" w:sz="0" w:space="0" w:color="auto"/>
        <w:left w:val="none" w:sz="0" w:space="0" w:color="auto"/>
        <w:bottom w:val="none" w:sz="0" w:space="0" w:color="auto"/>
        <w:right w:val="none" w:sz="0" w:space="0" w:color="auto"/>
      </w:divBdr>
      <w:divsChild>
        <w:div w:id="211163359">
          <w:marLeft w:val="0"/>
          <w:marRight w:val="0"/>
          <w:marTop w:val="0"/>
          <w:marBottom w:val="0"/>
          <w:divBdr>
            <w:top w:val="none" w:sz="0" w:space="0" w:color="auto"/>
            <w:left w:val="none" w:sz="0" w:space="0" w:color="auto"/>
            <w:bottom w:val="none" w:sz="0" w:space="0" w:color="auto"/>
            <w:right w:val="none" w:sz="0" w:space="0" w:color="auto"/>
          </w:divBdr>
          <w:divsChild>
            <w:div w:id="1229456224">
              <w:marLeft w:val="0"/>
              <w:marRight w:val="0"/>
              <w:marTop w:val="0"/>
              <w:marBottom w:val="0"/>
              <w:divBdr>
                <w:top w:val="none" w:sz="0" w:space="0" w:color="auto"/>
                <w:left w:val="none" w:sz="0" w:space="0" w:color="auto"/>
                <w:bottom w:val="none" w:sz="0" w:space="0" w:color="auto"/>
                <w:right w:val="none" w:sz="0" w:space="0" w:color="auto"/>
              </w:divBdr>
              <w:divsChild>
                <w:div w:id="214453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278740">
      <w:bodyDiv w:val="1"/>
      <w:marLeft w:val="0"/>
      <w:marRight w:val="0"/>
      <w:marTop w:val="0"/>
      <w:marBottom w:val="0"/>
      <w:divBdr>
        <w:top w:val="none" w:sz="0" w:space="0" w:color="auto"/>
        <w:left w:val="none" w:sz="0" w:space="0" w:color="auto"/>
        <w:bottom w:val="none" w:sz="0" w:space="0" w:color="auto"/>
        <w:right w:val="none" w:sz="0" w:space="0" w:color="auto"/>
      </w:divBdr>
      <w:divsChild>
        <w:div w:id="1224367864">
          <w:marLeft w:val="0"/>
          <w:marRight w:val="0"/>
          <w:marTop w:val="0"/>
          <w:marBottom w:val="0"/>
          <w:divBdr>
            <w:top w:val="none" w:sz="0" w:space="0" w:color="auto"/>
            <w:left w:val="none" w:sz="0" w:space="0" w:color="auto"/>
            <w:bottom w:val="none" w:sz="0" w:space="0" w:color="auto"/>
            <w:right w:val="none" w:sz="0" w:space="0" w:color="auto"/>
          </w:divBdr>
          <w:divsChild>
            <w:div w:id="1649673061">
              <w:marLeft w:val="0"/>
              <w:marRight w:val="0"/>
              <w:marTop w:val="0"/>
              <w:marBottom w:val="0"/>
              <w:divBdr>
                <w:top w:val="none" w:sz="0" w:space="0" w:color="auto"/>
                <w:left w:val="none" w:sz="0" w:space="0" w:color="auto"/>
                <w:bottom w:val="none" w:sz="0" w:space="0" w:color="auto"/>
                <w:right w:val="none" w:sz="0" w:space="0" w:color="auto"/>
              </w:divBdr>
              <w:divsChild>
                <w:div w:id="102020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6537A17DF4553438FCC19ED5B675A3D" ma:contentTypeVersion="12" ma:contentTypeDescription="Crear nuevo documento." ma:contentTypeScope="" ma:versionID="1bbd44cd9be9c619b905cf382f6d8206">
  <xsd:schema xmlns:xsd="http://www.w3.org/2001/XMLSchema" xmlns:xs="http://www.w3.org/2001/XMLSchema" xmlns:p="http://schemas.microsoft.com/office/2006/metadata/properties" xmlns:ns2="3a50d741-68e0-451a-a0da-97ad14d5cf38" xmlns:ns3="56cdca04-053f-429b-a6cc-a739e522e6c8" targetNamespace="http://schemas.microsoft.com/office/2006/metadata/properties" ma:root="true" ma:fieldsID="2514fc5b353e7941eafded6f5a834e08" ns2:_="" ns3:_="">
    <xsd:import namespace="3a50d741-68e0-451a-a0da-97ad14d5cf38"/>
    <xsd:import namespace="56cdca04-053f-429b-a6cc-a739e522e6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50d741-68e0-451a-a0da-97ad14d5cf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cdca04-053f-429b-a6cc-a739e522e6c8"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TaxCatchAll" ma:index="18" nillable="true" ma:displayName="Taxonomy Catch All Column" ma:hidden="true" ma:list="{bf054467-a247-42f8-8140-0fa614aaeb50}" ma:internalName="TaxCatchAll" ma:showField="CatchAllData" ma:web="56cdca04-053f-429b-a6cc-a739e522e6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a50d741-68e0-451a-a0da-97ad14d5cf38">
      <Terms xmlns="http://schemas.microsoft.com/office/infopath/2007/PartnerControls"/>
    </lcf76f155ced4ddcb4097134ff3c332f>
    <TaxCatchAll xmlns="56cdca04-053f-429b-a6cc-a739e522e6c8" xsi:nil="true"/>
  </documentManagement>
</p:properties>
</file>

<file path=customXml/itemProps1.xml><?xml version="1.0" encoding="utf-8"?>
<ds:datastoreItem xmlns:ds="http://schemas.openxmlformats.org/officeDocument/2006/customXml" ds:itemID="{0BC64131-7CDE-4392-A4A8-9C2804F1A95B}"/>
</file>

<file path=customXml/itemProps2.xml><?xml version="1.0" encoding="utf-8"?>
<ds:datastoreItem xmlns:ds="http://schemas.openxmlformats.org/officeDocument/2006/customXml" ds:itemID="{27C43370-C8CE-481A-ACC8-4E3F3884AC8A}"/>
</file>

<file path=customXml/itemProps3.xml><?xml version="1.0" encoding="utf-8"?>
<ds:datastoreItem xmlns:ds="http://schemas.openxmlformats.org/officeDocument/2006/customXml" ds:itemID="{6EBDADC3-B43B-454C-A841-6D0EC2F92B57}"/>
</file>

<file path=docProps/app.xml><?xml version="1.0" encoding="utf-8"?>
<Properties xmlns="http://schemas.openxmlformats.org/officeDocument/2006/extended-properties" xmlns:vt="http://schemas.openxmlformats.org/officeDocument/2006/docPropsVTypes">
  <Template>Normal</Template>
  <TotalTime>1</TotalTime>
  <Pages>4</Pages>
  <Words>896</Words>
  <Characters>4931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ayda matilde barbosa</dc:creator>
  <cp:keywords/>
  <dc:description/>
  <cp:lastModifiedBy>User</cp:lastModifiedBy>
  <cp:revision>2</cp:revision>
  <dcterms:created xsi:type="dcterms:W3CDTF">2022-05-04T21:48:00Z</dcterms:created>
  <dcterms:modified xsi:type="dcterms:W3CDTF">2022-05-04T21:48:00Z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0x01010056537A17DF4553438FCC19ED5B675A3D</vt:lpwstr>
  </property>
</Properties>
</file>