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8F" w:rsidRPr="0068335D" w:rsidRDefault="00A2188F" w:rsidP="0068335D">
      <w:pPr>
        <w:jc w:val="both"/>
        <w:rPr>
          <w:rFonts w:ascii="Arial" w:hAnsi="Arial" w:cs="Arial"/>
          <w:szCs w:val="24"/>
        </w:rPr>
      </w:pPr>
      <w:r w:rsidRPr="0068335D">
        <w:rPr>
          <w:rFonts w:ascii="Arial" w:hAnsi="Arial" w:cs="Arial"/>
          <w:szCs w:val="24"/>
        </w:rPr>
        <w:t>Radicación:</w:t>
      </w:r>
      <w:r w:rsidR="0068335D">
        <w:rPr>
          <w:rFonts w:ascii="Arial" w:hAnsi="Arial" w:cs="Arial"/>
          <w:szCs w:val="24"/>
        </w:rPr>
        <w:tab/>
      </w:r>
      <w:r w:rsidRPr="0068335D">
        <w:rPr>
          <w:rFonts w:ascii="Arial" w:hAnsi="Arial" w:cs="Arial"/>
          <w:szCs w:val="24"/>
        </w:rPr>
        <w:t>66001-31-05-005-2019-00064-01</w:t>
      </w:r>
    </w:p>
    <w:p w:rsidR="00A2188F" w:rsidRPr="0068335D" w:rsidRDefault="00A2188F" w:rsidP="0068335D">
      <w:pPr>
        <w:jc w:val="both"/>
        <w:rPr>
          <w:rFonts w:ascii="Arial" w:hAnsi="Arial" w:cs="Arial"/>
          <w:szCs w:val="24"/>
        </w:rPr>
      </w:pPr>
      <w:r w:rsidRPr="0068335D">
        <w:rPr>
          <w:rFonts w:ascii="Arial" w:hAnsi="Arial" w:cs="Arial"/>
          <w:szCs w:val="24"/>
        </w:rPr>
        <w:t>Proceso:</w:t>
      </w:r>
      <w:r w:rsidRPr="0068335D">
        <w:rPr>
          <w:rFonts w:ascii="Arial" w:hAnsi="Arial" w:cs="Arial"/>
          <w:szCs w:val="24"/>
        </w:rPr>
        <w:tab/>
        <w:t>Ordinario.</w:t>
      </w:r>
    </w:p>
    <w:p w:rsidR="00A2188F" w:rsidRPr="0068335D" w:rsidRDefault="00A2188F" w:rsidP="0068335D">
      <w:pPr>
        <w:jc w:val="both"/>
        <w:rPr>
          <w:rFonts w:ascii="Arial" w:hAnsi="Arial" w:cs="Arial"/>
          <w:szCs w:val="24"/>
        </w:rPr>
      </w:pPr>
      <w:r w:rsidRPr="0068335D">
        <w:rPr>
          <w:rFonts w:ascii="Arial" w:hAnsi="Arial" w:cs="Arial"/>
          <w:szCs w:val="24"/>
        </w:rPr>
        <w:t>Accionante:</w:t>
      </w:r>
      <w:r w:rsidRPr="0068335D">
        <w:rPr>
          <w:rFonts w:ascii="Arial" w:hAnsi="Arial" w:cs="Arial"/>
          <w:szCs w:val="24"/>
        </w:rPr>
        <w:tab/>
        <w:t>Martha Elisa Matallana Rodríguez</w:t>
      </w:r>
    </w:p>
    <w:p w:rsidR="00A2188F" w:rsidRPr="0068335D" w:rsidRDefault="00A2188F" w:rsidP="0068335D">
      <w:pPr>
        <w:jc w:val="both"/>
        <w:rPr>
          <w:rFonts w:ascii="Arial" w:hAnsi="Arial" w:cs="Arial"/>
          <w:szCs w:val="24"/>
        </w:rPr>
      </w:pPr>
      <w:r w:rsidRPr="0068335D">
        <w:rPr>
          <w:rFonts w:ascii="Arial" w:hAnsi="Arial" w:cs="Arial"/>
          <w:szCs w:val="24"/>
        </w:rPr>
        <w:t>Demandado:</w:t>
      </w:r>
      <w:r w:rsidRPr="0068335D">
        <w:rPr>
          <w:rFonts w:ascii="Arial" w:hAnsi="Arial" w:cs="Arial"/>
          <w:szCs w:val="24"/>
        </w:rPr>
        <w:tab/>
        <w:t xml:space="preserve">Colpensiones y otros </w:t>
      </w:r>
    </w:p>
    <w:p w:rsidR="00A2188F" w:rsidRDefault="00A2188F" w:rsidP="0068335D">
      <w:pPr>
        <w:jc w:val="both"/>
        <w:rPr>
          <w:rFonts w:ascii="Arial" w:hAnsi="Arial" w:cs="Arial"/>
          <w:szCs w:val="24"/>
        </w:rPr>
      </w:pPr>
    </w:p>
    <w:p w:rsidR="0068335D" w:rsidRPr="0068335D" w:rsidRDefault="0068335D" w:rsidP="0068335D">
      <w:pPr>
        <w:jc w:val="both"/>
        <w:rPr>
          <w:rFonts w:ascii="Arial" w:hAnsi="Arial" w:cs="Arial"/>
          <w:szCs w:val="24"/>
        </w:rPr>
      </w:pPr>
    </w:p>
    <w:p w:rsidR="00A2188F" w:rsidRPr="0068335D" w:rsidRDefault="00A2188F" w:rsidP="0068335D">
      <w:pPr>
        <w:jc w:val="both"/>
        <w:rPr>
          <w:rFonts w:ascii="Arial" w:hAnsi="Arial" w:cs="Arial"/>
          <w:szCs w:val="24"/>
        </w:rPr>
      </w:pPr>
    </w:p>
    <w:p w:rsidR="00A2188F" w:rsidRPr="0068335D" w:rsidRDefault="00A2188F" w:rsidP="0068335D">
      <w:pPr>
        <w:spacing w:line="276" w:lineRule="auto"/>
        <w:jc w:val="center"/>
        <w:rPr>
          <w:rFonts w:ascii="Arial" w:hAnsi="Arial" w:cs="Arial"/>
          <w:b/>
          <w:sz w:val="24"/>
          <w:szCs w:val="24"/>
        </w:rPr>
      </w:pPr>
      <w:r w:rsidRPr="0068335D">
        <w:rPr>
          <w:rFonts w:ascii="Arial" w:hAnsi="Arial" w:cs="Arial"/>
          <w:b/>
          <w:sz w:val="24"/>
          <w:szCs w:val="24"/>
        </w:rPr>
        <w:t>TRIBUNAL SUPERIOR DEL DISTRITO JUDICIAL</w:t>
      </w:r>
    </w:p>
    <w:p w:rsidR="00A2188F" w:rsidRPr="0068335D" w:rsidRDefault="00A2188F" w:rsidP="0068335D">
      <w:pPr>
        <w:spacing w:line="276" w:lineRule="auto"/>
        <w:jc w:val="center"/>
        <w:rPr>
          <w:rFonts w:ascii="Arial" w:hAnsi="Arial" w:cs="Arial"/>
          <w:b/>
          <w:sz w:val="24"/>
          <w:szCs w:val="24"/>
        </w:rPr>
      </w:pPr>
    </w:p>
    <w:p w:rsidR="00A2188F" w:rsidRPr="0068335D" w:rsidRDefault="00A2188F" w:rsidP="0068335D">
      <w:pPr>
        <w:spacing w:line="276" w:lineRule="auto"/>
        <w:jc w:val="center"/>
        <w:rPr>
          <w:rFonts w:ascii="Arial" w:hAnsi="Arial" w:cs="Arial"/>
          <w:b/>
          <w:sz w:val="24"/>
          <w:szCs w:val="24"/>
        </w:rPr>
      </w:pPr>
      <w:r w:rsidRPr="0068335D">
        <w:rPr>
          <w:rFonts w:ascii="Arial" w:hAnsi="Arial" w:cs="Arial"/>
          <w:b/>
          <w:sz w:val="24"/>
          <w:szCs w:val="24"/>
        </w:rPr>
        <w:t>SALA LABORAL</w:t>
      </w:r>
    </w:p>
    <w:p w:rsidR="00A2188F" w:rsidRPr="0068335D" w:rsidRDefault="00A2188F" w:rsidP="0068335D">
      <w:pPr>
        <w:spacing w:line="276" w:lineRule="auto"/>
        <w:jc w:val="center"/>
        <w:rPr>
          <w:rFonts w:ascii="Arial" w:hAnsi="Arial" w:cs="Arial"/>
          <w:b/>
          <w:sz w:val="24"/>
          <w:szCs w:val="24"/>
        </w:rPr>
      </w:pPr>
    </w:p>
    <w:p w:rsidR="00066C63" w:rsidRPr="0068335D" w:rsidRDefault="00066C63" w:rsidP="0068335D">
      <w:pPr>
        <w:spacing w:line="276" w:lineRule="auto"/>
        <w:jc w:val="center"/>
        <w:rPr>
          <w:rFonts w:ascii="Arial" w:hAnsi="Arial" w:cs="Arial"/>
          <w:b/>
          <w:i/>
          <w:sz w:val="24"/>
          <w:szCs w:val="24"/>
        </w:rPr>
      </w:pPr>
      <w:r w:rsidRPr="0068335D">
        <w:rPr>
          <w:rFonts w:ascii="Arial" w:hAnsi="Arial" w:cs="Arial"/>
          <w:i/>
          <w:sz w:val="24"/>
          <w:szCs w:val="24"/>
        </w:rPr>
        <w:t xml:space="preserve">MAGISTRADO: </w:t>
      </w:r>
      <w:r w:rsidRPr="0068335D">
        <w:rPr>
          <w:rFonts w:ascii="Arial" w:hAnsi="Arial" w:cs="Arial"/>
          <w:b/>
          <w:i/>
          <w:sz w:val="24"/>
          <w:szCs w:val="24"/>
        </w:rPr>
        <w:t>JULIO CÉSAR SALAZAR MUÑOZ</w:t>
      </w:r>
    </w:p>
    <w:p w:rsidR="00CE20A4" w:rsidRPr="0068335D" w:rsidRDefault="00CE20A4" w:rsidP="0068335D">
      <w:pPr>
        <w:spacing w:line="276" w:lineRule="auto"/>
        <w:jc w:val="center"/>
        <w:rPr>
          <w:rFonts w:ascii="Arial" w:hAnsi="Arial" w:cs="Arial"/>
          <w:b/>
          <w:i/>
          <w:sz w:val="24"/>
          <w:szCs w:val="24"/>
        </w:rPr>
      </w:pPr>
    </w:p>
    <w:p w:rsidR="00066C63" w:rsidRPr="0068335D" w:rsidRDefault="00066C63" w:rsidP="0068335D">
      <w:pPr>
        <w:spacing w:line="276" w:lineRule="auto"/>
        <w:jc w:val="center"/>
        <w:rPr>
          <w:rFonts w:ascii="Arial" w:hAnsi="Arial" w:cs="Arial"/>
          <w:b/>
          <w:i/>
          <w:sz w:val="24"/>
          <w:szCs w:val="24"/>
        </w:rPr>
      </w:pPr>
      <w:r w:rsidRPr="0068335D">
        <w:rPr>
          <w:rFonts w:ascii="Arial" w:hAnsi="Arial" w:cs="Arial"/>
          <w:b/>
          <w:i/>
          <w:sz w:val="24"/>
          <w:szCs w:val="24"/>
        </w:rPr>
        <w:tab/>
      </w:r>
    </w:p>
    <w:p w:rsidR="00066C63" w:rsidRPr="0068335D" w:rsidRDefault="00066C63" w:rsidP="0068335D">
      <w:pPr>
        <w:spacing w:line="276" w:lineRule="auto"/>
        <w:jc w:val="center"/>
        <w:rPr>
          <w:rFonts w:ascii="Arial" w:hAnsi="Arial" w:cs="Arial"/>
          <w:i/>
          <w:sz w:val="24"/>
          <w:szCs w:val="24"/>
        </w:rPr>
      </w:pPr>
      <w:r w:rsidRPr="0068335D">
        <w:rPr>
          <w:rFonts w:ascii="Arial" w:hAnsi="Arial" w:cs="Arial"/>
          <w:i/>
          <w:sz w:val="24"/>
          <w:szCs w:val="24"/>
        </w:rPr>
        <w:t xml:space="preserve">Pereira, </w:t>
      </w:r>
      <w:r w:rsidR="00ED6EAF" w:rsidRPr="0068335D">
        <w:rPr>
          <w:rFonts w:ascii="Arial" w:hAnsi="Arial" w:cs="Arial"/>
          <w:i/>
          <w:sz w:val="24"/>
          <w:szCs w:val="24"/>
        </w:rPr>
        <w:t>doce</w:t>
      </w:r>
      <w:r w:rsidRPr="0068335D">
        <w:rPr>
          <w:rFonts w:ascii="Arial" w:hAnsi="Arial" w:cs="Arial"/>
          <w:i/>
          <w:sz w:val="24"/>
          <w:szCs w:val="24"/>
        </w:rPr>
        <w:t xml:space="preserve"> [</w:t>
      </w:r>
      <w:r w:rsidR="00ED6EAF" w:rsidRPr="0068335D">
        <w:rPr>
          <w:rFonts w:ascii="Arial" w:hAnsi="Arial" w:cs="Arial"/>
          <w:i/>
          <w:sz w:val="24"/>
          <w:szCs w:val="24"/>
        </w:rPr>
        <w:t>12</w:t>
      </w:r>
      <w:r w:rsidRPr="0068335D">
        <w:rPr>
          <w:rFonts w:ascii="Arial" w:hAnsi="Arial" w:cs="Arial"/>
          <w:i/>
          <w:sz w:val="24"/>
          <w:szCs w:val="24"/>
        </w:rPr>
        <w:t xml:space="preserve">] de </w:t>
      </w:r>
      <w:r w:rsidR="00C41D20" w:rsidRPr="0068335D">
        <w:rPr>
          <w:rFonts w:ascii="Arial" w:hAnsi="Arial" w:cs="Arial"/>
          <w:i/>
          <w:sz w:val="24"/>
          <w:szCs w:val="24"/>
        </w:rPr>
        <w:t>mayo</w:t>
      </w:r>
      <w:r w:rsidR="00D34338" w:rsidRPr="0068335D">
        <w:rPr>
          <w:rFonts w:ascii="Arial" w:hAnsi="Arial" w:cs="Arial"/>
          <w:i/>
          <w:sz w:val="24"/>
          <w:szCs w:val="24"/>
        </w:rPr>
        <w:t xml:space="preserve"> de dos mil </w:t>
      </w:r>
      <w:r w:rsidR="00D70BFC" w:rsidRPr="0068335D">
        <w:rPr>
          <w:rFonts w:ascii="Arial" w:hAnsi="Arial" w:cs="Arial"/>
          <w:i/>
          <w:sz w:val="24"/>
          <w:szCs w:val="24"/>
        </w:rPr>
        <w:t>veint</w:t>
      </w:r>
      <w:r w:rsidR="00CC7EE9" w:rsidRPr="0068335D">
        <w:rPr>
          <w:rFonts w:ascii="Arial" w:hAnsi="Arial" w:cs="Arial"/>
          <w:i/>
          <w:sz w:val="24"/>
          <w:szCs w:val="24"/>
        </w:rPr>
        <w:t>i</w:t>
      </w:r>
      <w:r w:rsidR="001A1784" w:rsidRPr="0068335D">
        <w:rPr>
          <w:rFonts w:ascii="Arial" w:hAnsi="Arial" w:cs="Arial"/>
          <w:i/>
          <w:sz w:val="24"/>
          <w:szCs w:val="24"/>
        </w:rPr>
        <w:t>dós</w:t>
      </w:r>
      <w:r w:rsidRPr="0068335D">
        <w:rPr>
          <w:rFonts w:ascii="Arial" w:hAnsi="Arial" w:cs="Arial"/>
          <w:i/>
          <w:sz w:val="24"/>
          <w:szCs w:val="24"/>
        </w:rPr>
        <w:t xml:space="preserve"> [20</w:t>
      </w:r>
      <w:r w:rsidR="00D70BFC" w:rsidRPr="0068335D">
        <w:rPr>
          <w:rFonts w:ascii="Arial" w:hAnsi="Arial" w:cs="Arial"/>
          <w:i/>
          <w:sz w:val="24"/>
          <w:szCs w:val="24"/>
        </w:rPr>
        <w:t>2</w:t>
      </w:r>
      <w:r w:rsidR="001A1784" w:rsidRPr="0068335D">
        <w:rPr>
          <w:rFonts w:ascii="Arial" w:hAnsi="Arial" w:cs="Arial"/>
          <w:i/>
          <w:sz w:val="24"/>
          <w:szCs w:val="24"/>
        </w:rPr>
        <w:t>2</w:t>
      </w:r>
      <w:r w:rsidRPr="0068335D">
        <w:rPr>
          <w:rFonts w:ascii="Arial" w:hAnsi="Arial" w:cs="Arial"/>
          <w:i/>
          <w:sz w:val="24"/>
          <w:szCs w:val="24"/>
        </w:rPr>
        <w:t>].</w:t>
      </w:r>
    </w:p>
    <w:p w:rsidR="00CE20A4" w:rsidRPr="0068335D" w:rsidRDefault="00CE20A4" w:rsidP="0068335D">
      <w:pPr>
        <w:spacing w:line="276" w:lineRule="auto"/>
        <w:rPr>
          <w:rFonts w:ascii="Arial" w:hAnsi="Arial" w:cs="Arial"/>
          <w:i/>
          <w:sz w:val="24"/>
          <w:szCs w:val="24"/>
        </w:rPr>
      </w:pPr>
    </w:p>
    <w:p w:rsidR="00A2188F" w:rsidRPr="0068335D" w:rsidRDefault="00A2188F" w:rsidP="0068335D">
      <w:pPr>
        <w:spacing w:line="276" w:lineRule="auto"/>
        <w:rPr>
          <w:rFonts w:ascii="Arial" w:hAnsi="Arial" w:cs="Arial"/>
          <w:i/>
          <w:sz w:val="24"/>
          <w:szCs w:val="24"/>
        </w:rPr>
      </w:pPr>
    </w:p>
    <w:p w:rsidR="00F74C13" w:rsidRPr="0068335D" w:rsidRDefault="00C41D20" w:rsidP="0068335D">
      <w:pPr>
        <w:spacing w:line="276" w:lineRule="auto"/>
        <w:jc w:val="center"/>
        <w:rPr>
          <w:rFonts w:ascii="Arial" w:hAnsi="Arial" w:cs="Arial"/>
          <w:b/>
          <w:i/>
          <w:sz w:val="24"/>
          <w:szCs w:val="24"/>
          <w:u w:val="single"/>
        </w:rPr>
      </w:pPr>
      <w:r w:rsidRPr="0068335D">
        <w:rPr>
          <w:rFonts w:ascii="Arial" w:hAnsi="Arial" w:cs="Arial"/>
          <w:b/>
          <w:i/>
          <w:sz w:val="24"/>
          <w:szCs w:val="24"/>
          <w:u w:val="single"/>
        </w:rPr>
        <w:t>SALVAMENTO</w:t>
      </w:r>
      <w:r w:rsidR="00066C63" w:rsidRPr="0068335D">
        <w:rPr>
          <w:rFonts w:ascii="Arial" w:hAnsi="Arial" w:cs="Arial"/>
          <w:b/>
          <w:i/>
          <w:sz w:val="24"/>
          <w:szCs w:val="24"/>
          <w:u w:val="single"/>
        </w:rPr>
        <w:t xml:space="preserve"> DE VOTO</w:t>
      </w:r>
    </w:p>
    <w:p w:rsidR="00F74C13" w:rsidRPr="0068335D" w:rsidRDefault="00F74C13" w:rsidP="0068335D">
      <w:pPr>
        <w:spacing w:line="276" w:lineRule="auto"/>
        <w:rPr>
          <w:rFonts w:ascii="Arial" w:hAnsi="Arial" w:cs="Arial"/>
          <w:b/>
          <w:sz w:val="24"/>
          <w:szCs w:val="24"/>
        </w:rPr>
      </w:pPr>
    </w:p>
    <w:p w:rsidR="00CE20A4" w:rsidRPr="0068335D" w:rsidRDefault="00CE20A4" w:rsidP="0068335D">
      <w:pPr>
        <w:spacing w:line="276" w:lineRule="auto"/>
        <w:rPr>
          <w:rFonts w:ascii="Arial" w:hAnsi="Arial" w:cs="Arial"/>
          <w:b/>
          <w:sz w:val="24"/>
          <w:szCs w:val="24"/>
        </w:rPr>
      </w:pPr>
    </w:p>
    <w:p w:rsidR="00BB1F26" w:rsidRPr="0068335D" w:rsidRDefault="00C41D20" w:rsidP="0068335D">
      <w:pPr>
        <w:spacing w:line="276" w:lineRule="auto"/>
        <w:jc w:val="both"/>
        <w:rPr>
          <w:rFonts w:ascii="Arial" w:hAnsi="Arial" w:cs="Arial"/>
          <w:iCs/>
          <w:sz w:val="24"/>
          <w:szCs w:val="24"/>
        </w:rPr>
      </w:pPr>
      <w:r w:rsidRPr="0068335D">
        <w:rPr>
          <w:rFonts w:ascii="Arial" w:hAnsi="Arial" w:cs="Arial"/>
          <w:iCs/>
          <w:sz w:val="24"/>
          <w:szCs w:val="24"/>
        </w:rPr>
        <w:t>Con el debido respeto por la posición mayoritaria</w:t>
      </w:r>
      <w:r w:rsidR="001A1784" w:rsidRPr="0068335D">
        <w:rPr>
          <w:rFonts w:ascii="Arial" w:hAnsi="Arial" w:cs="Arial"/>
          <w:iCs/>
          <w:sz w:val="24"/>
          <w:szCs w:val="24"/>
        </w:rPr>
        <w:t xml:space="preserve">, debo </w:t>
      </w:r>
      <w:r w:rsidRPr="0068335D">
        <w:rPr>
          <w:rFonts w:ascii="Arial" w:hAnsi="Arial" w:cs="Arial"/>
          <w:iCs/>
          <w:sz w:val="24"/>
          <w:szCs w:val="24"/>
        </w:rPr>
        <w:t>salvar</w:t>
      </w:r>
      <w:r w:rsidR="001A1784" w:rsidRPr="0068335D">
        <w:rPr>
          <w:rFonts w:ascii="Arial" w:hAnsi="Arial" w:cs="Arial"/>
          <w:iCs/>
          <w:sz w:val="24"/>
          <w:szCs w:val="24"/>
        </w:rPr>
        <w:t xml:space="preserve"> mi voto </w:t>
      </w:r>
      <w:r w:rsidRPr="0068335D">
        <w:rPr>
          <w:rFonts w:ascii="Arial" w:hAnsi="Arial" w:cs="Arial"/>
          <w:iCs/>
          <w:sz w:val="24"/>
          <w:szCs w:val="24"/>
        </w:rPr>
        <w:t>por cuanto disiento de la</w:t>
      </w:r>
      <w:r w:rsidR="001A1784" w:rsidRPr="0068335D">
        <w:rPr>
          <w:rFonts w:ascii="Arial" w:hAnsi="Arial" w:cs="Arial"/>
          <w:iCs/>
          <w:sz w:val="24"/>
          <w:szCs w:val="24"/>
        </w:rPr>
        <w:t xml:space="preserve"> manera </w:t>
      </w:r>
      <w:r w:rsidRPr="0068335D">
        <w:rPr>
          <w:rFonts w:ascii="Arial" w:hAnsi="Arial" w:cs="Arial"/>
          <w:iCs/>
          <w:sz w:val="24"/>
          <w:szCs w:val="24"/>
        </w:rPr>
        <w:t>en que se viene</w:t>
      </w:r>
      <w:r w:rsidR="001A1784" w:rsidRPr="0068335D">
        <w:rPr>
          <w:rFonts w:ascii="Arial" w:hAnsi="Arial" w:cs="Arial"/>
          <w:iCs/>
          <w:sz w:val="24"/>
          <w:szCs w:val="24"/>
        </w:rPr>
        <w:t xml:space="preserve"> aplica</w:t>
      </w:r>
      <w:r w:rsidRPr="0068335D">
        <w:rPr>
          <w:rFonts w:ascii="Arial" w:hAnsi="Arial" w:cs="Arial"/>
          <w:iCs/>
          <w:sz w:val="24"/>
          <w:szCs w:val="24"/>
        </w:rPr>
        <w:t>ndo</w:t>
      </w:r>
      <w:r w:rsidR="001A1784" w:rsidRPr="0068335D">
        <w:rPr>
          <w:rFonts w:ascii="Arial" w:hAnsi="Arial" w:cs="Arial"/>
          <w:iCs/>
          <w:sz w:val="24"/>
          <w:szCs w:val="24"/>
        </w:rPr>
        <w:t xml:space="preserve"> la figura de la condición más beneficiosa en el tránsito legislativo entre el acuerdo 049 de 1990 y la ley 100 de 1993, pues si bien, soy consciente que esa es la posición de la Sala de Casación Laboral, no encuentro porqué</w:t>
      </w:r>
      <w:r w:rsidRPr="0068335D">
        <w:rPr>
          <w:rFonts w:ascii="Arial" w:hAnsi="Arial" w:cs="Arial"/>
          <w:iCs/>
          <w:sz w:val="24"/>
          <w:szCs w:val="24"/>
        </w:rPr>
        <w:t xml:space="preserve"> </w:t>
      </w:r>
      <w:r w:rsidR="00D04139" w:rsidRPr="0068335D">
        <w:rPr>
          <w:rFonts w:ascii="Arial" w:hAnsi="Arial" w:cs="Arial"/>
          <w:iCs/>
          <w:sz w:val="24"/>
          <w:szCs w:val="24"/>
        </w:rPr>
        <w:t>en estos eventos</w:t>
      </w:r>
      <w:r w:rsidR="001A1784" w:rsidRPr="0068335D">
        <w:rPr>
          <w:rFonts w:ascii="Arial" w:hAnsi="Arial" w:cs="Arial"/>
          <w:iCs/>
          <w:sz w:val="24"/>
          <w:szCs w:val="24"/>
        </w:rPr>
        <w:t xml:space="preserve"> deba aplicarse una lógica diferente a la que se </w:t>
      </w:r>
      <w:r w:rsidRPr="0068335D">
        <w:rPr>
          <w:rFonts w:ascii="Arial" w:hAnsi="Arial" w:cs="Arial"/>
          <w:iCs/>
          <w:sz w:val="24"/>
          <w:szCs w:val="24"/>
        </w:rPr>
        <w:t>utiliza</w:t>
      </w:r>
      <w:r w:rsidR="001A1784" w:rsidRPr="0068335D">
        <w:rPr>
          <w:rFonts w:ascii="Arial" w:hAnsi="Arial" w:cs="Arial"/>
          <w:iCs/>
          <w:sz w:val="24"/>
          <w:szCs w:val="24"/>
        </w:rPr>
        <w:t xml:space="preserve"> para los </w:t>
      </w:r>
      <w:r w:rsidR="00D04139" w:rsidRPr="0068335D">
        <w:rPr>
          <w:rFonts w:ascii="Arial" w:hAnsi="Arial" w:cs="Arial"/>
          <w:iCs/>
          <w:sz w:val="24"/>
          <w:szCs w:val="24"/>
        </w:rPr>
        <w:t>casos</w:t>
      </w:r>
      <w:r w:rsidR="001A1784" w:rsidRPr="0068335D">
        <w:rPr>
          <w:rFonts w:ascii="Arial" w:hAnsi="Arial" w:cs="Arial"/>
          <w:iCs/>
          <w:sz w:val="24"/>
          <w:szCs w:val="24"/>
        </w:rPr>
        <w:t xml:space="preserve"> de condición más beneficiosa en el tránsito legislativo entre la ley 100 de 1993 y las leyes 860 y 797 de 2003.</w:t>
      </w:r>
    </w:p>
    <w:p w:rsidR="001A1784" w:rsidRPr="0068335D" w:rsidRDefault="001A1784" w:rsidP="0068335D">
      <w:pPr>
        <w:spacing w:line="276" w:lineRule="auto"/>
        <w:jc w:val="both"/>
        <w:rPr>
          <w:rFonts w:ascii="Arial" w:hAnsi="Arial" w:cs="Arial"/>
          <w:iCs/>
          <w:sz w:val="24"/>
          <w:szCs w:val="24"/>
        </w:rPr>
      </w:pPr>
    </w:p>
    <w:p w:rsidR="001A1784" w:rsidRPr="0068335D" w:rsidRDefault="001A1784" w:rsidP="0068335D">
      <w:pPr>
        <w:spacing w:line="276" w:lineRule="auto"/>
        <w:jc w:val="both"/>
        <w:rPr>
          <w:rFonts w:ascii="Arial" w:hAnsi="Arial" w:cs="Arial"/>
          <w:iCs/>
          <w:sz w:val="24"/>
          <w:szCs w:val="24"/>
        </w:rPr>
      </w:pPr>
      <w:r w:rsidRPr="0068335D">
        <w:rPr>
          <w:rFonts w:ascii="Arial" w:hAnsi="Arial" w:cs="Arial"/>
          <w:iCs/>
          <w:sz w:val="24"/>
          <w:szCs w:val="24"/>
        </w:rPr>
        <w:t>Mi tesis al respecto es la siguiente:</w:t>
      </w:r>
    </w:p>
    <w:p w:rsidR="00603694" w:rsidRPr="0068335D" w:rsidRDefault="00603694" w:rsidP="0068335D">
      <w:pPr>
        <w:spacing w:line="276" w:lineRule="auto"/>
        <w:jc w:val="both"/>
        <w:rPr>
          <w:rFonts w:ascii="Arial" w:hAnsi="Arial" w:cs="Arial"/>
          <w:iCs/>
          <w:sz w:val="24"/>
          <w:szCs w:val="24"/>
        </w:rPr>
      </w:pPr>
    </w:p>
    <w:p w:rsidR="00A448FA" w:rsidRPr="0068335D" w:rsidRDefault="00A448FA" w:rsidP="0068335D">
      <w:pPr>
        <w:spacing w:line="276" w:lineRule="auto"/>
        <w:jc w:val="both"/>
        <w:rPr>
          <w:rFonts w:ascii="Arial" w:hAnsi="Arial" w:cs="Arial"/>
          <w:b/>
          <w:iCs/>
          <w:sz w:val="24"/>
          <w:szCs w:val="24"/>
        </w:rPr>
      </w:pPr>
      <w:r w:rsidRPr="0068335D">
        <w:rPr>
          <w:rFonts w:ascii="Arial" w:hAnsi="Arial" w:cs="Arial"/>
          <w:b/>
          <w:iCs/>
          <w:sz w:val="24"/>
          <w:szCs w:val="24"/>
        </w:rPr>
        <w:t>NORMATIVIDAD APLICABLE PARA LA PENSION DE SOBREVIVIENTES.</w:t>
      </w:r>
    </w:p>
    <w:p w:rsidR="00A448FA" w:rsidRPr="0068335D" w:rsidRDefault="00A448FA" w:rsidP="0068335D">
      <w:pPr>
        <w:spacing w:line="276" w:lineRule="auto"/>
        <w:jc w:val="both"/>
        <w:rPr>
          <w:rFonts w:ascii="Arial" w:hAnsi="Arial" w:cs="Arial"/>
          <w:b/>
          <w:iCs/>
          <w:sz w:val="24"/>
          <w:szCs w:val="24"/>
        </w:rPr>
      </w:pPr>
    </w:p>
    <w:p w:rsidR="00A448FA" w:rsidRPr="0068335D" w:rsidRDefault="00A448FA" w:rsidP="0068335D">
      <w:pPr>
        <w:spacing w:line="276" w:lineRule="auto"/>
        <w:jc w:val="both"/>
        <w:rPr>
          <w:rFonts w:ascii="Arial" w:hAnsi="Arial" w:cs="Arial"/>
          <w:sz w:val="24"/>
          <w:szCs w:val="24"/>
        </w:rPr>
      </w:pPr>
      <w:r w:rsidRPr="0068335D">
        <w:rPr>
          <w:rFonts w:ascii="Arial" w:hAnsi="Arial" w:cs="Arial"/>
          <w:iCs/>
          <w:sz w:val="24"/>
          <w:szCs w:val="24"/>
        </w:rPr>
        <w:t xml:space="preserve">Es posición pacifica </w:t>
      </w:r>
      <w:r w:rsidRPr="0068335D">
        <w:rPr>
          <w:rFonts w:ascii="Arial" w:hAnsi="Arial" w:cs="Arial"/>
          <w:sz w:val="24"/>
          <w:szCs w:val="24"/>
        </w:rPr>
        <w:t xml:space="preserve">de la jurisprudencia considerar que la norma que rige las pensiones de </w:t>
      </w:r>
      <w:r w:rsidR="00AB3CF1" w:rsidRPr="0068335D">
        <w:rPr>
          <w:rFonts w:ascii="Arial" w:hAnsi="Arial" w:cs="Arial"/>
          <w:sz w:val="24"/>
          <w:szCs w:val="24"/>
        </w:rPr>
        <w:t xml:space="preserve">invalidez y </w:t>
      </w:r>
      <w:r w:rsidRPr="0068335D">
        <w:rPr>
          <w:rFonts w:ascii="Arial" w:hAnsi="Arial" w:cs="Arial"/>
          <w:sz w:val="24"/>
          <w:szCs w:val="24"/>
        </w:rPr>
        <w:t>sobrevivientes es la vigente al momento en el que se produce el deceso del afiliado.</w:t>
      </w:r>
    </w:p>
    <w:p w:rsidR="00AC6E44" w:rsidRPr="0068335D" w:rsidRDefault="00AC6E44" w:rsidP="0068335D">
      <w:pPr>
        <w:spacing w:line="276" w:lineRule="auto"/>
        <w:jc w:val="both"/>
        <w:rPr>
          <w:rFonts w:ascii="Arial" w:hAnsi="Arial" w:cs="Arial"/>
          <w:sz w:val="24"/>
          <w:szCs w:val="24"/>
        </w:rPr>
      </w:pPr>
    </w:p>
    <w:p w:rsidR="00AC6E44" w:rsidRPr="0068335D" w:rsidRDefault="00AC6E44" w:rsidP="0068335D">
      <w:pPr>
        <w:spacing w:line="276" w:lineRule="auto"/>
        <w:jc w:val="both"/>
        <w:rPr>
          <w:rFonts w:ascii="Arial" w:hAnsi="Arial" w:cs="Arial"/>
          <w:sz w:val="24"/>
          <w:szCs w:val="24"/>
        </w:rPr>
      </w:pPr>
      <w:r w:rsidRPr="0068335D">
        <w:rPr>
          <w:rFonts w:ascii="Arial" w:hAnsi="Arial" w:cs="Arial"/>
          <w:sz w:val="24"/>
          <w:szCs w:val="24"/>
        </w:rPr>
        <w:t>Excepcionalmente se ha permitido la aplicación de la legislación anterior en desarrollo de la denominada “</w:t>
      </w:r>
      <w:r w:rsidRPr="0043618B">
        <w:rPr>
          <w:rFonts w:ascii="Arial" w:hAnsi="Arial" w:cs="Arial"/>
          <w:sz w:val="22"/>
          <w:szCs w:val="24"/>
        </w:rPr>
        <w:t xml:space="preserve">condición más </w:t>
      </w:r>
      <w:r w:rsidR="00DA3E4A" w:rsidRPr="0043618B">
        <w:rPr>
          <w:rFonts w:ascii="Arial" w:hAnsi="Arial" w:cs="Arial"/>
          <w:sz w:val="22"/>
          <w:szCs w:val="24"/>
        </w:rPr>
        <w:t>beneficiosa</w:t>
      </w:r>
      <w:r w:rsidR="0043618B">
        <w:rPr>
          <w:rFonts w:ascii="Arial" w:hAnsi="Arial" w:cs="Arial"/>
          <w:sz w:val="24"/>
          <w:szCs w:val="24"/>
        </w:rPr>
        <w:t>”</w:t>
      </w:r>
      <w:r w:rsidR="00DA3E4A" w:rsidRPr="0068335D">
        <w:rPr>
          <w:rFonts w:ascii="Arial" w:hAnsi="Arial" w:cs="Arial"/>
          <w:sz w:val="24"/>
          <w:szCs w:val="24"/>
        </w:rPr>
        <w:t xml:space="preserve">, respecto a la cual, para su aplicación, </w:t>
      </w:r>
      <w:r w:rsidRPr="0068335D">
        <w:rPr>
          <w:rFonts w:ascii="Arial" w:hAnsi="Arial" w:cs="Arial"/>
          <w:sz w:val="24"/>
          <w:szCs w:val="24"/>
        </w:rPr>
        <w:t>caben las siguientes precisiones.</w:t>
      </w:r>
    </w:p>
    <w:p w:rsidR="00A448FA" w:rsidRPr="0068335D" w:rsidRDefault="00A448FA" w:rsidP="0068335D">
      <w:pPr>
        <w:spacing w:line="276" w:lineRule="auto"/>
        <w:jc w:val="both"/>
        <w:rPr>
          <w:rFonts w:ascii="Arial" w:hAnsi="Arial" w:cs="Arial"/>
          <w:sz w:val="24"/>
          <w:szCs w:val="24"/>
        </w:rPr>
      </w:pPr>
    </w:p>
    <w:p w:rsidR="00B54135" w:rsidRPr="0043618B" w:rsidRDefault="00B54135" w:rsidP="0043618B">
      <w:pPr>
        <w:pStyle w:val="Prrafodelista"/>
        <w:numPr>
          <w:ilvl w:val="0"/>
          <w:numId w:val="7"/>
        </w:numPr>
        <w:spacing w:line="276" w:lineRule="auto"/>
        <w:jc w:val="both"/>
        <w:rPr>
          <w:rFonts w:ascii="Arial" w:hAnsi="Arial" w:cs="Arial"/>
          <w:b/>
          <w:iCs/>
          <w:sz w:val="24"/>
          <w:szCs w:val="24"/>
        </w:rPr>
      </w:pPr>
      <w:r w:rsidRPr="0043618B">
        <w:rPr>
          <w:rFonts w:ascii="Arial" w:hAnsi="Arial" w:cs="Arial"/>
          <w:b/>
          <w:iCs/>
          <w:sz w:val="24"/>
          <w:szCs w:val="24"/>
        </w:rPr>
        <w:t>VIGENCIA DE LA CONDICIÓN MÁS BENEFICIOSA</w:t>
      </w:r>
    </w:p>
    <w:p w:rsidR="00B54135" w:rsidRPr="0068335D" w:rsidRDefault="00B54135" w:rsidP="0068335D">
      <w:pPr>
        <w:spacing w:line="276" w:lineRule="auto"/>
        <w:jc w:val="both"/>
        <w:rPr>
          <w:rFonts w:ascii="Arial" w:hAnsi="Arial" w:cs="Arial"/>
          <w:b/>
          <w:iCs/>
          <w:sz w:val="24"/>
          <w:szCs w:val="24"/>
        </w:rPr>
      </w:pPr>
    </w:p>
    <w:p w:rsidR="00B54135" w:rsidRPr="0068335D" w:rsidRDefault="00B54135" w:rsidP="0068335D">
      <w:pPr>
        <w:spacing w:line="276" w:lineRule="auto"/>
        <w:jc w:val="both"/>
        <w:rPr>
          <w:rFonts w:ascii="Arial" w:hAnsi="Arial" w:cs="Arial"/>
          <w:sz w:val="24"/>
          <w:szCs w:val="24"/>
        </w:rPr>
      </w:pPr>
      <w:r w:rsidRPr="0068335D">
        <w:rPr>
          <w:rFonts w:ascii="Arial" w:hAnsi="Arial" w:cs="Arial"/>
          <w:iCs/>
          <w:sz w:val="24"/>
          <w:szCs w:val="24"/>
        </w:rPr>
        <w:t>Como quiera que el punto de partida para aceptar, en los asuntos de invalidez y sobrevivencia, la aplicación de la mal llamada “</w:t>
      </w:r>
      <w:r w:rsidRPr="0043618B">
        <w:rPr>
          <w:rFonts w:ascii="Arial" w:hAnsi="Arial" w:cs="Arial"/>
          <w:iCs/>
          <w:sz w:val="22"/>
          <w:szCs w:val="24"/>
        </w:rPr>
        <w:t>condición más beneficiosa</w:t>
      </w:r>
      <w:r w:rsidRPr="0068335D">
        <w:rPr>
          <w:rFonts w:ascii="Arial" w:hAnsi="Arial" w:cs="Arial"/>
          <w:iCs/>
          <w:sz w:val="24"/>
          <w:szCs w:val="24"/>
        </w:rPr>
        <w:t xml:space="preserve">”, es la falta de consagración de un régimen de transición –figura que por definición siempre tiene un límite temporal-, claro resulta que dicho beneficio no puede tener una vigencia ilimitada, conclusión a la que recientemente llegó la Sala de Casación Laboral de la Corte Suprema de Justicia en </w:t>
      </w:r>
      <w:r w:rsidRPr="0068335D">
        <w:rPr>
          <w:rFonts w:ascii="Arial" w:hAnsi="Arial" w:cs="Arial"/>
          <w:sz w:val="24"/>
          <w:szCs w:val="24"/>
        </w:rPr>
        <w:t xml:space="preserve">la sentencia SL4650 de 25 de enero de 2017 radicación Nº 45262 con ponencia de los Magistrados Fernando Castillo Cadena y Gerardo Botero Zuluaga. </w:t>
      </w:r>
    </w:p>
    <w:p w:rsidR="00B54135" w:rsidRPr="0068335D" w:rsidRDefault="00B54135" w:rsidP="0068335D">
      <w:pPr>
        <w:spacing w:line="276" w:lineRule="auto"/>
        <w:jc w:val="both"/>
        <w:rPr>
          <w:rFonts w:ascii="Arial" w:hAnsi="Arial" w:cs="Arial"/>
          <w:sz w:val="24"/>
          <w:szCs w:val="24"/>
        </w:rPr>
      </w:pPr>
    </w:p>
    <w:p w:rsidR="00B54135" w:rsidRPr="0068335D" w:rsidRDefault="00B54135" w:rsidP="0068335D">
      <w:pPr>
        <w:spacing w:line="276" w:lineRule="auto"/>
        <w:jc w:val="both"/>
        <w:rPr>
          <w:rFonts w:ascii="Arial" w:hAnsi="Arial" w:cs="Arial"/>
          <w:sz w:val="24"/>
          <w:szCs w:val="24"/>
        </w:rPr>
      </w:pPr>
      <w:r w:rsidRPr="0068335D">
        <w:rPr>
          <w:rFonts w:ascii="Arial" w:hAnsi="Arial" w:cs="Arial"/>
          <w:sz w:val="24"/>
          <w:szCs w:val="24"/>
        </w:rPr>
        <w:lastRenderedPageBreak/>
        <w:t>En esa providencia, la Alta Magistratura, luego de señalar que la condición más beneficiosa es: a) Una excepción al principio de la retrospectividad, b) Que opera en la sucesión o tránsito legislativo, c) Procede cuando se predica la aplicación de la normatividad inmediatamente anterior a la vigente al momento del siniestro, d) Entra en vigor a falta de un régimen de transición, e) Es aplicable a aquellos afiliados que tienen una expectativa legítima, al cumplir en su integridad la densidad de semanas exigidas en la Ley derogada, y f) Respeta la confianza legítima de los destinatarios de la norma;  determinó que para dejar causada la pensión de sobrevivientes en desarrollo del mencionado principio de la condición más beneficiosa en tránsito legislativo entre la Ley 100 de 1993 y la Ley 797 de 2003, se debe acreditar como requisito sine qua non que el deceso se produzca entre el 29 de enero de 2003 y el 29 de enero de 2006, y a partir de ese evento, en cada caso concreto se debe estudiar si el causante se encontraba en alguna de las cuatro circunstancias allí descritas para dejar causado el derecho.</w:t>
      </w:r>
    </w:p>
    <w:p w:rsidR="00792915" w:rsidRPr="0068335D" w:rsidRDefault="00792915" w:rsidP="0068335D">
      <w:pPr>
        <w:spacing w:line="276" w:lineRule="auto"/>
        <w:jc w:val="both"/>
        <w:rPr>
          <w:rFonts w:ascii="Arial" w:hAnsi="Arial" w:cs="Arial"/>
          <w:sz w:val="24"/>
          <w:szCs w:val="24"/>
        </w:rPr>
      </w:pPr>
    </w:p>
    <w:p w:rsidR="00B54135" w:rsidRPr="0068335D" w:rsidRDefault="00B54135" w:rsidP="0068335D">
      <w:pPr>
        <w:spacing w:line="276" w:lineRule="auto"/>
        <w:jc w:val="both"/>
        <w:rPr>
          <w:rFonts w:ascii="Arial" w:hAnsi="Arial" w:cs="Arial"/>
          <w:sz w:val="24"/>
          <w:szCs w:val="24"/>
        </w:rPr>
      </w:pPr>
    </w:p>
    <w:p w:rsidR="00B54135" w:rsidRPr="0068335D" w:rsidRDefault="00B54135" w:rsidP="0068335D">
      <w:pPr>
        <w:spacing w:line="276" w:lineRule="auto"/>
        <w:jc w:val="both"/>
        <w:rPr>
          <w:rFonts w:ascii="Arial" w:hAnsi="Arial" w:cs="Arial"/>
          <w:b/>
          <w:sz w:val="24"/>
          <w:szCs w:val="24"/>
        </w:rPr>
      </w:pPr>
      <w:r w:rsidRPr="0068335D">
        <w:rPr>
          <w:rFonts w:ascii="Arial" w:hAnsi="Arial" w:cs="Arial"/>
          <w:b/>
          <w:sz w:val="24"/>
          <w:szCs w:val="24"/>
        </w:rPr>
        <w:t>2. TEMPORALIDAD PARA LA APLICACIÓN DE LA CONDICIÓN MÁS BENEFICIOSA.</w:t>
      </w:r>
    </w:p>
    <w:p w:rsidR="00B54135" w:rsidRPr="0068335D" w:rsidRDefault="00B54135" w:rsidP="0068335D">
      <w:pPr>
        <w:spacing w:line="276" w:lineRule="auto"/>
        <w:jc w:val="both"/>
        <w:rPr>
          <w:rFonts w:ascii="Arial" w:hAnsi="Arial" w:cs="Arial"/>
          <w:sz w:val="24"/>
          <w:szCs w:val="24"/>
        </w:rPr>
      </w:pPr>
    </w:p>
    <w:p w:rsidR="00B54135" w:rsidRPr="0068335D" w:rsidRDefault="00B54135" w:rsidP="0068335D">
      <w:pPr>
        <w:spacing w:line="276" w:lineRule="auto"/>
        <w:jc w:val="both"/>
        <w:rPr>
          <w:rFonts w:ascii="Arial" w:hAnsi="Arial" w:cs="Arial"/>
          <w:sz w:val="24"/>
          <w:szCs w:val="24"/>
        </w:rPr>
      </w:pPr>
      <w:r w:rsidRPr="0068335D">
        <w:rPr>
          <w:rFonts w:ascii="Arial" w:hAnsi="Arial" w:cs="Arial"/>
          <w:sz w:val="24"/>
          <w:szCs w:val="24"/>
        </w:rPr>
        <w:t xml:space="preserve">Así pues, la finalidad pronunciamiento jurisprudencial, a que se hizo alusión con anterioridad, es limitar la aplicación del principio de la condición más beneficiosa, </w:t>
      </w:r>
      <w:r w:rsidR="0091173E" w:rsidRPr="0068335D">
        <w:rPr>
          <w:rFonts w:ascii="Arial" w:hAnsi="Arial" w:cs="Arial"/>
          <w:sz w:val="24"/>
          <w:szCs w:val="24"/>
        </w:rPr>
        <w:t>de manera tal que se permita el uso de la antigua legislación mientras corre el periodo prevista en la nueva ley para poder cumpli</w:t>
      </w:r>
      <w:r w:rsidR="005E3B7C" w:rsidRPr="0068335D">
        <w:rPr>
          <w:rFonts w:ascii="Arial" w:hAnsi="Arial" w:cs="Arial"/>
          <w:sz w:val="24"/>
          <w:szCs w:val="24"/>
        </w:rPr>
        <w:t xml:space="preserve">r con el requisito </w:t>
      </w:r>
      <w:r w:rsidR="001D17D8" w:rsidRPr="0068335D">
        <w:rPr>
          <w:rFonts w:ascii="Arial" w:hAnsi="Arial" w:cs="Arial"/>
          <w:sz w:val="24"/>
          <w:szCs w:val="24"/>
        </w:rPr>
        <w:t>del nuevo número de semanas que ella señala</w:t>
      </w:r>
      <w:r w:rsidR="0091173E" w:rsidRPr="0068335D">
        <w:rPr>
          <w:rFonts w:ascii="Arial" w:hAnsi="Arial" w:cs="Arial"/>
          <w:sz w:val="24"/>
          <w:szCs w:val="24"/>
        </w:rPr>
        <w:t>. Esto es, en el tránsito de ley 100 de 1993 a ley 797 de 2003, tres (3) años y en el tránsito de acuerdo 049 de 1990 a ley 100 de 1993 un (1) año. La razón es simple: mientras esos periodos están corriendo, si ocurre la contingencia, no es posible decir que se tuvo oportunidad de cumplir la exigencia de la nueva ley y por ello debe permitirse acudir a la anterior, pero corridos los mismo</w:t>
      </w:r>
      <w:r w:rsidR="001A1784" w:rsidRPr="0068335D">
        <w:rPr>
          <w:rFonts w:ascii="Arial" w:hAnsi="Arial" w:cs="Arial"/>
          <w:sz w:val="24"/>
          <w:szCs w:val="24"/>
        </w:rPr>
        <w:t>s</w:t>
      </w:r>
      <w:r w:rsidR="0091173E" w:rsidRPr="0068335D">
        <w:rPr>
          <w:rFonts w:ascii="Arial" w:hAnsi="Arial" w:cs="Arial"/>
          <w:sz w:val="24"/>
          <w:szCs w:val="24"/>
        </w:rPr>
        <w:t xml:space="preserve"> no existe justificación para no tener cumplido a cabalidad el número de semanas que la nueva legislación exige.</w:t>
      </w:r>
    </w:p>
    <w:p w:rsidR="00B54135" w:rsidRPr="0068335D" w:rsidRDefault="00B54135" w:rsidP="0068335D">
      <w:pPr>
        <w:spacing w:line="276" w:lineRule="auto"/>
        <w:jc w:val="both"/>
        <w:rPr>
          <w:rFonts w:ascii="Arial" w:hAnsi="Arial" w:cs="Arial"/>
          <w:sz w:val="24"/>
          <w:szCs w:val="24"/>
        </w:rPr>
      </w:pPr>
    </w:p>
    <w:p w:rsidR="00B54135" w:rsidRPr="0068335D" w:rsidRDefault="002C4698" w:rsidP="0068335D">
      <w:pPr>
        <w:spacing w:line="276" w:lineRule="auto"/>
        <w:jc w:val="both"/>
        <w:rPr>
          <w:rFonts w:ascii="Arial" w:hAnsi="Arial" w:cs="Arial"/>
          <w:sz w:val="24"/>
          <w:szCs w:val="24"/>
        </w:rPr>
      </w:pPr>
      <w:r w:rsidRPr="0068335D">
        <w:rPr>
          <w:rFonts w:ascii="Arial" w:hAnsi="Arial" w:cs="Arial"/>
          <w:sz w:val="24"/>
          <w:szCs w:val="24"/>
        </w:rPr>
        <w:t xml:space="preserve">En otras palabras, a título de ejemplo en el paso de ley 100 de 1993 a ley 797 de 2003, </w:t>
      </w:r>
      <w:r w:rsidR="00B54135" w:rsidRPr="0068335D">
        <w:rPr>
          <w:rFonts w:ascii="Arial" w:hAnsi="Arial" w:cs="Arial"/>
          <w:sz w:val="24"/>
          <w:szCs w:val="24"/>
        </w:rPr>
        <w:t>se pone este límite</w:t>
      </w:r>
      <w:r w:rsidRPr="0068335D">
        <w:rPr>
          <w:rFonts w:ascii="Arial" w:hAnsi="Arial" w:cs="Arial"/>
          <w:sz w:val="24"/>
          <w:szCs w:val="24"/>
        </w:rPr>
        <w:t xml:space="preserve"> (3 años)</w:t>
      </w:r>
      <w:r w:rsidR="00B54135" w:rsidRPr="0068335D">
        <w:rPr>
          <w:rFonts w:ascii="Arial" w:hAnsi="Arial" w:cs="Arial"/>
          <w:sz w:val="24"/>
          <w:szCs w:val="24"/>
        </w:rPr>
        <w:t xml:space="preserve">, por la potísima razón de que es ese precisamente el lapso previsto en la nueva ley para poder acreditar el requisito de las 50 semanas, entendiéndose entonces que transcurridos esos tres años, no existe razón para que no se hayan realizado los aportes exigidos </w:t>
      </w:r>
      <w:r w:rsidR="00792915" w:rsidRPr="0068335D">
        <w:rPr>
          <w:rFonts w:ascii="Arial" w:hAnsi="Arial" w:cs="Arial"/>
          <w:sz w:val="24"/>
          <w:szCs w:val="24"/>
        </w:rPr>
        <w:t xml:space="preserve">en la nueva normatividad </w:t>
      </w:r>
      <w:r w:rsidR="00B54135" w:rsidRPr="0068335D">
        <w:rPr>
          <w:rFonts w:ascii="Arial" w:hAnsi="Arial" w:cs="Arial"/>
          <w:sz w:val="24"/>
          <w:szCs w:val="24"/>
        </w:rPr>
        <w:t>y por ende</w:t>
      </w:r>
      <w:r w:rsidR="00792915" w:rsidRPr="0068335D">
        <w:rPr>
          <w:rFonts w:ascii="Arial" w:hAnsi="Arial" w:cs="Arial"/>
          <w:sz w:val="24"/>
          <w:szCs w:val="24"/>
        </w:rPr>
        <w:t>, si el interesado no los efectuó,</w:t>
      </w:r>
      <w:r w:rsidR="00B54135" w:rsidRPr="0068335D">
        <w:rPr>
          <w:rFonts w:ascii="Arial" w:hAnsi="Arial" w:cs="Arial"/>
          <w:sz w:val="24"/>
          <w:szCs w:val="24"/>
        </w:rPr>
        <w:t xml:space="preserve"> no hay lugar a mantener la vigencia de la ley anterior.</w:t>
      </w:r>
    </w:p>
    <w:p w:rsidR="00B54135" w:rsidRPr="0068335D" w:rsidRDefault="00B54135" w:rsidP="0068335D">
      <w:pPr>
        <w:spacing w:line="276" w:lineRule="auto"/>
        <w:jc w:val="both"/>
        <w:rPr>
          <w:rFonts w:ascii="Arial" w:hAnsi="Arial" w:cs="Arial"/>
          <w:sz w:val="24"/>
          <w:szCs w:val="24"/>
        </w:rPr>
      </w:pPr>
    </w:p>
    <w:p w:rsidR="00B54135" w:rsidRPr="0068335D" w:rsidRDefault="00B54135" w:rsidP="0068335D">
      <w:pPr>
        <w:spacing w:line="276" w:lineRule="auto"/>
        <w:jc w:val="both"/>
        <w:rPr>
          <w:rFonts w:ascii="Arial" w:hAnsi="Arial" w:cs="Arial"/>
          <w:sz w:val="24"/>
          <w:szCs w:val="24"/>
        </w:rPr>
      </w:pPr>
      <w:r w:rsidRPr="0068335D">
        <w:rPr>
          <w:rFonts w:ascii="Arial" w:hAnsi="Arial" w:cs="Arial"/>
          <w:sz w:val="24"/>
          <w:szCs w:val="24"/>
        </w:rPr>
        <w:t xml:space="preserve">Ahora, </w:t>
      </w:r>
      <w:r w:rsidR="001D17D8" w:rsidRPr="0068335D">
        <w:rPr>
          <w:rFonts w:ascii="Arial" w:hAnsi="Arial" w:cs="Arial"/>
          <w:sz w:val="24"/>
          <w:szCs w:val="24"/>
        </w:rPr>
        <w:t>siendo que el principio que rige el otorgamiento de prestaciones para los riesgos de invalidez y muerte</w:t>
      </w:r>
      <w:r w:rsidRPr="0068335D">
        <w:rPr>
          <w:rFonts w:ascii="Arial" w:hAnsi="Arial" w:cs="Arial"/>
          <w:sz w:val="24"/>
          <w:szCs w:val="24"/>
        </w:rPr>
        <w:t xml:space="preserve"> </w:t>
      </w:r>
      <w:r w:rsidR="001D17D8" w:rsidRPr="0068335D">
        <w:rPr>
          <w:rFonts w:ascii="Arial" w:hAnsi="Arial" w:cs="Arial"/>
          <w:sz w:val="24"/>
          <w:szCs w:val="24"/>
        </w:rPr>
        <w:t>es el de “</w:t>
      </w:r>
      <w:r w:rsidR="001D17D8" w:rsidRPr="0043618B">
        <w:rPr>
          <w:rFonts w:ascii="Arial" w:hAnsi="Arial" w:cs="Arial"/>
          <w:sz w:val="22"/>
          <w:szCs w:val="24"/>
        </w:rPr>
        <w:t>fidelidad al sistema</w:t>
      </w:r>
      <w:r w:rsidR="001D17D8" w:rsidRPr="0068335D">
        <w:rPr>
          <w:rFonts w:ascii="Arial" w:hAnsi="Arial" w:cs="Arial"/>
          <w:sz w:val="24"/>
          <w:szCs w:val="24"/>
        </w:rPr>
        <w:t>” más no el de completar un número alto de cotizaciones al mismo -como ocurre para el riesgo de vejez-</w:t>
      </w:r>
      <w:r w:rsidRPr="0068335D">
        <w:rPr>
          <w:rFonts w:ascii="Arial" w:hAnsi="Arial" w:cs="Arial"/>
          <w:sz w:val="24"/>
          <w:szCs w:val="24"/>
        </w:rPr>
        <w:t xml:space="preserve">, considero que en </w:t>
      </w:r>
      <w:r w:rsidR="001D17D8" w:rsidRPr="0068335D">
        <w:rPr>
          <w:rFonts w:ascii="Arial" w:hAnsi="Arial" w:cs="Arial"/>
          <w:sz w:val="24"/>
          <w:szCs w:val="24"/>
        </w:rPr>
        <w:t>estos</w:t>
      </w:r>
      <w:r w:rsidRPr="0068335D">
        <w:rPr>
          <w:rFonts w:ascii="Arial" w:hAnsi="Arial" w:cs="Arial"/>
          <w:sz w:val="24"/>
          <w:szCs w:val="24"/>
        </w:rPr>
        <w:t xml:space="preserve"> evento</w:t>
      </w:r>
      <w:r w:rsidR="001D17D8" w:rsidRPr="0068335D">
        <w:rPr>
          <w:rFonts w:ascii="Arial" w:hAnsi="Arial" w:cs="Arial"/>
          <w:sz w:val="24"/>
          <w:szCs w:val="24"/>
        </w:rPr>
        <w:t>s</w:t>
      </w:r>
      <w:r w:rsidRPr="0068335D">
        <w:rPr>
          <w:rFonts w:ascii="Arial" w:hAnsi="Arial" w:cs="Arial"/>
          <w:sz w:val="24"/>
          <w:szCs w:val="24"/>
        </w:rPr>
        <w:t xml:space="preserve">, al tratarse de norma más </w:t>
      </w:r>
      <w:r w:rsidR="001D17D8" w:rsidRPr="0068335D">
        <w:rPr>
          <w:rFonts w:ascii="Arial" w:hAnsi="Arial" w:cs="Arial"/>
          <w:sz w:val="24"/>
          <w:szCs w:val="24"/>
        </w:rPr>
        <w:t>favorable (recuérdese que antes se exigían 150 semanas en los 6 años anteriores o 300 en cualquier tiempo, mientras que la ley 100 solo exigía 26 semanas en el año anterior si no se estaba aportando en el momento o 26 en cualquier tiempo si se estaba cotizando para el momento de ocurrir el riesgo)</w:t>
      </w:r>
      <w:r w:rsidRPr="0068335D">
        <w:rPr>
          <w:rFonts w:ascii="Arial" w:hAnsi="Arial" w:cs="Arial"/>
          <w:sz w:val="24"/>
          <w:szCs w:val="24"/>
        </w:rPr>
        <w:t xml:space="preserve">, resulta igualmente procedente </w:t>
      </w:r>
      <w:r w:rsidR="00A55ADB" w:rsidRPr="0068335D">
        <w:rPr>
          <w:rFonts w:ascii="Arial" w:hAnsi="Arial" w:cs="Arial"/>
          <w:sz w:val="24"/>
          <w:szCs w:val="24"/>
        </w:rPr>
        <w:t xml:space="preserve">e imperativo, </w:t>
      </w:r>
      <w:r w:rsidRPr="0068335D">
        <w:rPr>
          <w:rFonts w:ascii="Arial" w:hAnsi="Arial" w:cs="Arial"/>
          <w:sz w:val="24"/>
          <w:szCs w:val="24"/>
        </w:rPr>
        <w:t>establecer la misma restricción y con los mismos parámetros señalados en la sentencia de la Corte Suprema de Justicia, antes referida.</w:t>
      </w:r>
    </w:p>
    <w:p w:rsidR="00B54135" w:rsidRPr="0068335D" w:rsidRDefault="00B54135" w:rsidP="0068335D">
      <w:pPr>
        <w:spacing w:line="276" w:lineRule="auto"/>
        <w:jc w:val="both"/>
        <w:rPr>
          <w:rFonts w:ascii="Arial" w:hAnsi="Arial" w:cs="Arial"/>
          <w:sz w:val="24"/>
          <w:szCs w:val="24"/>
        </w:rPr>
      </w:pPr>
    </w:p>
    <w:p w:rsidR="00B54135" w:rsidRPr="0068335D" w:rsidRDefault="00B54135" w:rsidP="0068335D">
      <w:pPr>
        <w:spacing w:line="276" w:lineRule="auto"/>
        <w:jc w:val="both"/>
        <w:rPr>
          <w:rFonts w:ascii="Arial" w:hAnsi="Arial" w:cs="Arial"/>
          <w:sz w:val="24"/>
          <w:szCs w:val="24"/>
        </w:rPr>
      </w:pPr>
      <w:r w:rsidRPr="0068335D">
        <w:rPr>
          <w:rFonts w:ascii="Arial" w:hAnsi="Arial" w:cs="Arial"/>
          <w:sz w:val="24"/>
          <w:szCs w:val="24"/>
        </w:rPr>
        <w:t>De tal manera que, siguiendo la misma lógica, al subsumir la anterior intelección, para aplicar el principio de la condición más beneficiosa, cuando se pretenda acudir al Acuerdo 049/90</w:t>
      </w:r>
      <w:r w:rsidR="00EB3D99" w:rsidRPr="0068335D">
        <w:rPr>
          <w:rFonts w:ascii="Arial" w:hAnsi="Arial" w:cs="Arial"/>
          <w:sz w:val="24"/>
          <w:szCs w:val="24"/>
        </w:rPr>
        <w:t>,</w:t>
      </w:r>
      <w:r w:rsidRPr="0068335D">
        <w:rPr>
          <w:rFonts w:ascii="Arial" w:hAnsi="Arial" w:cs="Arial"/>
          <w:sz w:val="24"/>
          <w:szCs w:val="24"/>
        </w:rPr>
        <w:t xml:space="preserve"> </w:t>
      </w:r>
      <w:r w:rsidR="00EB3D99" w:rsidRPr="0068335D">
        <w:rPr>
          <w:rFonts w:ascii="Arial" w:hAnsi="Arial" w:cs="Arial"/>
          <w:sz w:val="24"/>
          <w:szCs w:val="24"/>
        </w:rPr>
        <w:t xml:space="preserve">el deceso </w:t>
      </w:r>
      <w:r w:rsidR="00A55ADB" w:rsidRPr="0068335D">
        <w:rPr>
          <w:rFonts w:ascii="Arial" w:hAnsi="Arial" w:cs="Arial"/>
          <w:sz w:val="24"/>
          <w:szCs w:val="24"/>
        </w:rPr>
        <w:t xml:space="preserve">o la invalidez </w:t>
      </w:r>
      <w:r w:rsidRPr="0068335D">
        <w:rPr>
          <w:rFonts w:ascii="Arial" w:hAnsi="Arial" w:cs="Arial"/>
          <w:sz w:val="24"/>
          <w:szCs w:val="24"/>
        </w:rPr>
        <w:t>debe</w:t>
      </w:r>
      <w:r w:rsidR="00A55ADB" w:rsidRPr="0068335D">
        <w:rPr>
          <w:rFonts w:ascii="Arial" w:hAnsi="Arial" w:cs="Arial"/>
          <w:sz w:val="24"/>
          <w:szCs w:val="24"/>
        </w:rPr>
        <w:t>n</w:t>
      </w:r>
      <w:r w:rsidRPr="0068335D">
        <w:rPr>
          <w:rFonts w:ascii="Arial" w:hAnsi="Arial" w:cs="Arial"/>
          <w:sz w:val="24"/>
          <w:szCs w:val="24"/>
        </w:rPr>
        <w:t xml:space="preserve"> </w:t>
      </w:r>
      <w:r w:rsidR="00EB3D99" w:rsidRPr="0068335D">
        <w:rPr>
          <w:rFonts w:ascii="Arial" w:hAnsi="Arial" w:cs="Arial"/>
          <w:sz w:val="24"/>
          <w:szCs w:val="24"/>
        </w:rPr>
        <w:t>haberse presentado</w:t>
      </w:r>
      <w:r w:rsidRPr="0068335D">
        <w:rPr>
          <w:rFonts w:ascii="Arial" w:hAnsi="Arial" w:cs="Arial"/>
          <w:sz w:val="24"/>
          <w:szCs w:val="24"/>
        </w:rPr>
        <w:t xml:space="preserve"> dentro del año siguiente al cambio normativo o entrada en vigencia de la Ley 100/93, que corresponde al periodo en que esta establece la posibilidad de cumplir la densidad de cotizaciones -26 semanas- para entender causado el derecho</w:t>
      </w:r>
      <w:r w:rsidR="00D04139" w:rsidRPr="0068335D">
        <w:rPr>
          <w:rFonts w:ascii="Arial" w:hAnsi="Arial" w:cs="Arial"/>
          <w:sz w:val="24"/>
          <w:szCs w:val="24"/>
        </w:rPr>
        <w:t xml:space="preserve"> y, como en este caso, el causante falleció el 1 de noviembre de 1997, tuvo más de 3 años para cumplir tal requisito, sin que así lo hubiera hecho por lo que debieron negarse las pretensiones de la demanda</w:t>
      </w:r>
      <w:r w:rsidRPr="0068335D">
        <w:rPr>
          <w:rFonts w:ascii="Arial" w:hAnsi="Arial" w:cs="Arial"/>
          <w:sz w:val="24"/>
          <w:szCs w:val="24"/>
        </w:rPr>
        <w:t>.</w:t>
      </w:r>
    </w:p>
    <w:p w:rsidR="00B54135" w:rsidRPr="0068335D" w:rsidRDefault="00B54135" w:rsidP="0068335D">
      <w:pPr>
        <w:spacing w:line="276" w:lineRule="auto"/>
        <w:jc w:val="both"/>
        <w:rPr>
          <w:rFonts w:ascii="Arial" w:hAnsi="Arial" w:cs="Arial"/>
          <w:sz w:val="24"/>
          <w:szCs w:val="24"/>
        </w:rPr>
      </w:pPr>
    </w:p>
    <w:p w:rsidR="00C41D20" w:rsidRPr="0068335D" w:rsidRDefault="00396D04" w:rsidP="0068335D">
      <w:pPr>
        <w:spacing w:line="276" w:lineRule="auto"/>
        <w:ind w:right="51"/>
        <w:jc w:val="both"/>
        <w:rPr>
          <w:rFonts w:ascii="Arial" w:hAnsi="Arial" w:cs="Arial"/>
          <w:sz w:val="24"/>
          <w:szCs w:val="24"/>
        </w:rPr>
      </w:pPr>
      <w:r w:rsidRPr="0068335D">
        <w:rPr>
          <w:rFonts w:ascii="Arial" w:hAnsi="Arial" w:cs="Arial"/>
          <w:sz w:val="24"/>
          <w:szCs w:val="24"/>
        </w:rPr>
        <w:t xml:space="preserve">No obstante, la anterior </w:t>
      </w:r>
      <w:r w:rsidR="00A55ADB" w:rsidRPr="0068335D">
        <w:rPr>
          <w:rFonts w:ascii="Arial" w:hAnsi="Arial" w:cs="Arial"/>
          <w:sz w:val="24"/>
          <w:szCs w:val="24"/>
        </w:rPr>
        <w:t>interpretación, itero, no es la de la Corte ni la de mis compañeros de Sala y por eso</w:t>
      </w:r>
      <w:r w:rsidRPr="0068335D">
        <w:rPr>
          <w:rFonts w:ascii="Arial" w:hAnsi="Arial" w:cs="Arial"/>
          <w:sz w:val="24"/>
          <w:szCs w:val="24"/>
        </w:rPr>
        <w:t xml:space="preserve"> se contin</w:t>
      </w:r>
      <w:r w:rsidR="00A55ADB" w:rsidRPr="0068335D">
        <w:rPr>
          <w:rFonts w:ascii="Arial" w:hAnsi="Arial" w:cs="Arial"/>
          <w:sz w:val="24"/>
          <w:szCs w:val="24"/>
        </w:rPr>
        <w:t>úa</w:t>
      </w:r>
      <w:r w:rsidRPr="0068335D">
        <w:rPr>
          <w:rFonts w:ascii="Arial" w:hAnsi="Arial" w:cs="Arial"/>
          <w:sz w:val="24"/>
          <w:szCs w:val="24"/>
        </w:rPr>
        <w:t xml:space="preserve"> </w:t>
      </w:r>
      <w:r w:rsidR="00EB3D99" w:rsidRPr="0068335D">
        <w:rPr>
          <w:rFonts w:ascii="Arial" w:hAnsi="Arial" w:cs="Arial"/>
          <w:sz w:val="24"/>
          <w:szCs w:val="24"/>
        </w:rPr>
        <w:t xml:space="preserve">considerando que, haber cotizado 300 semanas bajo el sistema del </w:t>
      </w:r>
      <w:r w:rsidR="0043618B" w:rsidRPr="0068335D">
        <w:rPr>
          <w:rFonts w:ascii="Arial" w:hAnsi="Arial" w:cs="Arial"/>
          <w:sz w:val="24"/>
          <w:szCs w:val="24"/>
        </w:rPr>
        <w:t xml:space="preserve">Acuerdo </w:t>
      </w:r>
      <w:r w:rsidR="00EB3D99" w:rsidRPr="0068335D">
        <w:rPr>
          <w:rFonts w:ascii="Arial" w:hAnsi="Arial" w:cs="Arial"/>
          <w:sz w:val="24"/>
          <w:szCs w:val="24"/>
        </w:rPr>
        <w:t>049 de 1990 constitu</w:t>
      </w:r>
      <w:r w:rsidR="00A55ADB" w:rsidRPr="0068335D">
        <w:rPr>
          <w:rFonts w:ascii="Arial" w:hAnsi="Arial" w:cs="Arial"/>
          <w:sz w:val="24"/>
          <w:szCs w:val="24"/>
        </w:rPr>
        <w:t>ye</w:t>
      </w:r>
      <w:r w:rsidR="00EB3D99" w:rsidRPr="0068335D">
        <w:rPr>
          <w:rFonts w:ascii="Arial" w:hAnsi="Arial" w:cs="Arial"/>
          <w:sz w:val="24"/>
          <w:szCs w:val="24"/>
        </w:rPr>
        <w:t xml:space="preserve"> un derecho adquirido</w:t>
      </w:r>
      <w:r w:rsidR="00A55ADB" w:rsidRPr="0068335D">
        <w:rPr>
          <w:rFonts w:ascii="Arial" w:hAnsi="Arial" w:cs="Arial"/>
          <w:sz w:val="24"/>
          <w:szCs w:val="24"/>
        </w:rPr>
        <w:t xml:space="preserve"> </w:t>
      </w:r>
      <w:r w:rsidR="00EB3D99" w:rsidRPr="0068335D">
        <w:rPr>
          <w:rFonts w:ascii="Arial" w:hAnsi="Arial" w:cs="Arial"/>
          <w:sz w:val="24"/>
          <w:szCs w:val="24"/>
        </w:rPr>
        <w:t xml:space="preserve">que, independientemente de </w:t>
      </w:r>
      <w:r w:rsidR="00A55ADB" w:rsidRPr="0068335D">
        <w:rPr>
          <w:rFonts w:ascii="Arial" w:hAnsi="Arial" w:cs="Arial"/>
          <w:sz w:val="24"/>
          <w:szCs w:val="24"/>
        </w:rPr>
        <w:t>los</w:t>
      </w:r>
      <w:r w:rsidR="00EB3D99" w:rsidRPr="0068335D">
        <w:rPr>
          <w:rFonts w:ascii="Arial" w:hAnsi="Arial" w:cs="Arial"/>
          <w:sz w:val="24"/>
          <w:szCs w:val="24"/>
        </w:rPr>
        <w:t xml:space="preserve"> cambios legislativos respecto a los requisitos necesarios para acceder a la pensión de sobrevivientes, </w:t>
      </w:r>
      <w:r w:rsidR="00A55ADB" w:rsidRPr="0068335D">
        <w:rPr>
          <w:rFonts w:ascii="Arial" w:hAnsi="Arial" w:cs="Arial"/>
          <w:sz w:val="24"/>
          <w:szCs w:val="24"/>
        </w:rPr>
        <w:t>otorga a los</w:t>
      </w:r>
      <w:r w:rsidR="00EB3D99" w:rsidRPr="0068335D">
        <w:rPr>
          <w:rFonts w:ascii="Arial" w:hAnsi="Arial" w:cs="Arial"/>
          <w:sz w:val="24"/>
          <w:szCs w:val="24"/>
        </w:rPr>
        <w:t xml:space="preserve"> beneficiarios </w:t>
      </w:r>
      <w:r w:rsidR="00A55ADB" w:rsidRPr="0068335D">
        <w:rPr>
          <w:rFonts w:ascii="Arial" w:hAnsi="Arial" w:cs="Arial"/>
          <w:sz w:val="24"/>
          <w:szCs w:val="24"/>
        </w:rPr>
        <w:t>las prestaciones ofrecidas por el sistema</w:t>
      </w:r>
      <w:r w:rsidRPr="0068335D">
        <w:rPr>
          <w:rFonts w:ascii="Arial" w:hAnsi="Arial" w:cs="Arial"/>
          <w:sz w:val="24"/>
          <w:szCs w:val="24"/>
        </w:rPr>
        <w:t>.</w:t>
      </w:r>
      <w:r w:rsidR="00A55ADB" w:rsidRPr="0068335D">
        <w:rPr>
          <w:rFonts w:ascii="Arial" w:hAnsi="Arial" w:cs="Arial"/>
          <w:sz w:val="24"/>
          <w:szCs w:val="24"/>
        </w:rPr>
        <w:t xml:space="preserve"> </w:t>
      </w:r>
    </w:p>
    <w:p w:rsidR="00C41D20" w:rsidRPr="0068335D" w:rsidRDefault="00C41D20" w:rsidP="0068335D">
      <w:pPr>
        <w:spacing w:line="276" w:lineRule="auto"/>
        <w:ind w:right="51"/>
        <w:jc w:val="both"/>
        <w:rPr>
          <w:rFonts w:ascii="Arial" w:hAnsi="Arial" w:cs="Arial"/>
          <w:sz w:val="24"/>
          <w:szCs w:val="24"/>
        </w:rPr>
      </w:pPr>
    </w:p>
    <w:p w:rsidR="00C12463" w:rsidRPr="0068335D" w:rsidRDefault="00A55ADB" w:rsidP="0068335D">
      <w:pPr>
        <w:spacing w:line="276" w:lineRule="auto"/>
        <w:ind w:right="51"/>
        <w:jc w:val="both"/>
        <w:rPr>
          <w:rFonts w:ascii="Arial" w:eastAsia="Calibri" w:hAnsi="Arial" w:cs="Arial"/>
          <w:sz w:val="24"/>
          <w:szCs w:val="24"/>
          <w:lang w:val="es-CO" w:eastAsia="en-US"/>
        </w:rPr>
      </w:pPr>
      <w:r w:rsidRPr="0068335D">
        <w:rPr>
          <w:rFonts w:ascii="Arial" w:hAnsi="Arial" w:cs="Arial"/>
          <w:sz w:val="24"/>
          <w:szCs w:val="24"/>
        </w:rPr>
        <w:t xml:space="preserve">De allí que, al no estar de acuerdo con este entendimiento, me corresponde </w:t>
      </w:r>
      <w:r w:rsidR="00C41D20" w:rsidRPr="0068335D">
        <w:rPr>
          <w:rFonts w:ascii="Arial" w:hAnsi="Arial" w:cs="Arial"/>
          <w:sz w:val="24"/>
          <w:szCs w:val="24"/>
        </w:rPr>
        <w:t>salvar</w:t>
      </w:r>
      <w:r w:rsidRPr="0068335D">
        <w:rPr>
          <w:rFonts w:ascii="Arial" w:hAnsi="Arial" w:cs="Arial"/>
          <w:sz w:val="24"/>
          <w:szCs w:val="24"/>
        </w:rPr>
        <w:t xml:space="preserve"> mi voto como acá queda hecho, </w:t>
      </w:r>
      <w:r w:rsidR="00C41D20" w:rsidRPr="0068335D">
        <w:rPr>
          <w:rFonts w:ascii="Arial" w:hAnsi="Arial" w:cs="Arial"/>
          <w:sz w:val="24"/>
          <w:szCs w:val="24"/>
        </w:rPr>
        <w:t>toda vez que, con base en el criterio que he expuesto, la sentencia proferida por el juzgado Quinto Laboral del Circuito el día 1 de diciembre de 2021, debió revocarse en su totalidad</w:t>
      </w:r>
      <w:r w:rsidRPr="0068335D">
        <w:rPr>
          <w:rFonts w:ascii="Arial" w:hAnsi="Arial" w:cs="Arial"/>
          <w:sz w:val="24"/>
          <w:szCs w:val="24"/>
        </w:rPr>
        <w:t xml:space="preserve">. </w:t>
      </w:r>
    </w:p>
    <w:p w:rsidR="00396D04" w:rsidRPr="0068335D" w:rsidRDefault="00396D04" w:rsidP="0068335D">
      <w:pPr>
        <w:spacing w:line="276" w:lineRule="auto"/>
        <w:ind w:right="51"/>
        <w:jc w:val="both"/>
        <w:rPr>
          <w:rFonts w:ascii="Arial" w:eastAsia="Calibri" w:hAnsi="Arial" w:cs="Arial"/>
          <w:sz w:val="24"/>
          <w:szCs w:val="24"/>
          <w:lang w:val="es-CO" w:eastAsia="en-US"/>
        </w:rPr>
      </w:pPr>
    </w:p>
    <w:p w:rsidR="00804E10" w:rsidRPr="0068335D" w:rsidRDefault="00804E10" w:rsidP="0068335D">
      <w:pPr>
        <w:pStyle w:val="Textoindependiente"/>
        <w:spacing w:line="276" w:lineRule="auto"/>
        <w:rPr>
          <w:sz w:val="24"/>
          <w:szCs w:val="24"/>
        </w:rPr>
      </w:pPr>
    </w:p>
    <w:p w:rsidR="00C137A7" w:rsidRPr="0068335D" w:rsidRDefault="00C137A7" w:rsidP="0068335D">
      <w:pPr>
        <w:pStyle w:val="Ttulo4"/>
        <w:spacing w:line="276" w:lineRule="auto"/>
        <w:jc w:val="left"/>
        <w:rPr>
          <w:b w:val="0"/>
          <w:i w:val="0"/>
          <w:szCs w:val="24"/>
        </w:rPr>
      </w:pPr>
    </w:p>
    <w:p w:rsidR="00C137A7" w:rsidRPr="0068335D" w:rsidRDefault="00C137A7" w:rsidP="0068335D">
      <w:pPr>
        <w:pStyle w:val="Ttulo4"/>
        <w:spacing w:line="276" w:lineRule="auto"/>
        <w:jc w:val="left"/>
        <w:rPr>
          <w:b w:val="0"/>
          <w:i w:val="0"/>
          <w:szCs w:val="24"/>
        </w:rPr>
      </w:pPr>
    </w:p>
    <w:p w:rsidR="00F74C13" w:rsidRPr="0068335D" w:rsidRDefault="00F74C13" w:rsidP="0068335D">
      <w:pPr>
        <w:pStyle w:val="Ttulo4"/>
        <w:spacing w:line="276" w:lineRule="auto"/>
        <w:rPr>
          <w:i w:val="0"/>
          <w:szCs w:val="24"/>
        </w:rPr>
      </w:pPr>
      <w:r w:rsidRPr="0068335D">
        <w:rPr>
          <w:i w:val="0"/>
          <w:szCs w:val="24"/>
        </w:rPr>
        <w:t>JULIO CÉSAR SALAZAR MUÑOZ</w:t>
      </w:r>
    </w:p>
    <w:p w:rsidR="00F74C13" w:rsidRPr="0068335D" w:rsidRDefault="00F74C13" w:rsidP="0068335D">
      <w:pPr>
        <w:spacing w:line="276" w:lineRule="auto"/>
        <w:jc w:val="center"/>
        <w:rPr>
          <w:rFonts w:ascii="Arial" w:hAnsi="Arial" w:cs="Arial"/>
          <w:sz w:val="24"/>
          <w:szCs w:val="24"/>
        </w:rPr>
      </w:pPr>
      <w:r w:rsidRPr="0068335D">
        <w:rPr>
          <w:rFonts w:ascii="Arial" w:hAnsi="Arial" w:cs="Arial"/>
          <w:sz w:val="24"/>
          <w:szCs w:val="24"/>
        </w:rPr>
        <w:t>Magistrado</w:t>
      </w:r>
      <w:bookmarkStart w:id="0" w:name="_GoBack"/>
      <w:bookmarkEnd w:id="0"/>
    </w:p>
    <w:sectPr w:rsidR="00F74C13" w:rsidRPr="0068335D" w:rsidSect="00A2188F">
      <w:foot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F78" w:rsidRDefault="00645F78">
      <w:r>
        <w:separator/>
      </w:r>
    </w:p>
  </w:endnote>
  <w:endnote w:type="continuationSeparator" w:id="0">
    <w:p w:rsidR="00645F78" w:rsidRDefault="0064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School Book">
    <w:altName w:val="Arial Unicode MS"/>
    <w:panose1 w:val="00000000000000000000"/>
    <w:charset w:val="00"/>
    <w:family w:val="roman"/>
    <w:notTrueType/>
    <w:pitch w:val="default"/>
    <w:sig w:usb0="40000000" w:usb1="0062FE28" w:usb2="7F24142E" w:usb3="0049006E" w:csb0="005600D8" w:csb1="0062EF54"/>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05" w:rsidRDefault="00B25ABA">
    <w:pPr>
      <w:pStyle w:val="Piedepgina"/>
      <w:jc w:val="right"/>
    </w:pPr>
    <w:r>
      <w:fldChar w:fldCharType="begin"/>
    </w:r>
    <w:r w:rsidR="000B0005">
      <w:instrText>PAGE   \* MERGEFORMAT</w:instrText>
    </w:r>
    <w:r>
      <w:fldChar w:fldCharType="separate"/>
    </w:r>
    <w:r w:rsidR="00ED6EAF">
      <w:rPr>
        <w:noProof/>
      </w:rPr>
      <w:t>1</w:t>
    </w:r>
    <w:r>
      <w:fldChar w:fldCharType="end"/>
    </w:r>
  </w:p>
  <w:p w:rsidR="000B0005" w:rsidRDefault="000B00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F78" w:rsidRDefault="00645F78">
      <w:r>
        <w:separator/>
      </w:r>
    </w:p>
  </w:footnote>
  <w:footnote w:type="continuationSeparator" w:id="0">
    <w:p w:rsidR="00645F78" w:rsidRDefault="00645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1C"/>
    <w:multiLevelType w:val="hybridMultilevel"/>
    <w:tmpl w:val="0A5A7EEE"/>
    <w:lvl w:ilvl="0" w:tplc="9D8C900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3321AC"/>
    <w:multiLevelType w:val="hybridMultilevel"/>
    <w:tmpl w:val="46349290"/>
    <w:lvl w:ilvl="0" w:tplc="F420F270">
      <w:start w:val="1"/>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3E589B"/>
    <w:multiLevelType w:val="hybridMultilevel"/>
    <w:tmpl w:val="E8AA3DBA"/>
    <w:lvl w:ilvl="0" w:tplc="28A6B0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A161EC"/>
    <w:multiLevelType w:val="multilevel"/>
    <w:tmpl w:val="19146AC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D4F2314"/>
    <w:multiLevelType w:val="hybridMultilevel"/>
    <w:tmpl w:val="8438B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67642D"/>
    <w:multiLevelType w:val="hybridMultilevel"/>
    <w:tmpl w:val="7EA8624C"/>
    <w:lvl w:ilvl="0" w:tplc="AD9CBC76">
      <w:start w:val="1"/>
      <w:numFmt w:val="decimal"/>
      <w:lvlText w:val="%1."/>
      <w:lvlJc w:val="left"/>
      <w:pPr>
        <w:ind w:left="360" w:hanging="360"/>
      </w:pPr>
      <w:rPr>
        <w:rFont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97C101B"/>
    <w:multiLevelType w:val="hybridMultilevel"/>
    <w:tmpl w:val="E70449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663"/>
    <w:rsid w:val="00001EC0"/>
    <w:rsid w:val="000246D0"/>
    <w:rsid w:val="00040156"/>
    <w:rsid w:val="00066C63"/>
    <w:rsid w:val="00082CA6"/>
    <w:rsid w:val="000B0005"/>
    <w:rsid w:val="000B5A6E"/>
    <w:rsid w:val="000B6A17"/>
    <w:rsid w:val="000D0AAE"/>
    <w:rsid w:val="000E6D5B"/>
    <w:rsid w:val="00117382"/>
    <w:rsid w:val="00143721"/>
    <w:rsid w:val="00173DAD"/>
    <w:rsid w:val="0018259F"/>
    <w:rsid w:val="001A1784"/>
    <w:rsid w:val="001A3BB7"/>
    <w:rsid w:val="001B36E7"/>
    <w:rsid w:val="001D17D8"/>
    <w:rsid w:val="001D3418"/>
    <w:rsid w:val="001D7B31"/>
    <w:rsid w:val="001E006B"/>
    <w:rsid w:val="001E60B6"/>
    <w:rsid w:val="001F34A3"/>
    <w:rsid w:val="001F4A0D"/>
    <w:rsid w:val="001F64CF"/>
    <w:rsid w:val="00211BA4"/>
    <w:rsid w:val="00223F4F"/>
    <w:rsid w:val="00253DC6"/>
    <w:rsid w:val="00286C8A"/>
    <w:rsid w:val="00297C5B"/>
    <w:rsid w:val="002C34A0"/>
    <w:rsid w:val="002C4698"/>
    <w:rsid w:val="002D2EA1"/>
    <w:rsid w:val="00301FFB"/>
    <w:rsid w:val="00303663"/>
    <w:rsid w:val="0031744B"/>
    <w:rsid w:val="0036681F"/>
    <w:rsid w:val="003711CC"/>
    <w:rsid w:val="00391E10"/>
    <w:rsid w:val="00396D04"/>
    <w:rsid w:val="003E0A7E"/>
    <w:rsid w:val="003E72FA"/>
    <w:rsid w:val="003F2D1B"/>
    <w:rsid w:val="00400B8A"/>
    <w:rsid w:val="004204AF"/>
    <w:rsid w:val="00426F2A"/>
    <w:rsid w:val="00431B06"/>
    <w:rsid w:val="0043618B"/>
    <w:rsid w:val="0045479C"/>
    <w:rsid w:val="004909C1"/>
    <w:rsid w:val="004A274A"/>
    <w:rsid w:val="004C3FA2"/>
    <w:rsid w:val="004F5D13"/>
    <w:rsid w:val="00503F66"/>
    <w:rsid w:val="0050566E"/>
    <w:rsid w:val="00544EE1"/>
    <w:rsid w:val="0056450F"/>
    <w:rsid w:val="005721A0"/>
    <w:rsid w:val="005A7131"/>
    <w:rsid w:val="005B3E98"/>
    <w:rsid w:val="005C062E"/>
    <w:rsid w:val="005C3B09"/>
    <w:rsid w:val="005E3B7C"/>
    <w:rsid w:val="005F4663"/>
    <w:rsid w:val="00603694"/>
    <w:rsid w:val="006108EB"/>
    <w:rsid w:val="00645F78"/>
    <w:rsid w:val="00654B0E"/>
    <w:rsid w:val="0068335D"/>
    <w:rsid w:val="006939AD"/>
    <w:rsid w:val="006942E3"/>
    <w:rsid w:val="006B40CD"/>
    <w:rsid w:val="006E6F85"/>
    <w:rsid w:val="006F6C5B"/>
    <w:rsid w:val="00714B6E"/>
    <w:rsid w:val="007204DD"/>
    <w:rsid w:val="007404EA"/>
    <w:rsid w:val="00754E95"/>
    <w:rsid w:val="0076195D"/>
    <w:rsid w:val="00763513"/>
    <w:rsid w:val="00770B7F"/>
    <w:rsid w:val="00776330"/>
    <w:rsid w:val="00782BE3"/>
    <w:rsid w:val="00784352"/>
    <w:rsid w:val="00792915"/>
    <w:rsid w:val="007B2E2D"/>
    <w:rsid w:val="007E3AB5"/>
    <w:rsid w:val="008002DF"/>
    <w:rsid w:val="00801C59"/>
    <w:rsid w:val="0080295E"/>
    <w:rsid w:val="00804E10"/>
    <w:rsid w:val="00861AF1"/>
    <w:rsid w:val="008918B4"/>
    <w:rsid w:val="008C145F"/>
    <w:rsid w:val="008D1CE5"/>
    <w:rsid w:val="008F259F"/>
    <w:rsid w:val="008F59EC"/>
    <w:rsid w:val="009002BF"/>
    <w:rsid w:val="0091173E"/>
    <w:rsid w:val="00912404"/>
    <w:rsid w:val="0091581B"/>
    <w:rsid w:val="009171C3"/>
    <w:rsid w:val="00917CE3"/>
    <w:rsid w:val="0093085A"/>
    <w:rsid w:val="00930D51"/>
    <w:rsid w:val="009434CA"/>
    <w:rsid w:val="00975528"/>
    <w:rsid w:val="00986E93"/>
    <w:rsid w:val="009C7111"/>
    <w:rsid w:val="009E1181"/>
    <w:rsid w:val="009E25BB"/>
    <w:rsid w:val="009F6690"/>
    <w:rsid w:val="00A050CB"/>
    <w:rsid w:val="00A11359"/>
    <w:rsid w:val="00A13FD4"/>
    <w:rsid w:val="00A2188F"/>
    <w:rsid w:val="00A2266F"/>
    <w:rsid w:val="00A315E3"/>
    <w:rsid w:val="00A337DA"/>
    <w:rsid w:val="00A34D9F"/>
    <w:rsid w:val="00A3656E"/>
    <w:rsid w:val="00A43A11"/>
    <w:rsid w:val="00A448FA"/>
    <w:rsid w:val="00A47838"/>
    <w:rsid w:val="00A55ADB"/>
    <w:rsid w:val="00A842F1"/>
    <w:rsid w:val="00A950F3"/>
    <w:rsid w:val="00AB3CF1"/>
    <w:rsid w:val="00AC6E44"/>
    <w:rsid w:val="00B03E7D"/>
    <w:rsid w:val="00B24FFB"/>
    <w:rsid w:val="00B25ABA"/>
    <w:rsid w:val="00B44EA6"/>
    <w:rsid w:val="00B4610A"/>
    <w:rsid w:val="00B53F7A"/>
    <w:rsid w:val="00B54135"/>
    <w:rsid w:val="00B612C9"/>
    <w:rsid w:val="00B738D4"/>
    <w:rsid w:val="00B9505E"/>
    <w:rsid w:val="00BB1F26"/>
    <w:rsid w:val="00C12463"/>
    <w:rsid w:val="00C137A7"/>
    <w:rsid w:val="00C2448F"/>
    <w:rsid w:val="00C418DC"/>
    <w:rsid w:val="00C41D20"/>
    <w:rsid w:val="00C6451A"/>
    <w:rsid w:val="00C86426"/>
    <w:rsid w:val="00CA2004"/>
    <w:rsid w:val="00CC7EE9"/>
    <w:rsid w:val="00CD558E"/>
    <w:rsid w:val="00CE20A4"/>
    <w:rsid w:val="00CE375F"/>
    <w:rsid w:val="00CF3409"/>
    <w:rsid w:val="00D0167B"/>
    <w:rsid w:val="00D04139"/>
    <w:rsid w:val="00D33575"/>
    <w:rsid w:val="00D34338"/>
    <w:rsid w:val="00D425B3"/>
    <w:rsid w:val="00D45974"/>
    <w:rsid w:val="00D70BFC"/>
    <w:rsid w:val="00D71EA1"/>
    <w:rsid w:val="00DA3E4A"/>
    <w:rsid w:val="00DC4544"/>
    <w:rsid w:val="00DD65CA"/>
    <w:rsid w:val="00DE2A50"/>
    <w:rsid w:val="00E04A83"/>
    <w:rsid w:val="00E121AF"/>
    <w:rsid w:val="00E21421"/>
    <w:rsid w:val="00E21999"/>
    <w:rsid w:val="00E2482B"/>
    <w:rsid w:val="00E449F6"/>
    <w:rsid w:val="00E657E0"/>
    <w:rsid w:val="00E93F41"/>
    <w:rsid w:val="00EB2AD1"/>
    <w:rsid w:val="00EB3D99"/>
    <w:rsid w:val="00EB51F5"/>
    <w:rsid w:val="00ED6EAF"/>
    <w:rsid w:val="00EE73E0"/>
    <w:rsid w:val="00F3240D"/>
    <w:rsid w:val="00F40063"/>
    <w:rsid w:val="00F45012"/>
    <w:rsid w:val="00F533BC"/>
    <w:rsid w:val="00F74C13"/>
    <w:rsid w:val="00F91641"/>
    <w:rsid w:val="00FA5217"/>
    <w:rsid w:val="00FB7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96AA9"/>
  <w15:docId w15:val="{129FB5C5-C62A-4DBE-9C27-1103330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ABA"/>
    <w:rPr>
      <w:lang w:val="es-ES" w:eastAsia="es-ES"/>
    </w:rPr>
  </w:style>
  <w:style w:type="paragraph" w:styleId="Ttulo1">
    <w:name w:val="heading 1"/>
    <w:basedOn w:val="Normal"/>
    <w:next w:val="Normal"/>
    <w:qFormat/>
    <w:rsid w:val="00B25ABA"/>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B25ABA"/>
    <w:pPr>
      <w:keepNext/>
      <w:jc w:val="center"/>
      <w:outlineLvl w:val="1"/>
    </w:pPr>
    <w:rPr>
      <w:rFonts w:ascii="Arial" w:hAnsi="Arial" w:cs="Arial"/>
      <w:b/>
      <w:bCs/>
      <w:i/>
      <w:sz w:val="26"/>
      <w:szCs w:val="26"/>
    </w:rPr>
  </w:style>
  <w:style w:type="paragraph" w:styleId="Ttulo3">
    <w:name w:val="heading 3"/>
    <w:basedOn w:val="Normal"/>
    <w:next w:val="Normal"/>
    <w:qFormat/>
    <w:rsid w:val="00B25ABA"/>
    <w:pPr>
      <w:keepNext/>
      <w:tabs>
        <w:tab w:val="left" w:pos="-720"/>
      </w:tabs>
      <w:suppressAutoHyphens/>
      <w:jc w:val="both"/>
      <w:outlineLvl w:val="2"/>
    </w:pPr>
    <w:rPr>
      <w:rFonts w:ascii="Arial" w:hAnsi="Arial"/>
      <w:b/>
      <w:sz w:val="16"/>
    </w:rPr>
  </w:style>
  <w:style w:type="paragraph" w:styleId="Ttulo4">
    <w:name w:val="heading 4"/>
    <w:basedOn w:val="Normal"/>
    <w:next w:val="Normal"/>
    <w:qFormat/>
    <w:rsid w:val="00B25ABA"/>
    <w:pPr>
      <w:keepNext/>
      <w:spacing w:line="360" w:lineRule="auto"/>
      <w:jc w:val="center"/>
      <w:outlineLvl w:val="3"/>
    </w:pPr>
    <w:rPr>
      <w:rFonts w:ascii="Arial" w:hAnsi="Arial" w:cs="Arial"/>
      <w:b/>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B25ABA"/>
    <w:pPr>
      <w:tabs>
        <w:tab w:val="center" w:pos="4252"/>
        <w:tab w:val="right" w:pos="8504"/>
      </w:tabs>
    </w:pPr>
  </w:style>
  <w:style w:type="paragraph" w:styleId="Piedepgina">
    <w:name w:val="footer"/>
    <w:basedOn w:val="Normal"/>
    <w:link w:val="PiedepginaCar"/>
    <w:uiPriority w:val="99"/>
    <w:rsid w:val="00B25ABA"/>
    <w:pPr>
      <w:tabs>
        <w:tab w:val="center" w:pos="4252"/>
        <w:tab w:val="right" w:pos="8504"/>
      </w:tabs>
    </w:pPr>
  </w:style>
  <w:style w:type="paragraph" w:styleId="Textodeglobo">
    <w:name w:val="Balloon Text"/>
    <w:basedOn w:val="Normal"/>
    <w:semiHidden/>
    <w:rsid w:val="00B25ABA"/>
    <w:rPr>
      <w:rFonts w:ascii="Tahoma" w:hAnsi="Tahoma" w:cs="Tahoma"/>
      <w:sz w:val="16"/>
      <w:szCs w:val="16"/>
    </w:rPr>
  </w:style>
  <w:style w:type="paragraph" w:styleId="Textoindependiente">
    <w:name w:val="Body Text"/>
    <w:basedOn w:val="Normal"/>
    <w:semiHidden/>
    <w:rsid w:val="00B25ABA"/>
    <w:pPr>
      <w:spacing w:line="360" w:lineRule="auto"/>
      <w:jc w:val="both"/>
    </w:pPr>
    <w:rPr>
      <w:rFonts w:ascii="Arial" w:hAnsi="Arial" w:cs="Arial"/>
      <w:iCs/>
      <w:sz w:val="26"/>
      <w:szCs w:val="26"/>
    </w:rPr>
  </w:style>
  <w:style w:type="paragraph" w:styleId="NormalWeb">
    <w:name w:val="Normal (Web)"/>
    <w:basedOn w:val="Normal"/>
    <w:semiHidden/>
    <w:rsid w:val="00B25ABA"/>
    <w:pPr>
      <w:spacing w:before="100" w:beforeAutospacing="1" w:after="100" w:afterAutospacing="1"/>
    </w:pPr>
    <w:rPr>
      <w:sz w:val="24"/>
      <w:szCs w:val="24"/>
    </w:rPr>
  </w:style>
  <w:style w:type="character" w:styleId="Refdenotaalpie">
    <w:name w:val="footnote reference"/>
    <w:semiHidden/>
    <w:rsid w:val="00B25ABA"/>
    <w:rPr>
      <w:vertAlign w:val="superscript"/>
    </w:rPr>
  </w:style>
  <w:style w:type="character" w:styleId="Hipervnculo">
    <w:name w:val="Hyperlink"/>
    <w:uiPriority w:val="99"/>
    <w:unhideWhenUsed/>
    <w:rsid w:val="003E72FA"/>
    <w:rPr>
      <w:color w:val="0563C1"/>
      <w:u w:val="single"/>
    </w:rPr>
  </w:style>
  <w:style w:type="paragraph" w:styleId="Sangra2detindependiente">
    <w:name w:val="Body Text Indent 2"/>
    <w:basedOn w:val="Normal"/>
    <w:link w:val="Sangra2detindependienteCar"/>
    <w:uiPriority w:val="99"/>
    <w:semiHidden/>
    <w:unhideWhenUsed/>
    <w:rsid w:val="00C418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418DC"/>
  </w:style>
  <w:style w:type="character" w:customStyle="1" w:styleId="PiedepginaCar">
    <w:name w:val="Pie de página Car"/>
    <w:link w:val="Piedepgina"/>
    <w:uiPriority w:val="99"/>
    <w:rsid w:val="000B0005"/>
  </w:style>
  <w:style w:type="paragraph" w:styleId="Prrafodelista">
    <w:name w:val="List Paragraph"/>
    <w:basedOn w:val="Normal"/>
    <w:uiPriority w:val="34"/>
    <w:qFormat/>
    <w:rsid w:val="0043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296357">
      <w:bodyDiv w:val="1"/>
      <w:marLeft w:val="0"/>
      <w:marRight w:val="0"/>
      <w:marTop w:val="0"/>
      <w:marBottom w:val="0"/>
      <w:divBdr>
        <w:top w:val="none" w:sz="0" w:space="0" w:color="auto"/>
        <w:left w:val="none" w:sz="0" w:space="0" w:color="auto"/>
        <w:bottom w:val="none" w:sz="0" w:space="0" w:color="auto"/>
        <w:right w:val="none" w:sz="0" w:space="0" w:color="auto"/>
      </w:divBdr>
    </w:div>
    <w:div w:id="19166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77E84-C6A8-4B46-BB55-19F66E7CDA14}">
  <ds:schemaRefs>
    <ds:schemaRef ds:uri="http://schemas.microsoft.com/sharepoint/v3/contenttype/forms"/>
  </ds:schemaRefs>
</ds:datastoreItem>
</file>

<file path=customXml/itemProps2.xml><?xml version="1.0" encoding="utf-8"?>
<ds:datastoreItem xmlns:ds="http://schemas.openxmlformats.org/officeDocument/2006/customXml" ds:itemID="{E847EC8C-A3C9-4751-B4C7-65A4ADF966A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CBA9567-29EB-4F5E-BD12-4DF945DD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2018-05-31T13:46:00Z</cp:lastPrinted>
  <dcterms:created xsi:type="dcterms:W3CDTF">2022-05-10T00:57:00Z</dcterms:created>
  <dcterms:modified xsi:type="dcterms:W3CDTF">2022-07-21T02:28:00Z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