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38" w:rsidRPr="00F96438" w:rsidRDefault="00F96438" w:rsidP="00F9643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F9643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96438" w:rsidRPr="00F96438" w:rsidRDefault="00F96438" w:rsidP="00F96438">
      <w:pPr>
        <w:spacing w:after="0" w:line="240" w:lineRule="auto"/>
        <w:jc w:val="both"/>
        <w:rPr>
          <w:rFonts w:ascii="Arial" w:eastAsia="Times New Roman" w:hAnsi="Arial" w:cs="Arial"/>
          <w:sz w:val="20"/>
          <w:szCs w:val="20"/>
          <w:lang w:val="es-419" w:eastAsia="es-ES"/>
        </w:rPr>
      </w:pPr>
    </w:p>
    <w:p w:rsidR="00F96438" w:rsidRPr="00F96438" w:rsidRDefault="007E518D" w:rsidP="00F96438">
      <w:pPr>
        <w:spacing w:after="0" w:line="240" w:lineRule="auto"/>
        <w:jc w:val="both"/>
        <w:rPr>
          <w:rFonts w:ascii="Arial" w:eastAsia="Times New Roman" w:hAnsi="Arial" w:cs="Arial"/>
          <w:b/>
          <w:bCs/>
          <w:iCs/>
          <w:sz w:val="20"/>
          <w:szCs w:val="20"/>
          <w:lang w:val="es-419" w:eastAsia="fr-FR"/>
        </w:rPr>
      </w:pPr>
      <w:r w:rsidRPr="00F96438">
        <w:rPr>
          <w:rFonts w:ascii="Arial" w:eastAsia="Times New Roman" w:hAnsi="Arial" w:cs="Arial"/>
          <w:b/>
          <w:bCs/>
          <w:iCs/>
          <w:sz w:val="20"/>
          <w:szCs w:val="20"/>
          <w:u w:val="single"/>
          <w:lang w:val="es-419" w:eastAsia="fr-FR"/>
        </w:rPr>
        <w:t>TEMAS:</w:t>
      </w:r>
      <w:r w:rsidRPr="00F9643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HABEAS CORPUS / COMPETENCIA / FACTOR TERRITORIAL / LUGAR DE RECLUSIÓN DEL ACCIONANTE / FINALIDAD / FUNDAMENTO LEGAL Y JURISPRUDENCIAL.</w:t>
      </w:r>
    </w:p>
    <w:p w:rsidR="00F96438" w:rsidRPr="00F96438" w:rsidRDefault="00F96438" w:rsidP="00F96438">
      <w:pPr>
        <w:spacing w:after="0" w:line="240" w:lineRule="auto"/>
        <w:jc w:val="both"/>
        <w:rPr>
          <w:rFonts w:ascii="Arial" w:eastAsia="Times New Roman" w:hAnsi="Arial" w:cs="Arial"/>
          <w:sz w:val="20"/>
          <w:szCs w:val="20"/>
          <w:lang w:val="es-419" w:eastAsia="es-ES"/>
        </w:rPr>
      </w:pPr>
    </w:p>
    <w:p w:rsidR="00F96438" w:rsidRPr="00F96438" w:rsidRDefault="006C11B7" w:rsidP="00F9643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1901BC" w:rsidRPr="001901BC">
        <w:rPr>
          <w:rFonts w:ascii="Arial" w:eastAsia="Times New Roman" w:hAnsi="Arial" w:cs="Arial"/>
          <w:sz w:val="20"/>
          <w:szCs w:val="20"/>
          <w:lang w:val="es-419" w:eastAsia="es-ES"/>
        </w:rPr>
        <w:t>es preciso señalar que la jurisprudencia ha sido enfática en establecer que frente a la acción constitucional en comento, el factor territorial de competencia se determina en estos casos, atendiendo el lugar de reclusión del afectado, lo que se deriva de la posibilidad que tiene el funcionario de realizar la entrevista respectiva al titular de la misma</w:t>
      </w:r>
      <w:r>
        <w:rPr>
          <w:rFonts w:ascii="Arial" w:eastAsia="Times New Roman" w:hAnsi="Arial" w:cs="Arial"/>
          <w:sz w:val="20"/>
          <w:szCs w:val="20"/>
          <w:lang w:val="es-419" w:eastAsia="es-ES"/>
        </w:rPr>
        <w:t>…</w:t>
      </w:r>
    </w:p>
    <w:p w:rsidR="00F96438" w:rsidRPr="00F96438" w:rsidRDefault="00F96438" w:rsidP="00F96438">
      <w:pPr>
        <w:spacing w:after="0" w:line="240" w:lineRule="auto"/>
        <w:jc w:val="both"/>
        <w:rPr>
          <w:rFonts w:ascii="Arial" w:eastAsia="Times New Roman" w:hAnsi="Arial" w:cs="Arial"/>
          <w:sz w:val="20"/>
          <w:szCs w:val="20"/>
          <w:lang w:val="es-419" w:eastAsia="es-ES"/>
        </w:rPr>
      </w:pPr>
    </w:p>
    <w:p w:rsidR="00F96438" w:rsidRPr="00F96438" w:rsidRDefault="006C11B7" w:rsidP="00F96438">
      <w:pPr>
        <w:spacing w:after="0" w:line="240" w:lineRule="auto"/>
        <w:jc w:val="both"/>
        <w:rPr>
          <w:rFonts w:ascii="Arial" w:eastAsia="Times New Roman" w:hAnsi="Arial" w:cs="Arial"/>
          <w:sz w:val="20"/>
          <w:szCs w:val="20"/>
          <w:lang w:val="es-419" w:eastAsia="es-ES"/>
        </w:rPr>
      </w:pPr>
      <w:r w:rsidRPr="006C11B7">
        <w:rPr>
          <w:rFonts w:ascii="Arial" w:eastAsia="Times New Roman" w:hAnsi="Arial" w:cs="Arial"/>
          <w:sz w:val="20"/>
          <w:szCs w:val="20"/>
          <w:lang w:val="es-419" w:eastAsia="es-ES"/>
        </w:rPr>
        <w:t xml:space="preserve">Al respecto, la Corte Constitucional, en sentencia C – 187 de 2006, indicó que la competencia para tramitar y decidir la acción de habeas corpus corresponde a «la autoridad con jurisdicción en el lugar donde la persona se encuentre privada de la libertad»; precisión que no constituye una simple opinión autorizada o guía interpretativa, sino que, tratándose de un razonamiento determinante para la declaración de </w:t>
      </w:r>
      <w:proofErr w:type="spellStart"/>
      <w:r w:rsidRPr="006C11B7">
        <w:rPr>
          <w:rFonts w:ascii="Arial" w:eastAsia="Times New Roman" w:hAnsi="Arial" w:cs="Arial"/>
          <w:sz w:val="20"/>
          <w:szCs w:val="20"/>
          <w:lang w:val="es-419" w:eastAsia="es-ES"/>
        </w:rPr>
        <w:t>exequibilidad</w:t>
      </w:r>
      <w:proofErr w:type="spellEnd"/>
      <w:r w:rsidRPr="006C11B7">
        <w:rPr>
          <w:rFonts w:ascii="Arial" w:eastAsia="Times New Roman" w:hAnsi="Arial" w:cs="Arial"/>
          <w:sz w:val="20"/>
          <w:szCs w:val="20"/>
          <w:lang w:val="es-419" w:eastAsia="es-ES"/>
        </w:rPr>
        <w:t xml:space="preserve"> de la norma examinada (Ley 1095 de 2006), se incorpora a su tenor y vincula a todos los operadores jurídicos.</w:t>
      </w:r>
    </w:p>
    <w:p w:rsidR="00F96438" w:rsidRPr="00F96438" w:rsidRDefault="00F96438" w:rsidP="00F96438">
      <w:pPr>
        <w:spacing w:after="0" w:line="240" w:lineRule="auto"/>
        <w:jc w:val="both"/>
        <w:rPr>
          <w:rFonts w:ascii="Arial" w:eastAsia="Times New Roman" w:hAnsi="Arial" w:cs="Arial"/>
          <w:sz w:val="20"/>
          <w:szCs w:val="20"/>
          <w:lang w:val="es-419" w:eastAsia="es-ES"/>
        </w:rPr>
      </w:pPr>
    </w:p>
    <w:p w:rsidR="00F96438" w:rsidRPr="00F96438" w:rsidRDefault="005558B7" w:rsidP="00F96438">
      <w:pPr>
        <w:spacing w:after="0" w:line="240" w:lineRule="auto"/>
        <w:jc w:val="both"/>
        <w:rPr>
          <w:rFonts w:ascii="Arial" w:eastAsia="Times New Roman" w:hAnsi="Arial" w:cs="Arial"/>
          <w:sz w:val="20"/>
          <w:szCs w:val="20"/>
          <w:lang w:val="es-419" w:eastAsia="es-ES"/>
        </w:rPr>
      </w:pPr>
      <w:r w:rsidRPr="005558B7">
        <w:rPr>
          <w:rFonts w:ascii="Arial" w:eastAsia="Times New Roman" w:hAnsi="Arial" w:cs="Arial"/>
          <w:sz w:val="20"/>
          <w:szCs w:val="20"/>
          <w:lang w:val="es-419" w:eastAsia="es-ES"/>
        </w:rPr>
        <w:t>Acorde todo lo antes expuesto, resulta claro que la autoridad judicial competente para asumir el conocimiento de la presente Hábeas Corpus, por el factor territorial, no es otra diferente a aquella que tenga jurisdicción en el sitio donde se encuentra privado de la libertad el señor JHMG, es decir, en el municipio de Girón (Santander).</w:t>
      </w:r>
    </w:p>
    <w:p w:rsidR="00F96438" w:rsidRPr="00F96438" w:rsidRDefault="00F96438" w:rsidP="00F96438">
      <w:pPr>
        <w:spacing w:after="0" w:line="240" w:lineRule="auto"/>
        <w:jc w:val="both"/>
        <w:rPr>
          <w:rFonts w:ascii="Arial" w:eastAsia="Times New Roman" w:hAnsi="Arial" w:cs="Arial"/>
          <w:sz w:val="20"/>
          <w:szCs w:val="20"/>
          <w:lang w:val="es-ES" w:eastAsia="es-ES"/>
        </w:rPr>
      </w:pPr>
    </w:p>
    <w:p w:rsidR="00F96438" w:rsidRPr="00F96438" w:rsidRDefault="00F96438" w:rsidP="00F96438">
      <w:pPr>
        <w:spacing w:after="0" w:line="240" w:lineRule="auto"/>
        <w:jc w:val="both"/>
        <w:rPr>
          <w:rFonts w:ascii="Arial" w:eastAsia="Times New Roman" w:hAnsi="Arial" w:cs="Arial"/>
          <w:sz w:val="20"/>
          <w:szCs w:val="20"/>
          <w:lang w:val="es-ES" w:eastAsia="es-ES"/>
        </w:rPr>
      </w:pPr>
    </w:p>
    <w:p w:rsidR="00F96438" w:rsidRPr="00F96438" w:rsidRDefault="00F96438" w:rsidP="00F96438">
      <w:pPr>
        <w:spacing w:after="0" w:line="240" w:lineRule="auto"/>
        <w:jc w:val="both"/>
        <w:rPr>
          <w:rFonts w:ascii="Arial" w:eastAsia="Times New Roman" w:hAnsi="Arial" w:cs="Arial"/>
          <w:sz w:val="20"/>
          <w:szCs w:val="20"/>
          <w:lang w:val="es-ES" w:eastAsia="es-ES"/>
        </w:rPr>
      </w:pPr>
    </w:p>
    <w:bookmarkEnd w:id="0"/>
    <w:p w:rsidR="00990207" w:rsidRPr="00F96438" w:rsidRDefault="00990207" w:rsidP="00F96438">
      <w:pPr>
        <w:spacing w:after="0" w:line="276" w:lineRule="auto"/>
        <w:jc w:val="center"/>
        <w:rPr>
          <w:rFonts w:ascii="Tahoma" w:eastAsia="Verdana" w:hAnsi="Tahoma" w:cs="Tahoma"/>
          <w:b/>
          <w:color w:val="000000" w:themeColor="text1"/>
          <w:sz w:val="24"/>
          <w:szCs w:val="24"/>
        </w:rPr>
      </w:pPr>
      <w:r w:rsidRPr="00F96438">
        <w:rPr>
          <w:rFonts w:ascii="Tahoma" w:eastAsia="Verdana" w:hAnsi="Tahoma" w:cs="Tahoma"/>
          <w:b/>
          <w:color w:val="000000" w:themeColor="text1"/>
          <w:sz w:val="24"/>
          <w:szCs w:val="24"/>
        </w:rPr>
        <w:t>REPÚBLICA DE COLOMBIA</w:t>
      </w:r>
    </w:p>
    <w:p w:rsidR="005677E1" w:rsidRPr="00F96438" w:rsidRDefault="005677E1" w:rsidP="00F96438">
      <w:pPr>
        <w:spacing w:after="0" w:line="276" w:lineRule="auto"/>
        <w:jc w:val="center"/>
        <w:rPr>
          <w:rFonts w:ascii="Tahoma" w:eastAsia="Verdana" w:hAnsi="Tahoma" w:cs="Tahoma"/>
          <w:b/>
          <w:color w:val="000000" w:themeColor="text1"/>
          <w:sz w:val="24"/>
          <w:szCs w:val="24"/>
        </w:rPr>
      </w:pPr>
    </w:p>
    <w:p w:rsidR="005677E1" w:rsidRPr="00F96438" w:rsidRDefault="005677E1" w:rsidP="00F96438">
      <w:pPr>
        <w:spacing w:after="0" w:line="276" w:lineRule="auto"/>
        <w:jc w:val="center"/>
        <w:rPr>
          <w:rFonts w:ascii="Tahoma" w:eastAsia="Verdana" w:hAnsi="Tahoma" w:cs="Tahoma"/>
          <w:b/>
          <w:color w:val="000000" w:themeColor="text1"/>
          <w:sz w:val="24"/>
          <w:szCs w:val="24"/>
        </w:rPr>
      </w:pPr>
      <w:r w:rsidRPr="00F96438">
        <w:rPr>
          <w:rFonts w:ascii="Tahoma" w:eastAsia="Verdana" w:hAnsi="Tahoma" w:cs="Tahoma"/>
          <w:b/>
          <w:noProof/>
          <w:color w:val="000000" w:themeColor="text1"/>
          <w:sz w:val="24"/>
          <w:szCs w:val="24"/>
          <w:lang w:eastAsia="es-CO"/>
        </w:rPr>
        <w:drawing>
          <wp:inline distT="0" distB="0" distL="0" distR="0" wp14:anchorId="6F01F5B5" wp14:editId="393C1737">
            <wp:extent cx="1054081" cy="93318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71700" cy="948788"/>
                    </a:xfrm>
                    <a:prstGeom prst="rect">
                      <a:avLst/>
                    </a:prstGeom>
                    <a:noFill/>
                    <a:ln>
                      <a:noFill/>
                    </a:ln>
                  </pic:spPr>
                </pic:pic>
              </a:graphicData>
            </a:graphic>
          </wp:inline>
        </w:drawing>
      </w:r>
    </w:p>
    <w:p w:rsidR="00990207" w:rsidRPr="00F96438" w:rsidRDefault="00990207" w:rsidP="00F96438">
      <w:pPr>
        <w:spacing w:after="0" w:line="276" w:lineRule="auto"/>
        <w:jc w:val="center"/>
        <w:rPr>
          <w:rFonts w:ascii="Tahoma" w:eastAsia="Verdana" w:hAnsi="Tahoma" w:cs="Tahoma"/>
          <w:b/>
          <w:color w:val="000000" w:themeColor="text1"/>
          <w:sz w:val="24"/>
          <w:szCs w:val="24"/>
        </w:rPr>
      </w:pPr>
      <w:r w:rsidRPr="00F96438">
        <w:rPr>
          <w:rFonts w:ascii="Tahoma" w:eastAsia="Verdana" w:hAnsi="Tahoma" w:cs="Tahoma"/>
          <w:b/>
          <w:color w:val="000000" w:themeColor="text1"/>
          <w:sz w:val="24"/>
          <w:szCs w:val="24"/>
        </w:rPr>
        <w:t>RAMA JUDICIAL DEL PODER PÚBLIC</w:t>
      </w:r>
      <w:r w:rsidR="008D426C" w:rsidRPr="00F96438">
        <w:rPr>
          <w:rFonts w:ascii="Tahoma" w:eastAsia="Verdana" w:hAnsi="Tahoma" w:cs="Tahoma"/>
          <w:b/>
          <w:color w:val="000000" w:themeColor="text1"/>
          <w:sz w:val="24"/>
          <w:szCs w:val="24"/>
        </w:rPr>
        <w:t>O</w:t>
      </w:r>
    </w:p>
    <w:p w:rsidR="00990207" w:rsidRPr="00F96438" w:rsidRDefault="00990207" w:rsidP="00F96438">
      <w:pPr>
        <w:spacing w:after="0" w:line="276" w:lineRule="auto"/>
        <w:jc w:val="center"/>
        <w:rPr>
          <w:rFonts w:ascii="Tahoma" w:eastAsia="Verdana" w:hAnsi="Tahoma" w:cs="Tahoma"/>
          <w:b/>
          <w:color w:val="000000" w:themeColor="text1"/>
          <w:sz w:val="24"/>
          <w:szCs w:val="24"/>
        </w:rPr>
      </w:pPr>
      <w:r w:rsidRPr="00F96438">
        <w:rPr>
          <w:rFonts w:ascii="Tahoma" w:eastAsia="Verdana" w:hAnsi="Tahoma" w:cs="Tahoma"/>
          <w:b/>
          <w:color w:val="000000" w:themeColor="text1"/>
          <w:sz w:val="24"/>
          <w:szCs w:val="24"/>
        </w:rPr>
        <w:t>TRIBUNAL SUPERIOR DEL DISTRITO JUDICIAL DE PEREIRA</w:t>
      </w:r>
    </w:p>
    <w:p w:rsidR="00990207" w:rsidRPr="00F96438" w:rsidRDefault="00990207" w:rsidP="00F96438">
      <w:pPr>
        <w:spacing w:after="0" w:line="276" w:lineRule="auto"/>
        <w:jc w:val="center"/>
        <w:rPr>
          <w:rFonts w:ascii="Tahoma" w:eastAsia="Verdana" w:hAnsi="Tahoma" w:cs="Tahoma"/>
          <w:b/>
          <w:color w:val="000000" w:themeColor="text1"/>
          <w:sz w:val="24"/>
          <w:szCs w:val="24"/>
        </w:rPr>
      </w:pPr>
      <w:r w:rsidRPr="00F96438">
        <w:rPr>
          <w:rFonts w:ascii="Tahoma" w:eastAsia="Verdana" w:hAnsi="Tahoma" w:cs="Tahoma"/>
          <w:b/>
          <w:color w:val="000000" w:themeColor="text1"/>
          <w:sz w:val="24"/>
          <w:szCs w:val="24"/>
        </w:rPr>
        <w:t>SALA DE DECISIÓN PENAL</w:t>
      </w:r>
    </w:p>
    <w:p w:rsidR="00990207" w:rsidRPr="00F96438" w:rsidRDefault="00990207" w:rsidP="00F96438">
      <w:pPr>
        <w:spacing w:after="0" w:line="276" w:lineRule="auto"/>
        <w:jc w:val="center"/>
        <w:rPr>
          <w:rFonts w:ascii="Tahoma" w:eastAsia="Verdana" w:hAnsi="Tahoma" w:cs="Tahoma"/>
          <w:b/>
          <w:color w:val="000000" w:themeColor="text1"/>
          <w:sz w:val="24"/>
          <w:szCs w:val="24"/>
        </w:rPr>
      </w:pPr>
    </w:p>
    <w:p w:rsidR="00990207" w:rsidRPr="00F96438" w:rsidRDefault="00990207" w:rsidP="00F96438">
      <w:pPr>
        <w:spacing w:after="0" w:line="276" w:lineRule="auto"/>
        <w:jc w:val="center"/>
        <w:rPr>
          <w:rFonts w:ascii="Tahoma" w:eastAsia="Verdana" w:hAnsi="Tahoma" w:cs="Tahoma"/>
          <w:b/>
          <w:color w:val="000000" w:themeColor="text1"/>
          <w:sz w:val="24"/>
          <w:szCs w:val="24"/>
        </w:rPr>
      </w:pPr>
      <w:r w:rsidRPr="00F96438">
        <w:rPr>
          <w:rFonts w:ascii="Tahoma" w:eastAsia="Verdana" w:hAnsi="Tahoma" w:cs="Tahoma"/>
          <w:b/>
          <w:color w:val="000000" w:themeColor="text1"/>
          <w:sz w:val="24"/>
          <w:szCs w:val="24"/>
        </w:rPr>
        <w:t>M.P. MANUEL YARZAGARAY BANDERA</w:t>
      </w:r>
    </w:p>
    <w:p w:rsidR="00990207" w:rsidRPr="00F96438" w:rsidRDefault="00990207" w:rsidP="00F96438">
      <w:pPr>
        <w:spacing w:after="0" w:line="276" w:lineRule="auto"/>
        <w:jc w:val="center"/>
        <w:rPr>
          <w:rFonts w:ascii="Tahoma" w:eastAsia="Verdana" w:hAnsi="Tahoma" w:cs="Tahoma"/>
          <w:b/>
          <w:bCs/>
          <w:color w:val="000000" w:themeColor="text1"/>
          <w:sz w:val="24"/>
          <w:szCs w:val="24"/>
        </w:rPr>
      </w:pPr>
    </w:p>
    <w:p w:rsidR="00990207" w:rsidRPr="00F96438" w:rsidRDefault="00990207" w:rsidP="00F96438">
      <w:pPr>
        <w:pStyle w:val="Sinespaciado"/>
        <w:spacing w:line="276" w:lineRule="auto"/>
        <w:jc w:val="both"/>
        <w:rPr>
          <w:rFonts w:ascii="Tahoma" w:hAnsi="Tahoma" w:cs="Tahoma"/>
          <w:color w:val="000000" w:themeColor="text1"/>
          <w:sz w:val="24"/>
          <w:szCs w:val="24"/>
          <w:lang w:eastAsia="es-CO"/>
        </w:rPr>
      </w:pPr>
      <w:r w:rsidRPr="00F96438">
        <w:rPr>
          <w:rFonts w:ascii="Tahoma" w:hAnsi="Tahoma" w:cs="Tahoma"/>
          <w:color w:val="000000" w:themeColor="text1"/>
          <w:sz w:val="24"/>
          <w:szCs w:val="24"/>
          <w:lang w:eastAsia="es-CO"/>
        </w:rPr>
        <w:t>Pereira, dieciséis (16) de marzo de dos mil veintidós (2.022)</w:t>
      </w:r>
    </w:p>
    <w:p w:rsidR="00990207" w:rsidRPr="00F96438" w:rsidRDefault="00990207" w:rsidP="00F96438">
      <w:pPr>
        <w:pStyle w:val="Sinespaciado"/>
        <w:spacing w:line="276" w:lineRule="auto"/>
        <w:jc w:val="both"/>
        <w:rPr>
          <w:rFonts w:ascii="Tahoma" w:hAnsi="Tahoma" w:cs="Tahoma"/>
          <w:color w:val="000000" w:themeColor="text1"/>
          <w:sz w:val="24"/>
          <w:szCs w:val="24"/>
          <w:lang w:eastAsia="es-CO"/>
        </w:rPr>
      </w:pPr>
      <w:r w:rsidRPr="00F96438">
        <w:rPr>
          <w:rFonts w:ascii="Tahoma" w:hAnsi="Tahoma" w:cs="Tahoma"/>
          <w:color w:val="000000" w:themeColor="text1"/>
          <w:sz w:val="24"/>
          <w:szCs w:val="24"/>
          <w:lang w:eastAsia="es-CO"/>
        </w:rPr>
        <w:t xml:space="preserve">Hora: </w:t>
      </w:r>
      <w:r w:rsidR="00825D18" w:rsidRPr="00F96438">
        <w:rPr>
          <w:rFonts w:ascii="Tahoma" w:hAnsi="Tahoma" w:cs="Tahoma"/>
          <w:color w:val="000000" w:themeColor="text1"/>
          <w:sz w:val="24"/>
          <w:szCs w:val="24"/>
          <w:lang w:eastAsia="es-CO"/>
        </w:rPr>
        <w:t>10:15</w:t>
      </w:r>
      <w:r w:rsidRPr="00F96438">
        <w:rPr>
          <w:rFonts w:ascii="Tahoma" w:hAnsi="Tahoma" w:cs="Tahoma"/>
          <w:color w:val="000000" w:themeColor="text1"/>
          <w:sz w:val="24"/>
          <w:szCs w:val="24"/>
          <w:lang w:eastAsia="es-CO"/>
        </w:rPr>
        <w:t xml:space="preserve"> a.m. </w:t>
      </w:r>
    </w:p>
    <w:p w:rsidR="00990207" w:rsidRPr="00F96438" w:rsidRDefault="00990207" w:rsidP="00F96438">
      <w:pPr>
        <w:pStyle w:val="Sinespaciado"/>
        <w:spacing w:line="276" w:lineRule="auto"/>
        <w:jc w:val="both"/>
        <w:rPr>
          <w:rFonts w:ascii="Tahoma" w:hAnsi="Tahoma" w:cs="Tahoma"/>
          <w:color w:val="000000" w:themeColor="text1"/>
          <w:sz w:val="24"/>
          <w:szCs w:val="24"/>
          <w:lang w:eastAsia="es-CO"/>
        </w:rPr>
      </w:pPr>
    </w:p>
    <w:p w:rsidR="00CF6D4B" w:rsidRPr="00F96438" w:rsidRDefault="00CF6D4B" w:rsidP="00F96438">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Cs/>
          <w:smallCaps/>
          <w:color w:val="000000" w:themeColor="text1"/>
          <w:spacing w:val="5"/>
          <w:szCs w:val="24"/>
          <w:lang w:val="es-ES"/>
        </w:rPr>
      </w:pPr>
      <w:r w:rsidRPr="00F96438">
        <w:rPr>
          <w:rFonts w:ascii="Tahoma" w:eastAsia="Times New Roman" w:hAnsi="Tahoma" w:cs="Tahoma"/>
          <w:bCs/>
          <w:smallCaps/>
          <w:color w:val="000000" w:themeColor="text1"/>
          <w:spacing w:val="5"/>
          <w:szCs w:val="24"/>
          <w:lang w:val="es-ES"/>
        </w:rPr>
        <w:t xml:space="preserve">Radicación: 66001 </w:t>
      </w:r>
      <w:r w:rsidR="007A5F6F" w:rsidRPr="00F96438">
        <w:rPr>
          <w:rFonts w:ascii="Tahoma" w:eastAsia="Times New Roman" w:hAnsi="Tahoma" w:cs="Tahoma"/>
          <w:bCs/>
          <w:smallCaps/>
          <w:color w:val="000000" w:themeColor="text1"/>
          <w:spacing w:val="5"/>
          <w:szCs w:val="24"/>
          <w:lang w:val="es-ES"/>
        </w:rPr>
        <w:t xml:space="preserve">22 04 000 2022 </w:t>
      </w:r>
      <w:r w:rsidR="0062526A" w:rsidRPr="00F96438">
        <w:rPr>
          <w:rFonts w:ascii="Tahoma" w:eastAsia="Times New Roman" w:hAnsi="Tahoma" w:cs="Tahoma"/>
          <w:bCs/>
          <w:smallCaps/>
          <w:color w:val="000000" w:themeColor="text1"/>
          <w:spacing w:val="5"/>
          <w:szCs w:val="24"/>
          <w:lang w:val="es-ES"/>
        </w:rPr>
        <w:t>00035 00</w:t>
      </w:r>
    </w:p>
    <w:p w:rsidR="00CF6D4B" w:rsidRPr="00F96438" w:rsidRDefault="00CF6D4B" w:rsidP="00F96438">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jc w:val="both"/>
        <w:rPr>
          <w:rFonts w:ascii="Tahoma" w:eastAsia="Times New Roman" w:hAnsi="Tahoma" w:cs="Tahoma"/>
          <w:bCs/>
          <w:smallCaps/>
          <w:color w:val="000000" w:themeColor="text1"/>
          <w:spacing w:val="5"/>
          <w:szCs w:val="24"/>
          <w:lang w:val="es-ES"/>
        </w:rPr>
      </w:pPr>
      <w:r w:rsidRPr="00F96438">
        <w:rPr>
          <w:rFonts w:ascii="Tahoma" w:eastAsia="Times New Roman" w:hAnsi="Tahoma" w:cs="Tahoma"/>
          <w:bCs/>
          <w:smallCaps/>
          <w:color w:val="000000" w:themeColor="text1"/>
          <w:spacing w:val="5"/>
          <w:szCs w:val="24"/>
          <w:lang w:val="es-ES"/>
        </w:rPr>
        <w:t xml:space="preserve">Accionante: </w:t>
      </w:r>
      <w:r w:rsidR="004B648E">
        <w:rPr>
          <w:rFonts w:ascii="Tahoma" w:eastAsia="Times New Roman" w:hAnsi="Tahoma" w:cs="Tahoma"/>
          <w:bCs/>
          <w:smallCaps/>
          <w:color w:val="000000" w:themeColor="text1"/>
          <w:spacing w:val="5"/>
          <w:szCs w:val="24"/>
          <w:lang w:val="es-ES"/>
        </w:rPr>
        <w:t>JHMG</w:t>
      </w:r>
    </w:p>
    <w:p w:rsidR="00CF6D4B" w:rsidRPr="00F96438" w:rsidRDefault="00CF6D4B" w:rsidP="00F9643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Cs/>
          <w:smallCaps/>
          <w:color w:val="000000" w:themeColor="text1"/>
          <w:spacing w:val="5"/>
          <w:szCs w:val="24"/>
          <w:lang w:val="es-ES"/>
        </w:rPr>
      </w:pPr>
      <w:r w:rsidRPr="00F96438">
        <w:rPr>
          <w:rFonts w:ascii="Tahoma" w:eastAsia="Times New Roman" w:hAnsi="Tahoma" w:cs="Tahoma"/>
          <w:bCs/>
          <w:smallCaps/>
          <w:color w:val="000000" w:themeColor="text1"/>
          <w:spacing w:val="5"/>
          <w:szCs w:val="24"/>
          <w:lang w:val="es-ES"/>
        </w:rPr>
        <w:t>Asunto: Acción de Hábeas Corpus</w:t>
      </w:r>
    </w:p>
    <w:p w:rsidR="00CF6D4B" w:rsidRPr="00F96438" w:rsidRDefault="00CF6D4B" w:rsidP="00F9643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000000" w:themeColor="text1"/>
          <w:szCs w:val="24"/>
          <w:lang w:val="es-ES"/>
        </w:rPr>
      </w:pPr>
      <w:r w:rsidRPr="00F96438">
        <w:rPr>
          <w:rFonts w:ascii="Tahoma" w:eastAsia="Times New Roman" w:hAnsi="Tahoma" w:cs="Tahoma"/>
          <w:bCs/>
          <w:smallCaps/>
          <w:color w:val="000000" w:themeColor="text1"/>
          <w:spacing w:val="5"/>
          <w:szCs w:val="24"/>
          <w:lang w:val="es-ES"/>
        </w:rPr>
        <w:t xml:space="preserve">Resuelve: Remite por competencia a los Juzgados Promiscuos Municipales de Girón, Santander </w:t>
      </w:r>
    </w:p>
    <w:p w:rsidR="00990207" w:rsidRPr="00F96438" w:rsidRDefault="00990207" w:rsidP="00F96438">
      <w:pPr>
        <w:pStyle w:val="Sinespaciado"/>
        <w:spacing w:line="276" w:lineRule="auto"/>
        <w:jc w:val="both"/>
        <w:rPr>
          <w:rFonts w:ascii="Tahoma" w:hAnsi="Tahoma" w:cs="Tahoma"/>
          <w:color w:val="000000" w:themeColor="text1"/>
          <w:sz w:val="24"/>
          <w:szCs w:val="24"/>
          <w:lang w:eastAsia="es-CO"/>
        </w:rPr>
      </w:pPr>
    </w:p>
    <w:p w:rsidR="00990207" w:rsidRPr="00F96438" w:rsidRDefault="00990207" w:rsidP="00F96438">
      <w:pPr>
        <w:pStyle w:val="Sinespaciado"/>
        <w:spacing w:line="276" w:lineRule="auto"/>
        <w:jc w:val="both"/>
        <w:rPr>
          <w:rFonts w:ascii="Tahoma" w:hAnsi="Tahoma" w:cs="Tahoma"/>
          <w:color w:val="000000" w:themeColor="text1"/>
          <w:sz w:val="24"/>
          <w:szCs w:val="24"/>
          <w:lang w:eastAsia="es-CO"/>
        </w:rPr>
      </w:pPr>
      <w:r w:rsidRPr="00F96438">
        <w:rPr>
          <w:rFonts w:ascii="Tahoma" w:hAnsi="Tahoma" w:cs="Tahoma"/>
          <w:color w:val="000000" w:themeColor="text1"/>
          <w:sz w:val="24"/>
          <w:szCs w:val="24"/>
          <w:lang w:eastAsia="es-CO"/>
        </w:rPr>
        <w:t xml:space="preserve">Sería del caso </w:t>
      </w:r>
      <w:r w:rsidR="00E4590D" w:rsidRPr="00F96438">
        <w:rPr>
          <w:rFonts w:ascii="Tahoma" w:hAnsi="Tahoma" w:cs="Tahoma"/>
          <w:color w:val="000000" w:themeColor="text1"/>
          <w:sz w:val="24"/>
          <w:szCs w:val="24"/>
          <w:lang w:eastAsia="es-CO"/>
        </w:rPr>
        <w:t>darle trámite a la</w:t>
      </w:r>
      <w:r w:rsidRPr="00F96438">
        <w:rPr>
          <w:rFonts w:ascii="Tahoma" w:hAnsi="Tahoma" w:cs="Tahoma"/>
          <w:color w:val="000000" w:themeColor="text1"/>
          <w:sz w:val="24"/>
          <w:szCs w:val="24"/>
          <w:lang w:eastAsia="es-CO"/>
        </w:rPr>
        <w:t xml:space="preserve"> acción de Hábeas Corpus interpuesta por la señora MLMG a favor de su hijo </w:t>
      </w:r>
      <w:r w:rsidR="004B648E">
        <w:rPr>
          <w:rFonts w:ascii="Tahoma" w:hAnsi="Tahoma" w:cs="Tahoma"/>
          <w:color w:val="000000" w:themeColor="text1"/>
          <w:sz w:val="24"/>
          <w:szCs w:val="24"/>
          <w:lang w:eastAsia="es-CO"/>
        </w:rPr>
        <w:t>JHMG</w:t>
      </w:r>
      <w:r w:rsidRPr="00F96438">
        <w:rPr>
          <w:rFonts w:ascii="Tahoma" w:hAnsi="Tahoma" w:cs="Tahoma"/>
          <w:color w:val="000000" w:themeColor="text1"/>
          <w:sz w:val="24"/>
          <w:szCs w:val="24"/>
          <w:lang w:eastAsia="es-CO"/>
        </w:rPr>
        <w:t xml:space="preserve">, quien se encuentra privado de su libertad purgando una pena de </w:t>
      </w:r>
      <w:r w:rsidR="00E4590D" w:rsidRPr="00F96438">
        <w:rPr>
          <w:rFonts w:ascii="Tahoma" w:hAnsi="Tahoma" w:cs="Tahoma"/>
          <w:color w:val="000000" w:themeColor="text1"/>
          <w:sz w:val="24"/>
          <w:szCs w:val="24"/>
          <w:lang w:eastAsia="es-CO"/>
        </w:rPr>
        <w:t xml:space="preserve">142 meses de prisión, en ocasión a la acumulación jurídica de las sanciones impuestas por los “Juzgados Promiscuo de Puerto López y Segundo Penal del Circuito Especializado de Cundinamarca” (sic), el cual fue asignado a esta Sala Unitaria </w:t>
      </w:r>
      <w:r w:rsidR="00B55800" w:rsidRPr="00F96438">
        <w:rPr>
          <w:rFonts w:ascii="Tahoma" w:hAnsi="Tahoma" w:cs="Tahoma"/>
          <w:color w:val="000000" w:themeColor="text1"/>
          <w:sz w:val="24"/>
          <w:szCs w:val="24"/>
          <w:lang w:eastAsia="es-CO"/>
        </w:rPr>
        <w:t xml:space="preserve">de Decisión </w:t>
      </w:r>
      <w:r w:rsidR="00E4590D" w:rsidRPr="00F96438">
        <w:rPr>
          <w:rFonts w:ascii="Tahoma" w:hAnsi="Tahoma" w:cs="Tahoma"/>
          <w:color w:val="000000" w:themeColor="text1"/>
          <w:sz w:val="24"/>
          <w:szCs w:val="24"/>
          <w:lang w:eastAsia="es-CO"/>
        </w:rPr>
        <w:t xml:space="preserve">el día de ayer a las 19:55 horas, durante el turno de disponibilidad, si no fuera porque del escrito introductorio se desprende que el señor </w:t>
      </w:r>
      <w:r w:rsidR="004B648E">
        <w:rPr>
          <w:rFonts w:ascii="Tahoma" w:hAnsi="Tahoma" w:cs="Tahoma"/>
          <w:color w:val="000000" w:themeColor="text1"/>
          <w:sz w:val="24"/>
          <w:szCs w:val="24"/>
          <w:lang w:eastAsia="es-CO"/>
        </w:rPr>
        <w:t>JHMG</w:t>
      </w:r>
      <w:r w:rsidR="00E4590D" w:rsidRPr="00F96438">
        <w:rPr>
          <w:rFonts w:ascii="Tahoma" w:hAnsi="Tahoma" w:cs="Tahoma"/>
          <w:color w:val="000000" w:themeColor="text1"/>
          <w:sz w:val="24"/>
          <w:szCs w:val="24"/>
          <w:lang w:eastAsia="es-CO"/>
        </w:rPr>
        <w:t xml:space="preserve"> se encuentra recluido en el Establecimiento Penitenciario y Carcelario de </w:t>
      </w:r>
      <w:r w:rsidR="00E4590D" w:rsidRPr="00F96438">
        <w:rPr>
          <w:rFonts w:ascii="Tahoma" w:hAnsi="Tahoma" w:cs="Tahoma"/>
          <w:color w:val="000000" w:themeColor="text1"/>
          <w:sz w:val="24"/>
          <w:szCs w:val="24"/>
          <w:lang w:eastAsia="es-CO"/>
        </w:rPr>
        <w:lastRenderedPageBreak/>
        <w:t xml:space="preserve">Mediana Seguridad </w:t>
      </w:r>
      <w:r w:rsidR="00A44A4F" w:rsidRPr="00F96438">
        <w:rPr>
          <w:rFonts w:ascii="Tahoma" w:hAnsi="Tahoma" w:cs="Tahoma"/>
          <w:color w:val="000000" w:themeColor="text1"/>
          <w:sz w:val="24"/>
          <w:szCs w:val="24"/>
          <w:lang w:eastAsia="es-CO"/>
        </w:rPr>
        <w:t xml:space="preserve">“Palo Gordo” </w:t>
      </w:r>
      <w:r w:rsidR="00E4590D" w:rsidRPr="00F96438">
        <w:rPr>
          <w:rFonts w:ascii="Tahoma" w:hAnsi="Tahoma" w:cs="Tahoma"/>
          <w:color w:val="000000" w:themeColor="text1"/>
          <w:sz w:val="24"/>
          <w:szCs w:val="24"/>
          <w:lang w:eastAsia="es-CO"/>
        </w:rPr>
        <w:t>de Girón</w:t>
      </w:r>
      <w:r w:rsidR="00B55800" w:rsidRPr="00F96438">
        <w:rPr>
          <w:rFonts w:ascii="Tahoma" w:hAnsi="Tahoma" w:cs="Tahoma"/>
          <w:color w:val="000000" w:themeColor="text1"/>
          <w:sz w:val="24"/>
          <w:szCs w:val="24"/>
          <w:lang w:eastAsia="es-CO"/>
        </w:rPr>
        <w:t xml:space="preserve"> (</w:t>
      </w:r>
      <w:r w:rsidR="00E4590D" w:rsidRPr="00F96438">
        <w:rPr>
          <w:rFonts w:ascii="Tahoma" w:hAnsi="Tahoma" w:cs="Tahoma"/>
          <w:color w:val="000000" w:themeColor="text1"/>
          <w:sz w:val="24"/>
          <w:szCs w:val="24"/>
          <w:lang w:eastAsia="es-CO"/>
        </w:rPr>
        <w:t>Santander</w:t>
      </w:r>
      <w:r w:rsidR="00B55800" w:rsidRPr="00F96438">
        <w:rPr>
          <w:rFonts w:ascii="Tahoma" w:hAnsi="Tahoma" w:cs="Tahoma"/>
          <w:color w:val="000000" w:themeColor="text1"/>
          <w:sz w:val="24"/>
          <w:szCs w:val="24"/>
          <w:lang w:eastAsia="es-CO"/>
        </w:rPr>
        <w:t>), lo que nos quiere decir que se carecería de competencia, por ausencia del factor territorial, para asumir el conocimiento de la presente acción constitucional</w:t>
      </w:r>
      <w:r w:rsidR="00E4590D" w:rsidRPr="00F96438">
        <w:rPr>
          <w:rFonts w:ascii="Tahoma" w:hAnsi="Tahoma" w:cs="Tahoma"/>
          <w:color w:val="000000" w:themeColor="text1"/>
          <w:sz w:val="24"/>
          <w:szCs w:val="24"/>
          <w:lang w:eastAsia="es-CO"/>
        </w:rPr>
        <w:t xml:space="preserve">. </w:t>
      </w:r>
    </w:p>
    <w:p w:rsidR="00B55800" w:rsidRPr="00F96438" w:rsidRDefault="00B55800" w:rsidP="00F96438">
      <w:pPr>
        <w:pStyle w:val="Sinespaciado"/>
        <w:spacing w:line="276" w:lineRule="auto"/>
        <w:jc w:val="both"/>
        <w:rPr>
          <w:rFonts w:ascii="Tahoma" w:hAnsi="Tahoma" w:cs="Tahoma"/>
          <w:color w:val="000000" w:themeColor="text1"/>
          <w:sz w:val="24"/>
          <w:szCs w:val="24"/>
          <w:lang w:eastAsia="es-CO"/>
        </w:rPr>
      </w:pPr>
    </w:p>
    <w:p w:rsidR="00FF3512" w:rsidRPr="00F96438" w:rsidRDefault="00A44A4F" w:rsidP="00F96438">
      <w:pPr>
        <w:pStyle w:val="Sinespaciado"/>
        <w:spacing w:line="276" w:lineRule="auto"/>
        <w:jc w:val="both"/>
        <w:rPr>
          <w:rFonts w:ascii="Tahoma" w:hAnsi="Tahoma" w:cs="Tahoma"/>
          <w:color w:val="000000" w:themeColor="text1"/>
          <w:sz w:val="24"/>
          <w:szCs w:val="24"/>
          <w:lang w:eastAsia="es-CO"/>
        </w:rPr>
      </w:pPr>
      <w:r w:rsidRPr="00F96438">
        <w:rPr>
          <w:rFonts w:ascii="Tahoma" w:hAnsi="Tahoma" w:cs="Tahoma"/>
          <w:color w:val="000000" w:themeColor="text1"/>
          <w:sz w:val="24"/>
          <w:szCs w:val="24"/>
          <w:lang w:eastAsia="es-CO"/>
        </w:rPr>
        <w:t xml:space="preserve">Sobre ese aspecto en particular es preciso señalar que la jurisprudencia ha sido enfática en establecer que frente a la acción constitucional en comento, </w:t>
      </w:r>
      <w:r w:rsidR="00990207" w:rsidRPr="00F96438">
        <w:rPr>
          <w:rFonts w:ascii="Tahoma" w:hAnsi="Tahoma" w:cs="Tahoma"/>
          <w:color w:val="000000" w:themeColor="text1"/>
          <w:sz w:val="24"/>
          <w:szCs w:val="24"/>
          <w:lang w:eastAsia="es-CO"/>
        </w:rPr>
        <w:t xml:space="preserve">el factor territorial de competencia se determina en estos casos, </w:t>
      </w:r>
      <w:r w:rsidRPr="00F96438">
        <w:rPr>
          <w:rFonts w:ascii="Tahoma" w:hAnsi="Tahoma" w:cs="Tahoma"/>
          <w:color w:val="000000" w:themeColor="text1"/>
          <w:sz w:val="24"/>
          <w:szCs w:val="24"/>
          <w:lang w:eastAsia="es-CO"/>
        </w:rPr>
        <w:t>atendiendo</w:t>
      </w:r>
      <w:r w:rsidR="00990207" w:rsidRPr="00F96438">
        <w:rPr>
          <w:rFonts w:ascii="Tahoma" w:hAnsi="Tahoma" w:cs="Tahoma"/>
          <w:color w:val="000000" w:themeColor="text1"/>
          <w:sz w:val="24"/>
          <w:szCs w:val="24"/>
          <w:lang w:eastAsia="es-CO"/>
        </w:rPr>
        <w:t xml:space="preserve"> el lugar de reclusión del afectado, lo </w:t>
      </w:r>
      <w:r w:rsidR="00B55800" w:rsidRPr="00F96438">
        <w:rPr>
          <w:rFonts w:ascii="Tahoma" w:hAnsi="Tahoma" w:cs="Tahoma"/>
          <w:color w:val="000000" w:themeColor="text1"/>
          <w:sz w:val="24"/>
          <w:szCs w:val="24"/>
          <w:lang w:eastAsia="es-CO"/>
        </w:rPr>
        <w:t xml:space="preserve">que </w:t>
      </w:r>
      <w:r w:rsidR="00FF3512" w:rsidRPr="00F96438">
        <w:rPr>
          <w:rFonts w:ascii="Tahoma" w:hAnsi="Tahoma" w:cs="Tahoma"/>
          <w:color w:val="000000" w:themeColor="text1"/>
          <w:sz w:val="24"/>
          <w:szCs w:val="24"/>
          <w:lang w:eastAsia="es-CO"/>
        </w:rPr>
        <w:t xml:space="preserve">se deriva de la posibilidad que tiene el funcionario de realizar la entrevista respectiva al titular de la misma, </w:t>
      </w:r>
      <w:r w:rsidR="00990207" w:rsidRPr="00F96438">
        <w:rPr>
          <w:rFonts w:ascii="Tahoma" w:hAnsi="Tahoma" w:cs="Tahoma"/>
          <w:color w:val="000000" w:themeColor="text1"/>
          <w:sz w:val="24"/>
          <w:szCs w:val="24"/>
          <w:lang w:eastAsia="es-CO"/>
        </w:rPr>
        <w:t>en caso de que el funcionario lo considere pertinente, lo cual</w:t>
      </w:r>
      <w:r w:rsidR="00FF3512" w:rsidRPr="00F96438">
        <w:rPr>
          <w:rFonts w:ascii="Tahoma" w:hAnsi="Tahoma" w:cs="Tahoma"/>
          <w:color w:val="000000" w:themeColor="text1"/>
          <w:sz w:val="24"/>
          <w:szCs w:val="24"/>
          <w:lang w:eastAsia="es-CO"/>
        </w:rPr>
        <w:t xml:space="preserve"> se dificulta cuando el conocimiento </w:t>
      </w:r>
      <w:r w:rsidR="002E5DE9" w:rsidRPr="00F96438">
        <w:rPr>
          <w:rFonts w:ascii="Tahoma" w:hAnsi="Tahoma" w:cs="Tahoma"/>
          <w:color w:val="000000" w:themeColor="text1"/>
          <w:sz w:val="24"/>
          <w:szCs w:val="24"/>
          <w:lang w:eastAsia="es-CO"/>
        </w:rPr>
        <w:t>se</w:t>
      </w:r>
      <w:r w:rsidR="00FF3512" w:rsidRPr="00F96438">
        <w:rPr>
          <w:rFonts w:ascii="Tahoma" w:hAnsi="Tahoma" w:cs="Tahoma"/>
          <w:color w:val="000000" w:themeColor="text1"/>
          <w:sz w:val="24"/>
          <w:szCs w:val="24"/>
          <w:lang w:eastAsia="es-CO"/>
        </w:rPr>
        <w:t xml:space="preserve"> asume</w:t>
      </w:r>
      <w:r w:rsidR="002E5DE9" w:rsidRPr="00F96438">
        <w:rPr>
          <w:rFonts w:ascii="Tahoma" w:hAnsi="Tahoma" w:cs="Tahoma"/>
          <w:color w:val="000000" w:themeColor="text1"/>
          <w:sz w:val="24"/>
          <w:szCs w:val="24"/>
          <w:lang w:eastAsia="es-CO"/>
        </w:rPr>
        <w:t xml:space="preserve"> por parte de un</w:t>
      </w:r>
      <w:r w:rsidR="00FF3512" w:rsidRPr="00F96438">
        <w:rPr>
          <w:rFonts w:ascii="Tahoma" w:hAnsi="Tahoma" w:cs="Tahoma"/>
          <w:color w:val="000000" w:themeColor="text1"/>
          <w:sz w:val="24"/>
          <w:szCs w:val="24"/>
          <w:lang w:eastAsia="es-CO"/>
        </w:rPr>
        <w:t xml:space="preserve"> juez de otra sede judicial. </w:t>
      </w:r>
    </w:p>
    <w:p w:rsidR="00990207" w:rsidRPr="00F96438" w:rsidRDefault="00990207" w:rsidP="00F96438">
      <w:pPr>
        <w:pStyle w:val="Sinespaciado"/>
        <w:spacing w:line="276" w:lineRule="auto"/>
        <w:jc w:val="both"/>
        <w:rPr>
          <w:rFonts w:ascii="Tahoma" w:hAnsi="Tahoma" w:cs="Tahoma"/>
          <w:color w:val="000000" w:themeColor="text1"/>
          <w:sz w:val="24"/>
          <w:szCs w:val="24"/>
          <w:lang w:eastAsia="es-CO"/>
        </w:rPr>
      </w:pPr>
    </w:p>
    <w:p w:rsidR="002E5DE9" w:rsidRPr="00F96438" w:rsidRDefault="002E5DE9" w:rsidP="00F96438">
      <w:pPr>
        <w:pStyle w:val="Sinespaciado"/>
        <w:spacing w:line="276" w:lineRule="auto"/>
        <w:jc w:val="both"/>
        <w:rPr>
          <w:rFonts w:ascii="Tahoma" w:hAnsi="Tahoma" w:cs="Tahoma"/>
          <w:color w:val="000000" w:themeColor="text1"/>
          <w:sz w:val="24"/>
          <w:szCs w:val="24"/>
          <w:lang w:eastAsia="es-CO"/>
        </w:rPr>
      </w:pPr>
      <w:r w:rsidRPr="00F96438">
        <w:rPr>
          <w:rFonts w:ascii="Tahoma" w:hAnsi="Tahoma" w:cs="Tahoma"/>
          <w:color w:val="000000" w:themeColor="text1"/>
          <w:sz w:val="24"/>
          <w:szCs w:val="24"/>
          <w:lang w:eastAsia="es-CO"/>
        </w:rPr>
        <w:t xml:space="preserve">En tal sentido la Sala Penal de la Corte Suprema de Justicia, mediante providencia ST1657-2018 del 16 de mayo de 2.018, radicado </w:t>
      </w:r>
      <w:r w:rsidRPr="00F96438">
        <w:rPr>
          <w:rFonts w:ascii="Tahoma" w:hAnsi="Tahoma" w:cs="Tahoma"/>
          <w:color w:val="000000" w:themeColor="text1"/>
          <w:sz w:val="24"/>
          <w:szCs w:val="24"/>
        </w:rPr>
        <w:t>52545, reiteró los alcances de la sentencia C-187 de 2.006</w:t>
      </w:r>
      <w:r w:rsidR="001A3273" w:rsidRPr="00F96438">
        <w:rPr>
          <w:rFonts w:ascii="Tahoma" w:hAnsi="Tahoma" w:cs="Tahoma"/>
          <w:color w:val="000000" w:themeColor="text1"/>
          <w:sz w:val="24"/>
          <w:szCs w:val="24"/>
        </w:rPr>
        <w:t xml:space="preserve">, señalando </w:t>
      </w:r>
      <w:r w:rsidRPr="00F96438">
        <w:rPr>
          <w:rFonts w:ascii="Tahoma" w:hAnsi="Tahoma" w:cs="Tahoma"/>
          <w:color w:val="000000" w:themeColor="text1"/>
          <w:sz w:val="24"/>
          <w:szCs w:val="24"/>
        </w:rPr>
        <w:t xml:space="preserve">lo siguiente: </w:t>
      </w:r>
    </w:p>
    <w:p w:rsidR="002E5DE9" w:rsidRPr="00F96438" w:rsidRDefault="002E5DE9" w:rsidP="00F96438">
      <w:pPr>
        <w:pStyle w:val="Sinespaciado"/>
        <w:spacing w:line="276" w:lineRule="auto"/>
        <w:jc w:val="both"/>
        <w:rPr>
          <w:rFonts w:ascii="Tahoma" w:hAnsi="Tahoma" w:cs="Tahoma"/>
          <w:color w:val="000000" w:themeColor="text1"/>
          <w:sz w:val="24"/>
          <w:szCs w:val="24"/>
          <w:lang w:eastAsia="es-CO"/>
        </w:rPr>
      </w:pPr>
    </w:p>
    <w:p w:rsidR="002E5DE9" w:rsidRPr="00601457" w:rsidRDefault="002E5DE9" w:rsidP="00601457">
      <w:pPr>
        <w:pStyle w:val="Sinespaciado"/>
        <w:ind w:left="426" w:right="420"/>
        <w:jc w:val="both"/>
        <w:rPr>
          <w:rFonts w:ascii="Tahoma" w:hAnsi="Tahoma" w:cs="Tahoma"/>
          <w:i/>
          <w:color w:val="000000" w:themeColor="text1"/>
          <w:szCs w:val="24"/>
        </w:rPr>
      </w:pPr>
      <w:r w:rsidRPr="00601457">
        <w:rPr>
          <w:rFonts w:ascii="Tahoma" w:hAnsi="Tahoma" w:cs="Tahoma"/>
          <w:i/>
          <w:color w:val="000000" w:themeColor="text1"/>
          <w:szCs w:val="24"/>
        </w:rPr>
        <w:t>“(:::)</w:t>
      </w:r>
    </w:p>
    <w:p w:rsidR="002E5DE9" w:rsidRPr="00601457" w:rsidRDefault="002E5DE9" w:rsidP="00601457">
      <w:pPr>
        <w:pStyle w:val="Sinespaciado"/>
        <w:ind w:left="426" w:right="420"/>
        <w:jc w:val="both"/>
        <w:rPr>
          <w:rFonts w:ascii="Tahoma" w:hAnsi="Tahoma" w:cs="Tahoma"/>
          <w:i/>
          <w:color w:val="000000" w:themeColor="text1"/>
          <w:szCs w:val="24"/>
        </w:rPr>
      </w:pPr>
    </w:p>
    <w:p w:rsidR="002E5DE9" w:rsidRPr="00601457" w:rsidRDefault="002E5DE9" w:rsidP="00601457">
      <w:pPr>
        <w:pStyle w:val="Sinespaciado"/>
        <w:ind w:left="426" w:right="420"/>
        <w:jc w:val="both"/>
        <w:rPr>
          <w:rFonts w:ascii="Tahoma" w:hAnsi="Tahoma" w:cs="Tahoma"/>
          <w:i/>
          <w:color w:val="000000" w:themeColor="text1"/>
          <w:szCs w:val="24"/>
        </w:rPr>
      </w:pPr>
      <w:r w:rsidRPr="00601457">
        <w:rPr>
          <w:rFonts w:ascii="Tahoma" w:hAnsi="Tahoma" w:cs="Tahoma"/>
          <w:i/>
          <w:color w:val="000000" w:themeColor="text1"/>
          <w:szCs w:val="24"/>
        </w:rPr>
        <w:t xml:space="preserve">Si bien es cierto, como lo manifiesta el apelante, que el artículo 30 de la Carta Política prevé que el habeas corpus puede invocarse «ante cualquier autoridad judicial», también lo es que el artículo 3º de la Ley 1095 de 2006, que reguló ese mandato constitucional, estableció que la solicitud de amparo puede ser presentada ante «cualquier autoridad judicial </w:t>
      </w:r>
      <w:r w:rsidRPr="00601457">
        <w:rPr>
          <w:rFonts w:ascii="Tahoma" w:hAnsi="Tahoma" w:cs="Tahoma"/>
          <w:b/>
          <w:i/>
          <w:color w:val="000000" w:themeColor="text1"/>
          <w:szCs w:val="24"/>
          <w:u w:val="single"/>
        </w:rPr>
        <w:t>competente</w:t>
      </w:r>
      <w:r w:rsidRPr="00601457">
        <w:rPr>
          <w:rFonts w:ascii="Tahoma" w:hAnsi="Tahoma" w:cs="Tahoma"/>
          <w:i/>
          <w:color w:val="000000" w:themeColor="text1"/>
          <w:szCs w:val="24"/>
        </w:rPr>
        <w:t>».</w:t>
      </w:r>
    </w:p>
    <w:p w:rsidR="002E5DE9" w:rsidRPr="00F96438" w:rsidRDefault="002E5DE9" w:rsidP="00F96438">
      <w:pPr>
        <w:pStyle w:val="Sinespaciado"/>
        <w:spacing w:line="276" w:lineRule="auto"/>
        <w:jc w:val="both"/>
        <w:rPr>
          <w:rFonts w:ascii="Tahoma" w:hAnsi="Tahoma" w:cs="Tahoma"/>
          <w:i/>
          <w:color w:val="000000" w:themeColor="text1"/>
          <w:sz w:val="24"/>
          <w:szCs w:val="24"/>
        </w:rPr>
      </w:pPr>
      <w:r w:rsidRPr="00F96438">
        <w:rPr>
          <w:rFonts w:ascii="Tahoma" w:hAnsi="Tahoma" w:cs="Tahoma"/>
          <w:i/>
          <w:color w:val="000000" w:themeColor="text1"/>
          <w:sz w:val="24"/>
          <w:szCs w:val="24"/>
        </w:rPr>
        <w:tab/>
      </w:r>
    </w:p>
    <w:p w:rsidR="002E5DE9" w:rsidRPr="00F96438" w:rsidRDefault="002E5DE9" w:rsidP="00F96438">
      <w:pPr>
        <w:pStyle w:val="Sinespaciado"/>
        <w:spacing w:line="276" w:lineRule="auto"/>
        <w:jc w:val="both"/>
        <w:rPr>
          <w:rFonts w:ascii="Tahoma" w:hAnsi="Tahoma" w:cs="Tahoma"/>
          <w:i/>
          <w:color w:val="000000" w:themeColor="text1"/>
          <w:sz w:val="24"/>
          <w:szCs w:val="24"/>
        </w:rPr>
      </w:pPr>
      <w:r w:rsidRPr="00F96438">
        <w:rPr>
          <w:rFonts w:ascii="Tahoma" w:hAnsi="Tahoma" w:cs="Tahoma"/>
          <w:i/>
          <w:color w:val="000000" w:themeColor="text1"/>
          <w:sz w:val="24"/>
          <w:szCs w:val="24"/>
        </w:rPr>
        <w:t>Al respecto, la Corte Constitucional, en sentencia C – 187 de 2006, indicó que la competencia para tramitar y decidir la acción de habeas corpus corresponde a «</w:t>
      </w:r>
      <w:r w:rsidRPr="00601457">
        <w:rPr>
          <w:rFonts w:ascii="Tahoma" w:hAnsi="Tahoma" w:cs="Tahoma"/>
          <w:i/>
          <w:color w:val="000000" w:themeColor="text1"/>
          <w:szCs w:val="24"/>
        </w:rPr>
        <w:t xml:space="preserve">la autoridad con jurisdicción en el lugar </w:t>
      </w:r>
      <w:r w:rsidRPr="00601457">
        <w:rPr>
          <w:rFonts w:ascii="Tahoma" w:hAnsi="Tahoma" w:cs="Tahoma"/>
          <w:b/>
          <w:i/>
          <w:color w:val="000000" w:themeColor="text1"/>
          <w:szCs w:val="24"/>
          <w:u w:val="single"/>
        </w:rPr>
        <w:t>donde la persona se encuentre privada de la libertad</w:t>
      </w:r>
      <w:r w:rsidRPr="00F96438">
        <w:rPr>
          <w:rFonts w:ascii="Tahoma" w:hAnsi="Tahoma" w:cs="Tahoma"/>
          <w:i/>
          <w:color w:val="000000" w:themeColor="text1"/>
          <w:sz w:val="24"/>
          <w:szCs w:val="24"/>
        </w:rPr>
        <w:t xml:space="preserve">»; precisión que no constituye una simple opinión autorizada o guía interpretativa, sino que, tratándose de un razonamiento determinante para la declaración de </w:t>
      </w:r>
      <w:proofErr w:type="spellStart"/>
      <w:r w:rsidRPr="00F96438">
        <w:rPr>
          <w:rFonts w:ascii="Tahoma" w:hAnsi="Tahoma" w:cs="Tahoma"/>
          <w:i/>
          <w:color w:val="000000" w:themeColor="text1"/>
          <w:sz w:val="24"/>
          <w:szCs w:val="24"/>
        </w:rPr>
        <w:t>exequibilidad</w:t>
      </w:r>
      <w:proofErr w:type="spellEnd"/>
      <w:r w:rsidRPr="00F96438">
        <w:rPr>
          <w:rFonts w:ascii="Tahoma" w:hAnsi="Tahoma" w:cs="Tahoma"/>
          <w:i/>
          <w:color w:val="000000" w:themeColor="text1"/>
          <w:sz w:val="24"/>
          <w:szCs w:val="24"/>
        </w:rPr>
        <w:t xml:space="preserve"> de la norma examinada (Ley 1095 de 2006), se incorpora a su tenor y vincula a todos los operadores jurídicos. </w:t>
      </w:r>
    </w:p>
    <w:p w:rsidR="002E5DE9" w:rsidRPr="00F96438" w:rsidRDefault="002E5DE9" w:rsidP="00F96438">
      <w:pPr>
        <w:pStyle w:val="Sinespaciado"/>
        <w:spacing w:line="276" w:lineRule="auto"/>
        <w:jc w:val="both"/>
        <w:rPr>
          <w:rFonts w:ascii="Tahoma" w:hAnsi="Tahoma" w:cs="Tahoma"/>
          <w:i/>
          <w:color w:val="000000" w:themeColor="text1"/>
          <w:sz w:val="24"/>
          <w:szCs w:val="24"/>
        </w:rPr>
      </w:pPr>
    </w:p>
    <w:p w:rsidR="002E5DE9" w:rsidRPr="00F96438" w:rsidRDefault="002E5DE9" w:rsidP="00F96438">
      <w:pPr>
        <w:pStyle w:val="Sinespaciado"/>
        <w:spacing w:line="276" w:lineRule="auto"/>
        <w:jc w:val="both"/>
        <w:rPr>
          <w:rFonts w:ascii="Tahoma" w:hAnsi="Tahoma" w:cs="Tahoma"/>
          <w:i/>
          <w:color w:val="000000" w:themeColor="text1"/>
          <w:sz w:val="24"/>
          <w:szCs w:val="24"/>
        </w:rPr>
      </w:pPr>
      <w:r w:rsidRPr="00F96438">
        <w:rPr>
          <w:rFonts w:ascii="Tahoma" w:hAnsi="Tahoma" w:cs="Tahoma"/>
          <w:i/>
          <w:color w:val="000000" w:themeColor="text1"/>
          <w:sz w:val="24"/>
          <w:szCs w:val="24"/>
        </w:rPr>
        <w:t>Idéntica postura ha mantenido esta Corporación, cuya jurisprudencia ha enfatizado:</w:t>
      </w:r>
    </w:p>
    <w:p w:rsidR="002E5DE9" w:rsidRPr="00F96438" w:rsidRDefault="002E5DE9" w:rsidP="00F96438">
      <w:pPr>
        <w:pStyle w:val="Sinespaciado"/>
        <w:spacing w:line="276" w:lineRule="auto"/>
        <w:jc w:val="both"/>
        <w:rPr>
          <w:rFonts w:ascii="Tahoma" w:hAnsi="Tahoma" w:cs="Tahoma"/>
          <w:i/>
          <w:color w:val="000000" w:themeColor="text1"/>
          <w:sz w:val="24"/>
          <w:szCs w:val="24"/>
        </w:rPr>
      </w:pPr>
    </w:p>
    <w:p w:rsidR="002E5DE9" w:rsidRPr="00601457" w:rsidRDefault="002E5DE9" w:rsidP="00601457">
      <w:pPr>
        <w:pStyle w:val="Sinespaciado"/>
        <w:ind w:left="426" w:right="420"/>
        <w:jc w:val="both"/>
        <w:rPr>
          <w:rFonts w:ascii="Tahoma" w:hAnsi="Tahoma" w:cs="Tahoma"/>
          <w:bCs/>
          <w:i/>
          <w:color w:val="000000" w:themeColor="text1"/>
          <w:szCs w:val="24"/>
          <w:lang w:val="es-MX"/>
        </w:rPr>
      </w:pPr>
      <w:r w:rsidRPr="00601457">
        <w:rPr>
          <w:rFonts w:ascii="Tahoma" w:hAnsi="Tahoma" w:cs="Tahoma"/>
          <w:bCs/>
          <w:i/>
          <w:color w:val="000000" w:themeColor="text1"/>
          <w:szCs w:val="24"/>
          <w:lang w:val="es-MX"/>
        </w:rPr>
        <w:t>…</w:t>
      </w:r>
      <w:r w:rsidR="00601457" w:rsidRPr="00601457">
        <w:rPr>
          <w:rFonts w:ascii="Tahoma" w:hAnsi="Tahoma" w:cs="Tahoma"/>
          <w:bCs/>
          <w:i/>
          <w:color w:val="000000" w:themeColor="text1"/>
          <w:szCs w:val="24"/>
          <w:lang w:val="es-MX"/>
        </w:rPr>
        <w:t xml:space="preserve"> </w:t>
      </w:r>
      <w:r w:rsidRPr="00601457">
        <w:rPr>
          <w:rFonts w:ascii="Tahoma" w:hAnsi="Tahoma" w:cs="Tahoma"/>
          <w:bCs/>
          <w:i/>
          <w:color w:val="000000" w:themeColor="text1"/>
          <w:szCs w:val="24"/>
          <w:lang w:val="es-MX"/>
        </w:rPr>
        <w:t>se observa que dentro del debido proceso exigido en punto de la acción de hábeas corpus, también se encuentra que el funcionario judicial tenga competencia territorial, de donde se sigue que se debe resolver tal aspecto.</w:t>
      </w:r>
    </w:p>
    <w:p w:rsidR="002E5DE9" w:rsidRPr="00601457" w:rsidRDefault="002E5DE9" w:rsidP="00601457">
      <w:pPr>
        <w:pStyle w:val="Sinespaciado"/>
        <w:ind w:left="426" w:right="420"/>
        <w:jc w:val="both"/>
        <w:rPr>
          <w:rFonts w:ascii="Tahoma" w:hAnsi="Tahoma" w:cs="Tahoma"/>
          <w:bCs/>
          <w:i/>
          <w:color w:val="000000" w:themeColor="text1"/>
          <w:szCs w:val="24"/>
          <w:lang w:val="es-MX"/>
        </w:rPr>
      </w:pPr>
      <w:r w:rsidRPr="00601457">
        <w:rPr>
          <w:rFonts w:ascii="Tahoma" w:hAnsi="Tahoma" w:cs="Tahoma"/>
          <w:bCs/>
          <w:i/>
          <w:color w:val="000000" w:themeColor="text1"/>
          <w:szCs w:val="24"/>
          <w:lang w:val="es-MX"/>
        </w:rPr>
        <w:br/>
        <w:t>En esa medida, es claro que dentro de la inmediatez de la que está revestida la acción de hábeas corpus, es indispensable garantizar el debido proceso en relación con la competencia territorial del funcionario judicial que ha de conocer de ella</w:t>
      </w:r>
      <w:r w:rsidRPr="00601457">
        <w:rPr>
          <w:rFonts w:ascii="Tahoma" w:hAnsi="Tahoma" w:cs="Tahoma"/>
          <w:bCs/>
          <w:i/>
          <w:color w:val="000000" w:themeColor="text1"/>
          <w:szCs w:val="24"/>
          <w:vertAlign w:val="superscript"/>
          <w:lang w:val="es-MX"/>
        </w:rPr>
        <w:footnoteReference w:id="1"/>
      </w:r>
      <w:r w:rsidRPr="00601457">
        <w:rPr>
          <w:rFonts w:ascii="Tahoma" w:hAnsi="Tahoma" w:cs="Tahoma"/>
          <w:bCs/>
          <w:i/>
          <w:color w:val="000000" w:themeColor="text1"/>
          <w:szCs w:val="24"/>
          <w:lang w:val="es-MX"/>
        </w:rPr>
        <w:t>.</w:t>
      </w:r>
    </w:p>
    <w:p w:rsidR="001A3273" w:rsidRPr="00601457" w:rsidRDefault="001A3273" w:rsidP="00601457">
      <w:pPr>
        <w:pStyle w:val="Sinespaciado"/>
        <w:ind w:left="426" w:right="420"/>
        <w:jc w:val="both"/>
        <w:rPr>
          <w:rFonts w:ascii="Tahoma" w:hAnsi="Tahoma" w:cs="Tahoma"/>
          <w:bCs/>
          <w:i/>
          <w:color w:val="000000" w:themeColor="text1"/>
          <w:szCs w:val="24"/>
          <w:lang w:val="es-MX"/>
        </w:rPr>
      </w:pPr>
    </w:p>
    <w:p w:rsidR="001A3273" w:rsidRPr="00601457" w:rsidRDefault="001A3273" w:rsidP="00601457">
      <w:pPr>
        <w:pStyle w:val="Sinespaciado"/>
        <w:ind w:left="426" w:right="420"/>
        <w:jc w:val="both"/>
        <w:rPr>
          <w:rFonts w:ascii="Tahoma" w:hAnsi="Tahoma" w:cs="Tahoma"/>
          <w:bCs/>
          <w:i/>
          <w:color w:val="000000" w:themeColor="text1"/>
          <w:szCs w:val="24"/>
          <w:lang w:val="es-MX"/>
        </w:rPr>
      </w:pPr>
      <w:r w:rsidRPr="00601457">
        <w:rPr>
          <w:rFonts w:ascii="Tahoma" w:hAnsi="Tahoma" w:cs="Tahoma"/>
          <w:bCs/>
          <w:i/>
          <w:color w:val="000000" w:themeColor="text1"/>
          <w:szCs w:val="24"/>
          <w:lang w:val="es-MX"/>
        </w:rPr>
        <w:t>(:::)”</w:t>
      </w:r>
    </w:p>
    <w:p w:rsidR="00C361D9" w:rsidRPr="00C361D9" w:rsidRDefault="00C361D9" w:rsidP="00C361D9">
      <w:pPr>
        <w:pStyle w:val="Sinespaciado"/>
        <w:spacing w:line="276" w:lineRule="auto"/>
        <w:jc w:val="both"/>
        <w:rPr>
          <w:rFonts w:ascii="Tahoma" w:hAnsi="Tahoma" w:cs="Tahoma"/>
          <w:i/>
          <w:color w:val="000000" w:themeColor="text1"/>
          <w:sz w:val="24"/>
          <w:szCs w:val="24"/>
        </w:rPr>
      </w:pPr>
    </w:p>
    <w:p w:rsidR="001A3273" w:rsidRPr="00C361D9" w:rsidRDefault="001A3273" w:rsidP="00C361D9">
      <w:pPr>
        <w:pStyle w:val="Sinespaciado"/>
        <w:spacing w:line="276" w:lineRule="auto"/>
        <w:jc w:val="both"/>
        <w:rPr>
          <w:rFonts w:ascii="Tahoma" w:hAnsi="Tahoma" w:cs="Tahoma"/>
          <w:i/>
          <w:color w:val="000000" w:themeColor="text1"/>
          <w:sz w:val="24"/>
          <w:szCs w:val="24"/>
        </w:rPr>
      </w:pPr>
      <w:r w:rsidRPr="00C361D9">
        <w:rPr>
          <w:rFonts w:ascii="Tahoma" w:hAnsi="Tahoma" w:cs="Tahoma"/>
          <w:i/>
          <w:color w:val="000000" w:themeColor="text1"/>
          <w:sz w:val="24"/>
          <w:szCs w:val="24"/>
        </w:rPr>
        <w:t>En igual sentido, la Corporación en comento a través de proveído STP2146-2018 del 15 de febrero 2018, radicado 96586, señaló:</w:t>
      </w:r>
    </w:p>
    <w:p w:rsidR="00990207" w:rsidRPr="00C361D9" w:rsidRDefault="00990207" w:rsidP="00C361D9">
      <w:pPr>
        <w:pStyle w:val="Sinespaciado"/>
        <w:spacing w:line="276" w:lineRule="auto"/>
        <w:jc w:val="both"/>
        <w:rPr>
          <w:rFonts w:ascii="Tahoma" w:hAnsi="Tahoma" w:cs="Tahoma"/>
          <w:i/>
          <w:color w:val="000000" w:themeColor="text1"/>
          <w:sz w:val="24"/>
          <w:szCs w:val="24"/>
        </w:rPr>
      </w:pPr>
    </w:p>
    <w:p w:rsidR="001A3273" w:rsidRPr="00601457" w:rsidRDefault="00990207" w:rsidP="00601457">
      <w:pPr>
        <w:pStyle w:val="Sinespaciado"/>
        <w:ind w:left="426" w:right="420"/>
        <w:jc w:val="both"/>
        <w:rPr>
          <w:rFonts w:ascii="Tahoma" w:hAnsi="Tahoma" w:cs="Tahoma"/>
          <w:i/>
          <w:color w:val="000000" w:themeColor="text1"/>
          <w:szCs w:val="24"/>
          <w:lang w:eastAsia="es-CO"/>
        </w:rPr>
      </w:pPr>
      <w:r w:rsidRPr="00601457">
        <w:rPr>
          <w:rFonts w:ascii="Tahoma" w:hAnsi="Tahoma" w:cs="Tahoma"/>
          <w:i/>
          <w:color w:val="000000" w:themeColor="text1"/>
          <w:szCs w:val="24"/>
          <w:lang w:eastAsia="es-CO"/>
        </w:rPr>
        <w:lastRenderedPageBreak/>
        <w:t>“</w:t>
      </w:r>
      <w:r w:rsidR="001A3273" w:rsidRPr="00601457">
        <w:rPr>
          <w:rFonts w:ascii="Tahoma" w:hAnsi="Tahoma" w:cs="Tahoma"/>
          <w:i/>
          <w:color w:val="000000" w:themeColor="text1"/>
          <w:szCs w:val="24"/>
          <w:lang w:eastAsia="es-CO"/>
        </w:rPr>
        <w:t>(:::)</w:t>
      </w:r>
    </w:p>
    <w:p w:rsidR="001A3273" w:rsidRPr="00601457" w:rsidRDefault="001A3273" w:rsidP="00601457">
      <w:pPr>
        <w:pStyle w:val="Sinespaciado"/>
        <w:ind w:left="426" w:right="420"/>
        <w:jc w:val="both"/>
        <w:rPr>
          <w:rFonts w:ascii="Tahoma" w:hAnsi="Tahoma" w:cs="Tahoma"/>
          <w:i/>
          <w:color w:val="000000" w:themeColor="text1"/>
          <w:szCs w:val="24"/>
          <w:lang w:eastAsia="es-CO"/>
        </w:rPr>
      </w:pPr>
    </w:p>
    <w:p w:rsidR="00990207" w:rsidRPr="00601457" w:rsidRDefault="00990207" w:rsidP="00601457">
      <w:pPr>
        <w:pStyle w:val="Sinespaciado"/>
        <w:ind w:left="426" w:right="420"/>
        <w:jc w:val="both"/>
        <w:rPr>
          <w:rFonts w:ascii="Tahoma" w:hAnsi="Tahoma" w:cs="Tahoma"/>
          <w:i/>
          <w:color w:val="000000" w:themeColor="text1"/>
          <w:szCs w:val="24"/>
          <w:lang w:eastAsia="es-CO"/>
        </w:rPr>
      </w:pPr>
      <w:r w:rsidRPr="00601457">
        <w:rPr>
          <w:rFonts w:ascii="Tahoma" w:hAnsi="Tahoma" w:cs="Tahoma"/>
          <w:i/>
          <w:color w:val="000000" w:themeColor="text1"/>
          <w:szCs w:val="24"/>
          <w:lang w:eastAsia="es-CO"/>
        </w:rPr>
        <w:t>Son competentes para conocer del </w:t>
      </w:r>
      <w:r w:rsidRPr="00601457">
        <w:rPr>
          <w:rFonts w:ascii="Tahoma" w:hAnsi="Tahoma" w:cs="Tahoma"/>
          <w:i/>
          <w:iCs/>
          <w:color w:val="000000" w:themeColor="text1"/>
          <w:szCs w:val="24"/>
          <w:lang w:eastAsia="es-CO"/>
        </w:rPr>
        <w:t>hábeas corpus </w:t>
      </w:r>
      <w:r w:rsidRPr="00601457">
        <w:rPr>
          <w:rFonts w:ascii="Tahoma" w:hAnsi="Tahoma" w:cs="Tahoma"/>
          <w:i/>
          <w:color w:val="000000" w:themeColor="text1"/>
          <w:szCs w:val="24"/>
          <w:lang w:eastAsia="es-CO"/>
        </w:rPr>
        <w:t>las autoridades mencionadas en esta providencia, </w:t>
      </w:r>
      <w:r w:rsidRPr="00601457">
        <w:rPr>
          <w:rFonts w:ascii="Tahoma" w:hAnsi="Tahoma" w:cs="Tahoma"/>
          <w:b/>
          <w:bCs/>
          <w:i/>
          <w:color w:val="000000" w:themeColor="text1"/>
          <w:szCs w:val="24"/>
          <w:u w:val="single"/>
          <w:lang w:eastAsia="es-CO"/>
        </w:rPr>
        <w:t>a lo cual se ha de agregar el factor territorial,</w:t>
      </w:r>
      <w:r w:rsidRPr="00601457">
        <w:rPr>
          <w:rFonts w:ascii="Tahoma" w:hAnsi="Tahoma" w:cs="Tahoma"/>
          <w:i/>
          <w:color w:val="000000" w:themeColor="text1"/>
          <w:szCs w:val="24"/>
          <w:lang w:eastAsia="es-CO"/>
        </w:rPr>
        <w:t> </w:t>
      </w:r>
      <w:r w:rsidRPr="00601457">
        <w:rPr>
          <w:rFonts w:ascii="Tahoma" w:hAnsi="Tahoma" w:cs="Tahoma"/>
          <w:i/>
          <w:color w:val="000000" w:themeColor="text1"/>
          <w:szCs w:val="24"/>
          <w:u w:val="single"/>
          <w:lang w:eastAsia="es-CO"/>
        </w:rPr>
        <w:t>en virtud del cual conocerá de la petición la autoridad con jurisdicción en el lugar donde ocurrieron los hechos. En aplicación de los principios de inmediación, celeridad, eficacia y eficiencia, propios de la actividad judicial</w:t>
      </w:r>
      <w:r w:rsidRPr="00601457">
        <w:rPr>
          <w:rFonts w:ascii="Tahoma" w:hAnsi="Tahoma" w:cs="Tahoma"/>
          <w:i/>
          <w:color w:val="000000" w:themeColor="text1"/>
          <w:szCs w:val="24"/>
          <w:lang w:eastAsia="es-CO"/>
        </w:rPr>
        <w:t>, la Corte encuentra que el legislador, al establecer la forma cómo se distribuye la jurisdicción para estos casos, actuó dentro del ámbito de sus potestades constitucionales, en particular de las establecidas en el artículo 150-1 superior.</w:t>
      </w:r>
    </w:p>
    <w:p w:rsidR="00990207" w:rsidRPr="00601457" w:rsidRDefault="00990207" w:rsidP="00601457">
      <w:pPr>
        <w:pStyle w:val="Sinespaciado"/>
        <w:ind w:left="426" w:right="420"/>
        <w:jc w:val="both"/>
        <w:rPr>
          <w:rFonts w:ascii="Tahoma" w:hAnsi="Tahoma" w:cs="Tahoma"/>
          <w:i/>
          <w:color w:val="000000" w:themeColor="text1"/>
          <w:szCs w:val="24"/>
          <w:lang w:eastAsia="es-CO"/>
        </w:rPr>
      </w:pPr>
      <w:r w:rsidRPr="00601457">
        <w:rPr>
          <w:rFonts w:ascii="Tahoma" w:hAnsi="Tahoma" w:cs="Tahoma"/>
          <w:i/>
          <w:color w:val="000000" w:themeColor="text1"/>
          <w:szCs w:val="24"/>
          <w:lang w:eastAsia="es-CO"/>
        </w:rPr>
        <w:t>  </w:t>
      </w:r>
    </w:p>
    <w:p w:rsidR="00990207" w:rsidRPr="00601457" w:rsidRDefault="00990207" w:rsidP="00601457">
      <w:pPr>
        <w:pStyle w:val="Sinespaciado"/>
        <w:ind w:left="426" w:right="420"/>
        <w:jc w:val="both"/>
        <w:rPr>
          <w:rFonts w:ascii="Tahoma" w:hAnsi="Tahoma" w:cs="Tahoma"/>
          <w:i/>
          <w:color w:val="000000" w:themeColor="text1"/>
          <w:szCs w:val="24"/>
          <w:lang w:eastAsia="es-CO"/>
        </w:rPr>
      </w:pPr>
      <w:r w:rsidRPr="00601457">
        <w:rPr>
          <w:rFonts w:ascii="Tahoma" w:hAnsi="Tahoma" w:cs="Tahoma"/>
          <w:b/>
          <w:bCs/>
          <w:i/>
          <w:color w:val="000000" w:themeColor="text1"/>
          <w:szCs w:val="24"/>
          <w:u w:val="single"/>
          <w:lang w:eastAsia="es-CO"/>
        </w:rPr>
        <w:t>La Corte considera propio de esta acción que el juez cuente con la posibilidad inmediata de visitar a la persona en su lugar de reclusión</w:t>
      </w:r>
      <w:r w:rsidRPr="00601457">
        <w:rPr>
          <w:rFonts w:ascii="Tahoma" w:hAnsi="Tahoma" w:cs="Tahoma"/>
          <w:i/>
          <w:color w:val="000000" w:themeColor="text1"/>
          <w:szCs w:val="24"/>
          <w:lang w:eastAsia="es-CO"/>
        </w:rPr>
        <w:t>, de entrevistar a las autoridades que hayan conocido del caso, de inspeccionar la documentación pertinente y de practicar </w:t>
      </w:r>
      <w:r w:rsidRPr="00601457">
        <w:rPr>
          <w:rFonts w:ascii="Tahoma" w:hAnsi="Tahoma" w:cs="Tahoma"/>
          <w:i/>
          <w:iCs/>
          <w:color w:val="000000" w:themeColor="text1"/>
          <w:szCs w:val="24"/>
          <w:lang w:eastAsia="es-CO"/>
        </w:rPr>
        <w:t>in situ </w:t>
      </w:r>
      <w:r w:rsidRPr="00601457">
        <w:rPr>
          <w:rFonts w:ascii="Tahoma" w:hAnsi="Tahoma" w:cs="Tahoma"/>
          <w:i/>
          <w:color w:val="000000" w:themeColor="text1"/>
          <w:szCs w:val="24"/>
          <w:lang w:eastAsia="es-CO"/>
        </w:rPr>
        <w:t>las demás diligencias que considere conducentes para el esclarecimiento de los hechos. </w:t>
      </w:r>
      <w:r w:rsidRPr="00601457">
        <w:rPr>
          <w:rFonts w:ascii="Tahoma" w:hAnsi="Tahoma" w:cs="Tahoma"/>
          <w:b/>
          <w:bCs/>
          <w:i/>
          <w:color w:val="000000" w:themeColor="text1"/>
          <w:szCs w:val="24"/>
          <w:u w:val="single"/>
          <w:lang w:eastAsia="es-CO"/>
        </w:rPr>
        <w:t>Por estas razones, será competente la autoridad con jurisdicción en el lugar donde la persona se encuentre privada de la libertad.</w:t>
      </w:r>
    </w:p>
    <w:p w:rsidR="00990207" w:rsidRPr="00601457" w:rsidRDefault="00990207" w:rsidP="00601457">
      <w:pPr>
        <w:pStyle w:val="Sinespaciado"/>
        <w:ind w:left="426" w:right="420"/>
        <w:jc w:val="both"/>
        <w:rPr>
          <w:rFonts w:ascii="Tahoma" w:hAnsi="Tahoma" w:cs="Tahoma"/>
          <w:i/>
          <w:color w:val="000000" w:themeColor="text1"/>
          <w:szCs w:val="24"/>
          <w:lang w:eastAsia="es-CO"/>
        </w:rPr>
      </w:pPr>
      <w:r w:rsidRPr="00601457">
        <w:rPr>
          <w:rFonts w:ascii="Tahoma" w:hAnsi="Tahoma" w:cs="Tahoma"/>
          <w:i/>
          <w:color w:val="000000" w:themeColor="text1"/>
          <w:szCs w:val="24"/>
          <w:lang w:eastAsia="es-CO"/>
        </w:rPr>
        <w:t> </w:t>
      </w:r>
    </w:p>
    <w:p w:rsidR="001A3273" w:rsidRPr="00601457" w:rsidRDefault="00990207" w:rsidP="00601457">
      <w:pPr>
        <w:pStyle w:val="Sinespaciado"/>
        <w:ind w:left="426" w:right="420"/>
        <w:jc w:val="both"/>
        <w:rPr>
          <w:rFonts w:ascii="Tahoma" w:hAnsi="Tahoma" w:cs="Tahoma"/>
          <w:i/>
          <w:color w:val="000000" w:themeColor="text1"/>
          <w:szCs w:val="24"/>
          <w:lang w:eastAsia="es-CO"/>
        </w:rPr>
      </w:pPr>
      <w:r w:rsidRPr="00601457">
        <w:rPr>
          <w:rFonts w:ascii="Tahoma" w:hAnsi="Tahoma" w:cs="Tahoma"/>
          <w:b/>
          <w:bCs/>
          <w:i/>
          <w:color w:val="000000" w:themeColor="text1"/>
          <w:szCs w:val="24"/>
          <w:lang w:eastAsia="es-CO"/>
        </w:rPr>
        <w:t>Esta potestad del juez o magistrado que conozca de la acción de hábeas corpus conlleva la correlativa y perentoria obligación de la autoridad cuya actuación se cuestiona, de permitir de inmediato la visita de la persona retenida</w:t>
      </w:r>
      <w:r w:rsidRPr="00601457">
        <w:rPr>
          <w:rFonts w:ascii="Tahoma" w:hAnsi="Tahoma" w:cs="Tahoma"/>
          <w:i/>
          <w:color w:val="000000" w:themeColor="text1"/>
          <w:szCs w:val="24"/>
          <w:lang w:eastAsia="es-CO"/>
        </w:rPr>
        <w:t>, así como el acceso a la documentación de que se disponga y el suministro de toda la información que se requiera para la adopción de la decisión que corresponda en relación con el amparo impetrado.</w:t>
      </w:r>
    </w:p>
    <w:p w:rsidR="001A3273" w:rsidRPr="00601457" w:rsidRDefault="001A3273" w:rsidP="00601457">
      <w:pPr>
        <w:pStyle w:val="Sinespaciado"/>
        <w:ind w:left="426" w:right="420"/>
        <w:jc w:val="both"/>
        <w:rPr>
          <w:rFonts w:ascii="Tahoma" w:hAnsi="Tahoma" w:cs="Tahoma"/>
          <w:i/>
          <w:color w:val="000000" w:themeColor="text1"/>
          <w:szCs w:val="24"/>
          <w:lang w:eastAsia="es-CO"/>
        </w:rPr>
      </w:pPr>
    </w:p>
    <w:p w:rsidR="001A3273" w:rsidRPr="00601457" w:rsidRDefault="001A3273" w:rsidP="00601457">
      <w:pPr>
        <w:pStyle w:val="Sinespaciado"/>
        <w:ind w:left="426" w:right="420"/>
        <w:jc w:val="both"/>
        <w:rPr>
          <w:rFonts w:ascii="Tahoma" w:hAnsi="Tahoma" w:cs="Tahoma"/>
          <w:i/>
          <w:color w:val="000000" w:themeColor="text1"/>
          <w:szCs w:val="24"/>
          <w:lang w:eastAsia="es-CO"/>
        </w:rPr>
      </w:pPr>
      <w:proofErr w:type="gramStart"/>
      <w:r w:rsidRPr="00601457">
        <w:rPr>
          <w:rFonts w:ascii="Tahoma" w:hAnsi="Tahoma" w:cs="Tahoma"/>
          <w:i/>
          <w:color w:val="000000" w:themeColor="text1"/>
          <w:szCs w:val="24"/>
          <w:lang w:eastAsia="es-CO"/>
        </w:rPr>
        <w:t>(::</w:t>
      </w:r>
      <w:proofErr w:type="gramEnd"/>
      <w:r w:rsidRPr="00601457">
        <w:rPr>
          <w:rFonts w:ascii="Tahoma" w:hAnsi="Tahoma" w:cs="Tahoma"/>
          <w:i/>
          <w:color w:val="000000" w:themeColor="text1"/>
          <w:szCs w:val="24"/>
          <w:lang w:eastAsia="es-CO"/>
        </w:rPr>
        <w:t>:)</w:t>
      </w:r>
      <w:r w:rsidR="00990207" w:rsidRPr="00601457">
        <w:rPr>
          <w:rFonts w:ascii="Tahoma" w:hAnsi="Tahoma" w:cs="Tahoma"/>
          <w:i/>
          <w:color w:val="000000" w:themeColor="text1"/>
          <w:szCs w:val="24"/>
          <w:lang w:eastAsia="es-CO"/>
        </w:rPr>
        <w:t>”</w:t>
      </w:r>
      <w:r w:rsidRPr="00601457">
        <w:rPr>
          <w:rFonts w:ascii="Tahoma" w:hAnsi="Tahoma" w:cs="Tahoma"/>
          <w:i/>
          <w:color w:val="000000" w:themeColor="text1"/>
          <w:szCs w:val="24"/>
          <w:lang w:eastAsia="es-CO"/>
        </w:rPr>
        <w:t xml:space="preserve"> (Negrilla y subrayado fuera de texto)</w:t>
      </w:r>
    </w:p>
    <w:p w:rsidR="005E79D0" w:rsidRPr="00F96438" w:rsidRDefault="005E79D0" w:rsidP="00F96438">
      <w:pPr>
        <w:pStyle w:val="Sinespaciado"/>
        <w:spacing w:line="276" w:lineRule="auto"/>
        <w:jc w:val="both"/>
        <w:rPr>
          <w:rFonts w:ascii="Tahoma" w:hAnsi="Tahoma" w:cs="Tahoma"/>
          <w:i/>
          <w:color w:val="000000" w:themeColor="text1"/>
          <w:sz w:val="24"/>
          <w:szCs w:val="24"/>
          <w:lang w:eastAsia="es-CO"/>
        </w:rPr>
      </w:pPr>
    </w:p>
    <w:p w:rsidR="00990207" w:rsidRPr="00F96438" w:rsidRDefault="00B55800" w:rsidP="00F96438">
      <w:pPr>
        <w:pStyle w:val="Sinespaciado"/>
        <w:spacing w:line="276" w:lineRule="auto"/>
        <w:jc w:val="both"/>
        <w:rPr>
          <w:rFonts w:ascii="Tahoma" w:hAnsi="Tahoma" w:cs="Tahoma"/>
          <w:color w:val="000000" w:themeColor="text1"/>
          <w:sz w:val="24"/>
          <w:szCs w:val="24"/>
          <w:lang w:eastAsia="es-CO"/>
        </w:rPr>
      </w:pPr>
      <w:bookmarkStart w:id="1" w:name="_Hlk121390407"/>
      <w:r w:rsidRPr="00F96438">
        <w:rPr>
          <w:rFonts w:ascii="Tahoma" w:hAnsi="Tahoma" w:cs="Tahoma"/>
          <w:color w:val="000000" w:themeColor="text1"/>
          <w:sz w:val="24"/>
          <w:szCs w:val="24"/>
          <w:lang w:eastAsia="es-CO"/>
        </w:rPr>
        <w:t xml:space="preserve">Acorde todo lo antes expuesto, </w:t>
      </w:r>
      <w:r w:rsidR="001A3273" w:rsidRPr="00F96438">
        <w:rPr>
          <w:rFonts w:ascii="Tahoma" w:hAnsi="Tahoma" w:cs="Tahoma"/>
          <w:color w:val="000000" w:themeColor="text1"/>
          <w:sz w:val="24"/>
          <w:szCs w:val="24"/>
          <w:lang w:eastAsia="es-CO"/>
        </w:rPr>
        <w:t xml:space="preserve">resulta claro que la </w:t>
      </w:r>
      <w:r w:rsidR="00990207" w:rsidRPr="00F96438">
        <w:rPr>
          <w:rFonts w:ascii="Tahoma" w:hAnsi="Tahoma" w:cs="Tahoma"/>
          <w:color w:val="000000" w:themeColor="text1"/>
          <w:sz w:val="24"/>
          <w:szCs w:val="24"/>
          <w:lang w:eastAsia="es-CO"/>
        </w:rPr>
        <w:t xml:space="preserve">autoridad judicial competente </w:t>
      </w:r>
      <w:r w:rsidR="00395465" w:rsidRPr="00F96438">
        <w:rPr>
          <w:rFonts w:ascii="Tahoma" w:hAnsi="Tahoma" w:cs="Tahoma"/>
          <w:color w:val="000000" w:themeColor="text1"/>
          <w:sz w:val="24"/>
          <w:szCs w:val="24"/>
          <w:lang w:eastAsia="es-CO"/>
        </w:rPr>
        <w:t xml:space="preserve">para </w:t>
      </w:r>
      <w:r w:rsidR="001A3273" w:rsidRPr="00F96438">
        <w:rPr>
          <w:rFonts w:ascii="Tahoma" w:hAnsi="Tahoma" w:cs="Tahoma"/>
          <w:color w:val="000000" w:themeColor="text1"/>
          <w:sz w:val="24"/>
          <w:szCs w:val="24"/>
          <w:lang w:eastAsia="es-CO"/>
        </w:rPr>
        <w:t>asumir el conocimiento de</w:t>
      </w:r>
      <w:r w:rsidRPr="00F96438">
        <w:rPr>
          <w:rFonts w:ascii="Tahoma" w:hAnsi="Tahoma" w:cs="Tahoma"/>
          <w:color w:val="000000" w:themeColor="text1"/>
          <w:sz w:val="24"/>
          <w:szCs w:val="24"/>
          <w:lang w:eastAsia="es-CO"/>
        </w:rPr>
        <w:t xml:space="preserve"> </w:t>
      </w:r>
      <w:r w:rsidR="00CF6D4B" w:rsidRPr="00F96438">
        <w:rPr>
          <w:rFonts w:ascii="Tahoma" w:hAnsi="Tahoma" w:cs="Tahoma"/>
          <w:color w:val="000000" w:themeColor="text1"/>
          <w:sz w:val="24"/>
          <w:szCs w:val="24"/>
          <w:lang w:eastAsia="es-CO"/>
        </w:rPr>
        <w:t>l</w:t>
      </w:r>
      <w:r w:rsidRPr="00F96438">
        <w:rPr>
          <w:rFonts w:ascii="Tahoma" w:hAnsi="Tahoma" w:cs="Tahoma"/>
          <w:color w:val="000000" w:themeColor="text1"/>
          <w:sz w:val="24"/>
          <w:szCs w:val="24"/>
          <w:lang w:eastAsia="es-CO"/>
        </w:rPr>
        <w:t>a</w:t>
      </w:r>
      <w:r w:rsidR="00CF6D4B" w:rsidRPr="00F96438">
        <w:rPr>
          <w:rFonts w:ascii="Tahoma" w:hAnsi="Tahoma" w:cs="Tahoma"/>
          <w:color w:val="000000" w:themeColor="text1"/>
          <w:sz w:val="24"/>
          <w:szCs w:val="24"/>
          <w:lang w:eastAsia="es-CO"/>
        </w:rPr>
        <w:t xml:space="preserve"> presente Hábeas Corpus</w:t>
      </w:r>
      <w:r w:rsidR="00990207" w:rsidRPr="00F96438">
        <w:rPr>
          <w:rFonts w:ascii="Tahoma" w:hAnsi="Tahoma" w:cs="Tahoma"/>
          <w:color w:val="000000" w:themeColor="text1"/>
          <w:sz w:val="24"/>
          <w:szCs w:val="24"/>
          <w:lang w:eastAsia="es-CO"/>
        </w:rPr>
        <w:t xml:space="preserve">, por el factor territorial, no </w:t>
      </w:r>
      <w:r w:rsidR="00CF6D4B" w:rsidRPr="00F96438">
        <w:rPr>
          <w:rFonts w:ascii="Tahoma" w:hAnsi="Tahoma" w:cs="Tahoma"/>
          <w:color w:val="000000" w:themeColor="text1"/>
          <w:sz w:val="24"/>
          <w:szCs w:val="24"/>
          <w:lang w:eastAsia="es-CO"/>
        </w:rPr>
        <w:t xml:space="preserve">es otra diferente a aquella </w:t>
      </w:r>
      <w:r w:rsidR="00990207" w:rsidRPr="00F96438">
        <w:rPr>
          <w:rFonts w:ascii="Tahoma" w:hAnsi="Tahoma" w:cs="Tahoma"/>
          <w:color w:val="000000" w:themeColor="text1"/>
          <w:sz w:val="24"/>
          <w:szCs w:val="24"/>
          <w:lang w:eastAsia="es-CO"/>
        </w:rPr>
        <w:t xml:space="preserve">que </w:t>
      </w:r>
      <w:r w:rsidR="00CF6D4B" w:rsidRPr="00F96438">
        <w:rPr>
          <w:rFonts w:ascii="Tahoma" w:hAnsi="Tahoma" w:cs="Tahoma"/>
          <w:color w:val="000000" w:themeColor="text1"/>
          <w:sz w:val="24"/>
          <w:szCs w:val="24"/>
          <w:lang w:eastAsia="es-CO"/>
        </w:rPr>
        <w:t xml:space="preserve">tenga jurisdicción </w:t>
      </w:r>
      <w:r w:rsidR="00990207" w:rsidRPr="00F96438">
        <w:rPr>
          <w:rFonts w:ascii="Tahoma" w:hAnsi="Tahoma" w:cs="Tahoma"/>
          <w:color w:val="000000" w:themeColor="text1"/>
          <w:sz w:val="24"/>
          <w:szCs w:val="24"/>
          <w:lang w:eastAsia="es-CO"/>
        </w:rPr>
        <w:t xml:space="preserve">en el </w:t>
      </w:r>
      <w:r w:rsidRPr="00F96438">
        <w:rPr>
          <w:rFonts w:ascii="Tahoma" w:hAnsi="Tahoma" w:cs="Tahoma"/>
          <w:color w:val="000000" w:themeColor="text1"/>
          <w:sz w:val="24"/>
          <w:szCs w:val="24"/>
          <w:lang w:eastAsia="es-CO"/>
        </w:rPr>
        <w:t>sitio</w:t>
      </w:r>
      <w:r w:rsidR="00CF6D4B" w:rsidRPr="00F96438">
        <w:rPr>
          <w:rFonts w:ascii="Tahoma" w:hAnsi="Tahoma" w:cs="Tahoma"/>
          <w:color w:val="000000" w:themeColor="text1"/>
          <w:sz w:val="24"/>
          <w:szCs w:val="24"/>
          <w:lang w:eastAsia="es-CO"/>
        </w:rPr>
        <w:t xml:space="preserve"> donde se encuentra privado de la libertad el señor</w:t>
      </w:r>
      <w:r w:rsidR="00CF6D4B" w:rsidRPr="00F96438">
        <w:rPr>
          <w:rFonts w:ascii="Tahoma" w:hAnsi="Tahoma" w:cs="Tahoma"/>
          <w:sz w:val="24"/>
          <w:szCs w:val="24"/>
        </w:rPr>
        <w:t xml:space="preserve"> </w:t>
      </w:r>
      <w:r w:rsidR="004B648E">
        <w:rPr>
          <w:rFonts w:ascii="Tahoma" w:hAnsi="Tahoma" w:cs="Tahoma"/>
          <w:color w:val="000000" w:themeColor="text1"/>
          <w:sz w:val="24"/>
          <w:szCs w:val="24"/>
          <w:lang w:eastAsia="es-CO"/>
        </w:rPr>
        <w:t>JHMG</w:t>
      </w:r>
      <w:r w:rsidR="00CF6D4B" w:rsidRPr="00F96438">
        <w:rPr>
          <w:rFonts w:ascii="Tahoma" w:hAnsi="Tahoma" w:cs="Tahoma"/>
          <w:color w:val="000000" w:themeColor="text1"/>
          <w:sz w:val="24"/>
          <w:szCs w:val="24"/>
          <w:lang w:eastAsia="es-CO"/>
        </w:rPr>
        <w:t xml:space="preserve">, es decir, en </w:t>
      </w:r>
      <w:r w:rsidR="00395465" w:rsidRPr="00F96438">
        <w:rPr>
          <w:rFonts w:ascii="Tahoma" w:hAnsi="Tahoma" w:cs="Tahoma"/>
          <w:color w:val="000000" w:themeColor="text1"/>
          <w:sz w:val="24"/>
          <w:szCs w:val="24"/>
          <w:lang w:eastAsia="es-CO"/>
        </w:rPr>
        <w:t xml:space="preserve">el municipio de </w:t>
      </w:r>
      <w:r w:rsidR="00CF6D4B" w:rsidRPr="00F96438">
        <w:rPr>
          <w:rFonts w:ascii="Tahoma" w:hAnsi="Tahoma" w:cs="Tahoma"/>
          <w:color w:val="000000" w:themeColor="text1"/>
          <w:sz w:val="24"/>
          <w:szCs w:val="24"/>
          <w:lang w:eastAsia="es-CO"/>
        </w:rPr>
        <w:t>Girón</w:t>
      </w:r>
      <w:r w:rsidRPr="00F96438">
        <w:rPr>
          <w:rFonts w:ascii="Tahoma" w:hAnsi="Tahoma" w:cs="Tahoma"/>
          <w:color w:val="000000" w:themeColor="text1"/>
          <w:sz w:val="24"/>
          <w:szCs w:val="24"/>
          <w:lang w:eastAsia="es-CO"/>
        </w:rPr>
        <w:t xml:space="preserve"> (</w:t>
      </w:r>
      <w:r w:rsidR="00CF6D4B" w:rsidRPr="00F96438">
        <w:rPr>
          <w:rFonts w:ascii="Tahoma" w:hAnsi="Tahoma" w:cs="Tahoma"/>
          <w:color w:val="000000" w:themeColor="text1"/>
          <w:sz w:val="24"/>
          <w:szCs w:val="24"/>
          <w:lang w:eastAsia="es-CO"/>
        </w:rPr>
        <w:t>Santander</w:t>
      </w:r>
      <w:r w:rsidRPr="00F96438">
        <w:rPr>
          <w:rFonts w:ascii="Tahoma" w:hAnsi="Tahoma" w:cs="Tahoma"/>
          <w:color w:val="000000" w:themeColor="text1"/>
          <w:sz w:val="24"/>
          <w:szCs w:val="24"/>
          <w:lang w:eastAsia="es-CO"/>
        </w:rPr>
        <w:t>)</w:t>
      </w:r>
      <w:r w:rsidR="00CF6D4B" w:rsidRPr="00F96438">
        <w:rPr>
          <w:rFonts w:ascii="Tahoma" w:hAnsi="Tahoma" w:cs="Tahoma"/>
          <w:color w:val="000000" w:themeColor="text1"/>
          <w:sz w:val="24"/>
          <w:szCs w:val="24"/>
          <w:lang w:eastAsia="es-CO"/>
        </w:rPr>
        <w:t xml:space="preserve">. </w:t>
      </w:r>
    </w:p>
    <w:bookmarkEnd w:id="1"/>
    <w:p w:rsidR="00990207" w:rsidRPr="00F96438" w:rsidRDefault="00990207" w:rsidP="00F96438">
      <w:pPr>
        <w:pStyle w:val="Sinespaciado"/>
        <w:spacing w:line="276" w:lineRule="auto"/>
        <w:jc w:val="both"/>
        <w:rPr>
          <w:rFonts w:ascii="Tahoma" w:hAnsi="Tahoma" w:cs="Tahoma"/>
          <w:color w:val="000000" w:themeColor="text1"/>
          <w:sz w:val="24"/>
          <w:szCs w:val="24"/>
          <w:lang w:eastAsia="es-CO"/>
        </w:rPr>
      </w:pPr>
      <w:r w:rsidRPr="00F96438">
        <w:rPr>
          <w:rFonts w:ascii="Tahoma" w:hAnsi="Tahoma" w:cs="Tahoma"/>
          <w:color w:val="000000" w:themeColor="text1"/>
          <w:sz w:val="24"/>
          <w:szCs w:val="24"/>
          <w:lang w:eastAsia="es-CO"/>
        </w:rPr>
        <w:t> </w:t>
      </w:r>
      <w:r w:rsidRPr="00F96438">
        <w:rPr>
          <w:rFonts w:ascii="Tahoma" w:hAnsi="Tahoma" w:cs="Tahoma"/>
          <w:color w:val="000000" w:themeColor="text1"/>
          <w:sz w:val="24"/>
          <w:szCs w:val="24"/>
          <w:lang w:eastAsia="es-CO"/>
        </w:rPr>
        <w:br/>
      </w:r>
      <w:r w:rsidR="00CF6D4B" w:rsidRPr="00F96438">
        <w:rPr>
          <w:rFonts w:ascii="Tahoma" w:hAnsi="Tahoma" w:cs="Tahoma"/>
          <w:color w:val="000000" w:themeColor="text1"/>
          <w:sz w:val="24"/>
          <w:szCs w:val="24"/>
          <w:lang w:eastAsia="es-CO"/>
        </w:rPr>
        <w:t xml:space="preserve">En consecuencia de lo anterior, esta Sala Unitaria se abstendrá de asumir el conocimiento de la acción constitucional </w:t>
      </w:r>
      <w:r w:rsidR="00B55800" w:rsidRPr="00F96438">
        <w:rPr>
          <w:rFonts w:ascii="Tahoma" w:hAnsi="Tahoma" w:cs="Tahoma"/>
          <w:color w:val="000000" w:themeColor="text1"/>
          <w:sz w:val="24"/>
          <w:szCs w:val="24"/>
          <w:lang w:eastAsia="es-CO"/>
        </w:rPr>
        <w:t xml:space="preserve">de marras </w:t>
      </w:r>
      <w:r w:rsidRPr="00F96438">
        <w:rPr>
          <w:rFonts w:ascii="Tahoma" w:hAnsi="Tahoma" w:cs="Tahoma"/>
          <w:color w:val="000000" w:themeColor="text1"/>
          <w:sz w:val="24"/>
          <w:szCs w:val="24"/>
          <w:lang w:eastAsia="es-CO"/>
        </w:rPr>
        <w:t xml:space="preserve">y se ordenará su inmediata remisión </w:t>
      </w:r>
      <w:r w:rsidR="00CF6D4B" w:rsidRPr="00F96438">
        <w:rPr>
          <w:rFonts w:ascii="Tahoma" w:hAnsi="Tahoma" w:cs="Tahoma"/>
          <w:color w:val="000000" w:themeColor="text1"/>
          <w:sz w:val="24"/>
          <w:szCs w:val="24"/>
          <w:lang w:eastAsia="es-CO"/>
        </w:rPr>
        <w:t xml:space="preserve">inmediata </w:t>
      </w:r>
      <w:r w:rsidRPr="00F96438">
        <w:rPr>
          <w:rFonts w:ascii="Tahoma" w:hAnsi="Tahoma" w:cs="Tahoma"/>
          <w:color w:val="000000" w:themeColor="text1"/>
          <w:sz w:val="24"/>
          <w:szCs w:val="24"/>
          <w:lang w:eastAsia="es-CO"/>
        </w:rPr>
        <w:t>al Juzgado Promiscuo Municipal -Reparto- de Girón</w:t>
      </w:r>
      <w:r w:rsidR="00CF6D4B" w:rsidRPr="00F96438">
        <w:rPr>
          <w:rFonts w:ascii="Tahoma" w:hAnsi="Tahoma" w:cs="Tahoma"/>
          <w:color w:val="000000" w:themeColor="text1"/>
          <w:sz w:val="24"/>
          <w:szCs w:val="24"/>
          <w:lang w:eastAsia="es-CO"/>
        </w:rPr>
        <w:t xml:space="preserve"> </w:t>
      </w:r>
      <w:r w:rsidR="00B55800" w:rsidRPr="00F96438">
        <w:rPr>
          <w:rFonts w:ascii="Tahoma" w:hAnsi="Tahoma" w:cs="Tahoma"/>
          <w:color w:val="000000" w:themeColor="text1"/>
          <w:sz w:val="24"/>
          <w:szCs w:val="24"/>
          <w:lang w:eastAsia="es-CO"/>
        </w:rPr>
        <w:t>(</w:t>
      </w:r>
      <w:r w:rsidR="00CF6D4B" w:rsidRPr="00F96438">
        <w:rPr>
          <w:rFonts w:ascii="Tahoma" w:hAnsi="Tahoma" w:cs="Tahoma"/>
          <w:color w:val="000000" w:themeColor="text1"/>
          <w:sz w:val="24"/>
          <w:szCs w:val="24"/>
          <w:lang w:eastAsia="es-CO"/>
        </w:rPr>
        <w:t>Santander</w:t>
      </w:r>
      <w:r w:rsidR="00B55800" w:rsidRPr="00F96438">
        <w:rPr>
          <w:rFonts w:ascii="Tahoma" w:hAnsi="Tahoma" w:cs="Tahoma"/>
          <w:color w:val="000000" w:themeColor="text1"/>
          <w:sz w:val="24"/>
          <w:szCs w:val="24"/>
          <w:lang w:eastAsia="es-CO"/>
        </w:rPr>
        <w:t>)</w:t>
      </w:r>
      <w:r w:rsidR="00CF6D4B" w:rsidRPr="00F96438">
        <w:rPr>
          <w:rFonts w:ascii="Tahoma" w:hAnsi="Tahoma" w:cs="Tahoma"/>
          <w:color w:val="000000" w:themeColor="text1"/>
          <w:sz w:val="24"/>
          <w:szCs w:val="24"/>
          <w:lang w:eastAsia="es-CO"/>
        </w:rPr>
        <w:t>,</w:t>
      </w:r>
      <w:r w:rsidRPr="00F96438">
        <w:rPr>
          <w:rFonts w:ascii="Tahoma" w:hAnsi="Tahoma" w:cs="Tahoma"/>
          <w:color w:val="000000" w:themeColor="text1"/>
          <w:sz w:val="24"/>
          <w:szCs w:val="24"/>
          <w:lang w:eastAsia="es-CO"/>
        </w:rPr>
        <w:t xml:space="preserve"> para que sea asignada a quien corresponda.</w:t>
      </w:r>
    </w:p>
    <w:p w:rsidR="00B55800" w:rsidRPr="00F96438" w:rsidRDefault="00B55800" w:rsidP="00F96438">
      <w:pPr>
        <w:pStyle w:val="Sinespaciado"/>
        <w:spacing w:line="276" w:lineRule="auto"/>
        <w:jc w:val="both"/>
        <w:rPr>
          <w:rFonts w:ascii="Tahoma" w:hAnsi="Tahoma" w:cs="Tahoma"/>
          <w:color w:val="000000" w:themeColor="text1"/>
          <w:sz w:val="24"/>
          <w:szCs w:val="24"/>
          <w:lang w:eastAsia="es-CO"/>
        </w:rPr>
      </w:pPr>
    </w:p>
    <w:p w:rsidR="00B55800" w:rsidRPr="00F96438" w:rsidRDefault="00B55800" w:rsidP="00F96438">
      <w:pPr>
        <w:pStyle w:val="Sinespaciado"/>
        <w:spacing w:line="276" w:lineRule="auto"/>
        <w:jc w:val="both"/>
        <w:rPr>
          <w:rFonts w:ascii="Tahoma" w:hAnsi="Tahoma" w:cs="Tahoma"/>
          <w:color w:val="000000" w:themeColor="text1"/>
          <w:sz w:val="24"/>
          <w:szCs w:val="24"/>
          <w:lang w:eastAsia="es-CO"/>
        </w:rPr>
      </w:pPr>
      <w:r w:rsidRPr="00F96438">
        <w:rPr>
          <w:rFonts w:ascii="Tahoma" w:hAnsi="Tahoma" w:cs="Tahoma"/>
          <w:color w:val="000000" w:themeColor="text1"/>
          <w:sz w:val="24"/>
          <w:szCs w:val="24"/>
          <w:lang w:eastAsia="es-CO"/>
        </w:rPr>
        <w:t xml:space="preserve">En el evento que el Juzgado al cual se le asigne el conocimiento de la presente acción constitucional discrepe de los argumentos expresados por este Despacho para declarar su incompetencia, desde ya se anuncia que se propone el correspondiente conflicto negativo de competencias.  </w:t>
      </w:r>
    </w:p>
    <w:p w:rsidR="00990207" w:rsidRPr="00F96438" w:rsidRDefault="00990207" w:rsidP="00F96438">
      <w:pPr>
        <w:pStyle w:val="Sinespaciado"/>
        <w:spacing w:line="276" w:lineRule="auto"/>
        <w:jc w:val="both"/>
        <w:rPr>
          <w:rFonts w:ascii="Tahoma" w:hAnsi="Tahoma" w:cs="Tahoma"/>
          <w:color w:val="000000" w:themeColor="text1"/>
          <w:sz w:val="24"/>
          <w:szCs w:val="24"/>
          <w:lang w:eastAsia="es-CO"/>
        </w:rPr>
      </w:pPr>
      <w:r w:rsidRPr="00F96438">
        <w:rPr>
          <w:rFonts w:ascii="Tahoma" w:hAnsi="Tahoma" w:cs="Tahoma"/>
          <w:color w:val="000000" w:themeColor="text1"/>
          <w:sz w:val="24"/>
          <w:szCs w:val="24"/>
          <w:lang w:eastAsia="es-CO"/>
        </w:rPr>
        <w:t> </w:t>
      </w:r>
    </w:p>
    <w:p w:rsidR="00CF6D4B" w:rsidRPr="00F96438" w:rsidRDefault="00CF6D4B" w:rsidP="00F96438">
      <w:pPr>
        <w:spacing w:after="0" w:line="276" w:lineRule="auto"/>
        <w:jc w:val="both"/>
        <w:rPr>
          <w:rFonts w:ascii="Tahoma" w:eastAsia="Times New Roman" w:hAnsi="Tahoma" w:cs="Tahoma"/>
          <w:sz w:val="24"/>
          <w:szCs w:val="24"/>
        </w:rPr>
      </w:pPr>
      <w:r w:rsidRPr="00F96438">
        <w:rPr>
          <w:rFonts w:ascii="Tahoma" w:eastAsia="Times New Roman" w:hAnsi="Tahoma" w:cs="Tahoma"/>
          <w:sz w:val="24"/>
          <w:szCs w:val="24"/>
        </w:rPr>
        <w:t>En virtud de lo brevemente expuesto, esta Sala Penal Unitaria de Decisión del Tribunal Superior del Distrito Judicial de Pereira,</w:t>
      </w:r>
    </w:p>
    <w:p w:rsidR="00CF6D4B" w:rsidRPr="00F96438" w:rsidRDefault="00CF6D4B" w:rsidP="00F96438">
      <w:pPr>
        <w:pStyle w:val="Sinespaciado"/>
        <w:spacing w:line="276" w:lineRule="auto"/>
        <w:jc w:val="both"/>
        <w:rPr>
          <w:rFonts w:ascii="Tahoma" w:hAnsi="Tahoma" w:cs="Tahoma"/>
          <w:color w:val="000000" w:themeColor="text1"/>
          <w:sz w:val="24"/>
          <w:szCs w:val="24"/>
          <w:lang w:eastAsia="es-CO"/>
        </w:rPr>
      </w:pPr>
    </w:p>
    <w:p w:rsidR="00CF6D4B" w:rsidRPr="00F96438" w:rsidRDefault="00CF6D4B" w:rsidP="00F96438">
      <w:pPr>
        <w:overflowPunct w:val="0"/>
        <w:autoSpaceDE w:val="0"/>
        <w:autoSpaceDN w:val="0"/>
        <w:adjustRightInd w:val="0"/>
        <w:spacing w:after="0" w:line="276" w:lineRule="auto"/>
        <w:jc w:val="center"/>
        <w:textAlignment w:val="baseline"/>
        <w:rPr>
          <w:rFonts w:ascii="Tahoma" w:eastAsia="Times New Roman" w:hAnsi="Tahoma" w:cs="Tahoma"/>
          <w:b/>
          <w:sz w:val="24"/>
          <w:szCs w:val="24"/>
          <w:lang w:val="es-ES_tradnl" w:eastAsia="es-ES"/>
        </w:rPr>
      </w:pPr>
      <w:r w:rsidRPr="00F96438">
        <w:rPr>
          <w:rFonts w:ascii="Tahoma" w:eastAsia="Times New Roman" w:hAnsi="Tahoma" w:cs="Tahoma"/>
          <w:b/>
          <w:sz w:val="24"/>
          <w:szCs w:val="24"/>
          <w:lang w:val="es-ES_tradnl" w:eastAsia="es-ES"/>
        </w:rPr>
        <w:t>RESUELVE</w:t>
      </w:r>
      <w:bookmarkStart w:id="2" w:name="_GoBack"/>
      <w:bookmarkEnd w:id="2"/>
      <w:r w:rsidRPr="00F96438">
        <w:rPr>
          <w:rFonts w:ascii="Tahoma" w:eastAsia="Times New Roman" w:hAnsi="Tahoma" w:cs="Tahoma"/>
          <w:b/>
          <w:sz w:val="24"/>
          <w:szCs w:val="24"/>
          <w:lang w:val="es-ES_tradnl" w:eastAsia="es-ES"/>
        </w:rPr>
        <w:t>:</w:t>
      </w:r>
    </w:p>
    <w:p w:rsidR="00CF6D4B" w:rsidRPr="00F96438" w:rsidRDefault="00CF6D4B" w:rsidP="00F96438">
      <w:pPr>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CF6D4B" w:rsidRPr="00F96438" w:rsidRDefault="00395465" w:rsidP="00F96438">
      <w:pPr>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r w:rsidRPr="00F96438">
        <w:rPr>
          <w:rFonts w:ascii="Tahoma" w:eastAsia="Times New Roman" w:hAnsi="Tahoma" w:cs="Tahoma"/>
          <w:b/>
          <w:sz w:val="24"/>
          <w:szCs w:val="24"/>
          <w:lang w:val="es-ES_tradnl" w:eastAsia="es-ES"/>
        </w:rPr>
        <w:t>PRIMERO:</w:t>
      </w:r>
      <w:r w:rsidRPr="00F96438">
        <w:rPr>
          <w:rFonts w:ascii="Tahoma" w:eastAsia="Times New Roman" w:hAnsi="Tahoma" w:cs="Tahoma"/>
          <w:sz w:val="24"/>
          <w:szCs w:val="24"/>
          <w:lang w:val="es-ES_tradnl" w:eastAsia="es-ES"/>
        </w:rPr>
        <w:t xml:space="preserve"> </w:t>
      </w:r>
      <w:r w:rsidRPr="00F96438">
        <w:rPr>
          <w:rFonts w:ascii="Tahoma" w:eastAsia="Times New Roman" w:hAnsi="Tahoma" w:cs="Tahoma"/>
          <w:b/>
          <w:sz w:val="24"/>
          <w:szCs w:val="24"/>
          <w:lang w:val="es-ES_tradnl" w:eastAsia="es-ES"/>
        </w:rPr>
        <w:t>ABSTENERSE</w:t>
      </w:r>
      <w:r w:rsidRPr="00F96438">
        <w:rPr>
          <w:rFonts w:ascii="Tahoma" w:eastAsia="Times New Roman" w:hAnsi="Tahoma" w:cs="Tahoma"/>
          <w:sz w:val="24"/>
          <w:szCs w:val="24"/>
          <w:lang w:val="es-ES_tradnl" w:eastAsia="es-ES"/>
        </w:rPr>
        <w:t xml:space="preserve"> de asumir el conocimiento de la acción de Hábeas Corpus interpuesta por MLMG en favor de </w:t>
      </w:r>
      <w:r w:rsidR="004B648E">
        <w:rPr>
          <w:rFonts w:ascii="Tahoma" w:eastAsia="Times New Roman" w:hAnsi="Tahoma" w:cs="Tahoma"/>
          <w:sz w:val="24"/>
          <w:szCs w:val="24"/>
          <w:lang w:val="es-ES_tradnl" w:eastAsia="es-ES"/>
        </w:rPr>
        <w:t>JHMG</w:t>
      </w:r>
      <w:r w:rsidRPr="00F96438">
        <w:rPr>
          <w:rFonts w:ascii="Tahoma" w:eastAsia="Times New Roman" w:hAnsi="Tahoma" w:cs="Tahoma"/>
          <w:sz w:val="24"/>
          <w:szCs w:val="24"/>
          <w:lang w:val="es-ES_tradnl" w:eastAsia="es-ES"/>
        </w:rPr>
        <w:t xml:space="preserve">. </w:t>
      </w:r>
    </w:p>
    <w:p w:rsidR="00395465" w:rsidRPr="00F96438" w:rsidRDefault="00395465" w:rsidP="00F96438">
      <w:pPr>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B55800" w:rsidRPr="00F96438" w:rsidRDefault="00395465" w:rsidP="00F96438">
      <w:pPr>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r w:rsidRPr="00F96438">
        <w:rPr>
          <w:rFonts w:ascii="Tahoma" w:eastAsia="Times New Roman" w:hAnsi="Tahoma" w:cs="Tahoma"/>
          <w:b/>
          <w:sz w:val="24"/>
          <w:szCs w:val="24"/>
          <w:lang w:val="es-ES_tradnl" w:eastAsia="es-ES"/>
        </w:rPr>
        <w:lastRenderedPageBreak/>
        <w:t xml:space="preserve">SEGUNDO: </w:t>
      </w:r>
      <w:r w:rsidR="00B55800" w:rsidRPr="00F96438">
        <w:rPr>
          <w:rFonts w:ascii="Tahoma" w:eastAsia="Times New Roman" w:hAnsi="Tahoma" w:cs="Tahoma"/>
          <w:b/>
          <w:sz w:val="24"/>
          <w:szCs w:val="24"/>
          <w:lang w:val="es-ES_tradnl" w:eastAsia="es-ES"/>
        </w:rPr>
        <w:t xml:space="preserve">PROPONER </w:t>
      </w:r>
      <w:r w:rsidR="00B55800" w:rsidRPr="00F96438">
        <w:rPr>
          <w:rFonts w:ascii="Tahoma" w:eastAsia="Times New Roman" w:hAnsi="Tahoma" w:cs="Tahoma"/>
          <w:sz w:val="24"/>
          <w:szCs w:val="24"/>
          <w:lang w:val="es-ES_tradnl" w:eastAsia="es-ES"/>
        </w:rPr>
        <w:t>conflicto negativo de competencias evento que el Juzgado al cual se le asigne el conocimiento de la presente acción constitucional discrepe de los argumentos expresados por este Despacho para declarar su incompetencia.</w:t>
      </w:r>
    </w:p>
    <w:p w:rsidR="00B55800" w:rsidRPr="00F96438" w:rsidRDefault="00B55800" w:rsidP="00F96438">
      <w:pPr>
        <w:overflowPunct w:val="0"/>
        <w:autoSpaceDE w:val="0"/>
        <w:autoSpaceDN w:val="0"/>
        <w:adjustRightInd w:val="0"/>
        <w:spacing w:after="0" w:line="276" w:lineRule="auto"/>
        <w:jc w:val="both"/>
        <w:textAlignment w:val="baseline"/>
        <w:rPr>
          <w:rFonts w:ascii="Tahoma" w:eastAsia="Times New Roman" w:hAnsi="Tahoma" w:cs="Tahoma"/>
          <w:b/>
          <w:sz w:val="24"/>
          <w:szCs w:val="24"/>
          <w:lang w:val="es-ES_tradnl" w:eastAsia="es-ES"/>
        </w:rPr>
      </w:pPr>
    </w:p>
    <w:p w:rsidR="00395465" w:rsidRPr="00F96438" w:rsidRDefault="00B55800" w:rsidP="00F96438">
      <w:pPr>
        <w:overflowPunct w:val="0"/>
        <w:autoSpaceDE w:val="0"/>
        <w:autoSpaceDN w:val="0"/>
        <w:adjustRightInd w:val="0"/>
        <w:spacing w:after="0" w:line="276" w:lineRule="auto"/>
        <w:jc w:val="both"/>
        <w:textAlignment w:val="baseline"/>
        <w:rPr>
          <w:rFonts w:ascii="Tahoma" w:eastAsia="Times New Roman" w:hAnsi="Tahoma" w:cs="Tahoma"/>
          <w:b/>
          <w:sz w:val="24"/>
          <w:szCs w:val="24"/>
          <w:lang w:val="es-ES_tradnl" w:eastAsia="es-ES"/>
        </w:rPr>
      </w:pPr>
      <w:r w:rsidRPr="00F96438">
        <w:rPr>
          <w:rFonts w:ascii="Tahoma" w:eastAsia="Times New Roman" w:hAnsi="Tahoma" w:cs="Tahoma"/>
          <w:b/>
          <w:sz w:val="24"/>
          <w:szCs w:val="24"/>
          <w:lang w:val="es-ES_tradnl" w:eastAsia="es-ES"/>
        </w:rPr>
        <w:t xml:space="preserve">TERCERO: </w:t>
      </w:r>
      <w:r w:rsidR="00395465" w:rsidRPr="00F96438">
        <w:rPr>
          <w:rFonts w:ascii="Tahoma" w:eastAsia="Times New Roman" w:hAnsi="Tahoma" w:cs="Tahoma"/>
          <w:b/>
          <w:sz w:val="24"/>
          <w:szCs w:val="24"/>
          <w:lang w:val="es-ES_tradnl" w:eastAsia="es-ES"/>
        </w:rPr>
        <w:t xml:space="preserve">REMITIR </w:t>
      </w:r>
      <w:r w:rsidR="00395465" w:rsidRPr="00F96438">
        <w:rPr>
          <w:rFonts w:ascii="Tahoma" w:eastAsia="Times New Roman" w:hAnsi="Tahoma" w:cs="Tahoma"/>
          <w:sz w:val="24"/>
          <w:szCs w:val="24"/>
          <w:lang w:val="es-ES_tradnl" w:eastAsia="es-ES"/>
        </w:rPr>
        <w:t>de manera inmediata las presentes diligencias con destino al Juzgado Promiscuo Municipal -Reparto- de Girón</w:t>
      </w:r>
      <w:r w:rsidRPr="00F96438">
        <w:rPr>
          <w:rFonts w:ascii="Tahoma" w:eastAsia="Times New Roman" w:hAnsi="Tahoma" w:cs="Tahoma"/>
          <w:sz w:val="24"/>
          <w:szCs w:val="24"/>
          <w:lang w:val="es-ES_tradnl" w:eastAsia="es-ES"/>
        </w:rPr>
        <w:t xml:space="preserve"> (</w:t>
      </w:r>
      <w:r w:rsidR="00395465" w:rsidRPr="00F96438">
        <w:rPr>
          <w:rFonts w:ascii="Tahoma" w:eastAsia="Times New Roman" w:hAnsi="Tahoma" w:cs="Tahoma"/>
          <w:sz w:val="24"/>
          <w:szCs w:val="24"/>
          <w:lang w:val="es-ES_tradnl" w:eastAsia="es-ES"/>
        </w:rPr>
        <w:t>Santander</w:t>
      </w:r>
      <w:r w:rsidRPr="00F96438">
        <w:rPr>
          <w:rFonts w:ascii="Tahoma" w:eastAsia="Times New Roman" w:hAnsi="Tahoma" w:cs="Tahoma"/>
          <w:sz w:val="24"/>
          <w:szCs w:val="24"/>
          <w:lang w:val="es-ES_tradnl" w:eastAsia="es-ES"/>
        </w:rPr>
        <w:t>)</w:t>
      </w:r>
      <w:r w:rsidR="00395465" w:rsidRPr="00F96438">
        <w:rPr>
          <w:rFonts w:ascii="Tahoma" w:eastAsia="Times New Roman" w:hAnsi="Tahoma" w:cs="Tahoma"/>
          <w:sz w:val="24"/>
          <w:szCs w:val="24"/>
          <w:lang w:val="es-ES_tradnl" w:eastAsia="es-ES"/>
        </w:rPr>
        <w:t xml:space="preserve"> para que sean asignadas a quien corresponda</w:t>
      </w:r>
    </w:p>
    <w:p w:rsidR="00395465" w:rsidRPr="00F96438" w:rsidRDefault="00395465" w:rsidP="00F96438">
      <w:pPr>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CF6D4B" w:rsidRPr="00F96438" w:rsidRDefault="00CF6D4B" w:rsidP="00F96438">
      <w:pPr>
        <w:overflowPunct w:val="0"/>
        <w:autoSpaceDE w:val="0"/>
        <w:autoSpaceDN w:val="0"/>
        <w:adjustRightInd w:val="0"/>
        <w:spacing w:after="0" w:line="276" w:lineRule="auto"/>
        <w:jc w:val="center"/>
        <w:textAlignment w:val="baseline"/>
        <w:rPr>
          <w:rFonts w:ascii="Tahoma" w:eastAsia="Times New Roman" w:hAnsi="Tahoma" w:cs="Tahoma"/>
          <w:b/>
          <w:sz w:val="24"/>
          <w:szCs w:val="24"/>
          <w:lang w:val="es-ES_tradnl" w:eastAsia="es-ES"/>
        </w:rPr>
      </w:pPr>
      <w:r w:rsidRPr="00F96438">
        <w:rPr>
          <w:rFonts w:ascii="Tahoma" w:eastAsia="Times New Roman" w:hAnsi="Tahoma" w:cs="Tahoma"/>
          <w:b/>
          <w:sz w:val="24"/>
          <w:szCs w:val="24"/>
          <w:lang w:val="es-ES_tradnl" w:eastAsia="es-ES"/>
        </w:rPr>
        <w:t>COMUNÍQUESE Y CÚMPLASE.</w:t>
      </w:r>
    </w:p>
    <w:p w:rsidR="00CF6D4B" w:rsidRPr="00F96438" w:rsidRDefault="00CF6D4B" w:rsidP="00F96438">
      <w:pPr>
        <w:overflowPunct w:val="0"/>
        <w:autoSpaceDE w:val="0"/>
        <w:autoSpaceDN w:val="0"/>
        <w:adjustRightInd w:val="0"/>
        <w:spacing w:after="0" w:line="276" w:lineRule="auto"/>
        <w:textAlignment w:val="baseline"/>
        <w:rPr>
          <w:rFonts w:ascii="Tahoma" w:eastAsia="Times New Roman" w:hAnsi="Tahoma" w:cs="Tahoma"/>
          <w:b/>
          <w:sz w:val="24"/>
          <w:szCs w:val="24"/>
          <w:lang w:val="es-ES_tradnl" w:eastAsia="es-ES"/>
        </w:rPr>
      </w:pPr>
    </w:p>
    <w:p w:rsidR="00D2174D" w:rsidRPr="00F96438" w:rsidRDefault="00D2174D" w:rsidP="00F96438">
      <w:pPr>
        <w:overflowPunct w:val="0"/>
        <w:autoSpaceDE w:val="0"/>
        <w:autoSpaceDN w:val="0"/>
        <w:adjustRightInd w:val="0"/>
        <w:spacing w:after="0" w:line="276" w:lineRule="auto"/>
        <w:textAlignment w:val="baseline"/>
        <w:rPr>
          <w:rFonts w:ascii="Tahoma" w:eastAsia="Times New Roman" w:hAnsi="Tahoma" w:cs="Tahoma"/>
          <w:b/>
          <w:sz w:val="24"/>
          <w:szCs w:val="24"/>
          <w:lang w:val="es-ES_tradnl" w:eastAsia="es-ES"/>
        </w:rPr>
      </w:pPr>
    </w:p>
    <w:p w:rsidR="008D426C" w:rsidRPr="00F96438" w:rsidRDefault="008D426C" w:rsidP="00F96438">
      <w:pPr>
        <w:overflowPunct w:val="0"/>
        <w:autoSpaceDE w:val="0"/>
        <w:autoSpaceDN w:val="0"/>
        <w:adjustRightInd w:val="0"/>
        <w:spacing w:after="0" w:line="276" w:lineRule="auto"/>
        <w:textAlignment w:val="baseline"/>
        <w:rPr>
          <w:rFonts w:ascii="Tahoma" w:eastAsia="Times New Roman" w:hAnsi="Tahoma" w:cs="Tahoma"/>
          <w:b/>
          <w:sz w:val="24"/>
          <w:szCs w:val="24"/>
          <w:lang w:val="es-ES_tradnl" w:eastAsia="es-ES"/>
        </w:rPr>
      </w:pPr>
    </w:p>
    <w:p w:rsidR="00CF6D4B" w:rsidRPr="00F96438" w:rsidRDefault="00CF6D4B" w:rsidP="00F96438">
      <w:pPr>
        <w:overflowPunct w:val="0"/>
        <w:autoSpaceDE w:val="0"/>
        <w:autoSpaceDN w:val="0"/>
        <w:adjustRightInd w:val="0"/>
        <w:spacing w:after="0" w:line="276" w:lineRule="auto"/>
        <w:jc w:val="center"/>
        <w:textAlignment w:val="baseline"/>
        <w:rPr>
          <w:rFonts w:ascii="Tahoma" w:eastAsia="Times New Roman" w:hAnsi="Tahoma" w:cs="Tahoma"/>
          <w:b/>
          <w:sz w:val="24"/>
          <w:szCs w:val="24"/>
          <w:lang w:val="es-ES_tradnl" w:eastAsia="es-ES"/>
        </w:rPr>
      </w:pPr>
    </w:p>
    <w:p w:rsidR="00CF6D4B" w:rsidRPr="00F96438" w:rsidRDefault="00CF6D4B" w:rsidP="00F96438">
      <w:pPr>
        <w:overflowPunct w:val="0"/>
        <w:autoSpaceDE w:val="0"/>
        <w:autoSpaceDN w:val="0"/>
        <w:adjustRightInd w:val="0"/>
        <w:spacing w:after="0" w:line="276" w:lineRule="auto"/>
        <w:jc w:val="center"/>
        <w:textAlignment w:val="baseline"/>
        <w:rPr>
          <w:rFonts w:ascii="Tahoma" w:eastAsia="Times New Roman" w:hAnsi="Tahoma" w:cs="Tahoma"/>
          <w:b/>
          <w:sz w:val="24"/>
          <w:szCs w:val="24"/>
          <w:lang w:val="es-ES_tradnl" w:eastAsia="es-ES"/>
        </w:rPr>
      </w:pPr>
      <w:r w:rsidRPr="00F96438">
        <w:rPr>
          <w:rFonts w:ascii="Tahoma" w:eastAsia="Times New Roman" w:hAnsi="Tahoma" w:cs="Tahoma"/>
          <w:b/>
          <w:sz w:val="24"/>
          <w:szCs w:val="24"/>
          <w:lang w:val="es-ES_tradnl" w:eastAsia="es-ES"/>
        </w:rPr>
        <w:t>MANUEL YARZAGARAY BANDERA</w:t>
      </w:r>
    </w:p>
    <w:p w:rsidR="008C77F6" w:rsidRPr="00F96438" w:rsidRDefault="00CF6D4B" w:rsidP="00F96438">
      <w:pPr>
        <w:overflowPunct w:val="0"/>
        <w:autoSpaceDE w:val="0"/>
        <w:autoSpaceDN w:val="0"/>
        <w:adjustRightInd w:val="0"/>
        <w:spacing w:after="0" w:line="276" w:lineRule="auto"/>
        <w:jc w:val="center"/>
        <w:textAlignment w:val="baseline"/>
        <w:rPr>
          <w:rFonts w:ascii="Tahoma" w:eastAsia="Times New Roman" w:hAnsi="Tahoma" w:cs="Tahoma"/>
          <w:b/>
          <w:sz w:val="24"/>
          <w:szCs w:val="24"/>
          <w:lang w:val="es-ES_tradnl" w:eastAsia="es-ES"/>
        </w:rPr>
      </w:pPr>
      <w:r w:rsidRPr="00F96438">
        <w:rPr>
          <w:rFonts w:ascii="Tahoma" w:eastAsia="Times New Roman" w:hAnsi="Tahoma" w:cs="Tahoma"/>
          <w:sz w:val="24"/>
          <w:szCs w:val="24"/>
          <w:lang w:val="es-ES_tradnl" w:eastAsia="es-ES"/>
        </w:rPr>
        <w:t>Magistrado</w:t>
      </w:r>
    </w:p>
    <w:sectPr w:rsidR="008C77F6" w:rsidRPr="00F96438" w:rsidSect="00EE7BC3">
      <w:headerReference w:type="default" r:id="rId8"/>
      <w:footerReference w:type="default" r:id="rId9"/>
      <w:pgSz w:w="12242" w:h="18722" w:code="258"/>
      <w:pgMar w:top="1985" w:right="1361" w:bottom="1418" w:left="192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812" w:rsidRDefault="00026812" w:rsidP="002E5DE9">
      <w:pPr>
        <w:spacing w:after="0" w:line="240" w:lineRule="auto"/>
      </w:pPr>
      <w:r>
        <w:separator/>
      </w:r>
    </w:p>
  </w:endnote>
  <w:endnote w:type="continuationSeparator" w:id="0">
    <w:p w:rsidR="00026812" w:rsidRDefault="00026812" w:rsidP="002E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0"/>
      </w:rPr>
      <w:id w:val="1598059066"/>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rsidR="00395465" w:rsidRPr="004B648E" w:rsidRDefault="00395465" w:rsidP="004B648E">
            <w:pPr>
              <w:pStyle w:val="Encabezado"/>
              <w:ind w:left="3402"/>
              <w:jc w:val="right"/>
              <w:rPr>
                <w:rFonts w:ascii="Arial" w:hAnsi="Arial" w:cs="Arial"/>
                <w:sz w:val="18"/>
                <w:szCs w:val="20"/>
              </w:rPr>
            </w:pPr>
            <w:r w:rsidRPr="004B648E">
              <w:rPr>
                <w:rFonts w:ascii="Arial" w:hAnsi="Arial" w:cs="Arial"/>
                <w:sz w:val="18"/>
                <w:szCs w:val="20"/>
              </w:rPr>
              <w:t xml:space="preserve">Página </w:t>
            </w:r>
            <w:r w:rsidRPr="004B648E">
              <w:rPr>
                <w:rFonts w:ascii="Arial" w:hAnsi="Arial" w:cs="Arial"/>
                <w:sz w:val="18"/>
                <w:szCs w:val="20"/>
              </w:rPr>
              <w:fldChar w:fldCharType="begin"/>
            </w:r>
            <w:r w:rsidRPr="004B648E">
              <w:rPr>
                <w:rFonts w:ascii="Arial" w:hAnsi="Arial" w:cs="Arial"/>
                <w:sz w:val="18"/>
                <w:szCs w:val="20"/>
              </w:rPr>
              <w:instrText>PAGE</w:instrText>
            </w:r>
            <w:r w:rsidRPr="004B648E">
              <w:rPr>
                <w:rFonts w:ascii="Arial" w:hAnsi="Arial" w:cs="Arial"/>
                <w:sz w:val="18"/>
                <w:szCs w:val="20"/>
              </w:rPr>
              <w:fldChar w:fldCharType="separate"/>
            </w:r>
            <w:r w:rsidRPr="004B648E">
              <w:rPr>
                <w:rFonts w:ascii="Arial" w:hAnsi="Arial" w:cs="Arial"/>
                <w:sz w:val="18"/>
                <w:szCs w:val="20"/>
              </w:rPr>
              <w:t>2</w:t>
            </w:r>
            <w:r w:rsidRPr="004B648E">
              <w:rPr>
                <w:rFonts w:ascii="Arial" w:hAnsi="Arial" w:cs="Arial"/>
                <w:sz w:val="18"/>
                <w:szCs w:val="20"/>
              </w:rPr>
              <w:fldChar w:fldCharType="end"/>
            </w:r>
            <w:r w:rsidRPr="004B648E">
              <w:rPr>
                <w:rFonts w:ascii="Arial" w:hAnsi="Arial" w:cs="Arial"/>
                <w:sz w:val="18"/>
                <w:szCs w:val="20"/>
              </w:rPr>
              <w:t xml:space="preserve"> de </w:t>
            </w:r>
            <w:r w:rsidRPr="004B648E">
              <w:rPr>
                <w:rFonts w:ascii="Arial" w:hAnsi="Arial" w:cs="Arial"/>
                <w:sz w:val="18"/>
                <w:szCs w:val="20"/>
              </w:rPr>
              <w:fldChar w:fldCharType="begin"/>
            </w:r>
            <w:r w:rsidRPr="004B648E">
              <w:rPr>
                <w:rFonts w:ascii="Arial" w:hAnsi="Arial" w:cs="Arial"/>
                <w:sz w:val="18"/>
                <w:szCs w:val="20"/>
              </w:rPr>
              <w:instrText>NUMPAGES</w:instrText>
            </w:r>
            <w:r w:rsidRPr="004B648E">
              <w:rPr>
                <w:rFonts w:ascii="Arial" w:hAnsi="Arial" w:cs="Arial"/>
                <w:sz w:val="18"/>
                <w:szCs w:val="20"/>
              </w:rPr>
              <w:fldChar w:fldCharType="separate"/>
            </w:r>
            <w:r w:rsidRPr="004B648E">
              <w:rPr>
                <w:rFonts w:ascii="Arial" w:hAnsi="Arial" w:cs="Arial"/>
                <w:sz w:val="18"/>
                <w:szCs w:val="20"/>
              </w:rPr>
              <w:t>2</w:t>
            </w:r>
            <w:r w:rsidRPr="004B648E">
              <w:rPr>
                <w:rFonts w:ascii="Arial" w:hAnsi="Arial" w:cs="Arial"/>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812" w:rsidRDefault="00026812" w:rsidP="002E5DE9">
      <w:pPr>
        <w:spacing w:after="0" w:line="240" w:lineRule="auto"/>
      </w:pPr>
      <w:r>
        <w:separator/>
      </w:r>
    </w:p>
  </w:footnote>
  <w:footnote w:type="continuationSeparator" w:id="0">
    <w:p w:rsidR="00026812" w:rsidRDefault="00026812" w:rsidP="002E5DE9">
      <w:pPr>
        <w:spacing w:after="0" w:line="240" w:lineRule="auto"/>
      </w:pPr>
      <w:r>
        <w:continuationSeparator/>
      </w:r>
    </w:p>
  </w:footnote>
  <w:footnote w:id="1">
    <w:p w:rsidR="002E5DE9" w:rsidRPr="00C361D9" w:rsidRDefault="002E5DE9" w:rsidP="00C361D9">
      <w:pPr>
        <w:pStyle w:val="Textonotapie"/>
        <w:jc w:val="both"/>
        <w:rPr>
          <w:rFonts w:ascii="Arial" w:hAnsi="Arial" w:cs="Arial"/>
          <w:sz w:val="18"/>
          <w:szCs w:val="18"/>
        </w:rPr>
      </w:pPr>
      <w:r w:rsidRPr="00C361D9">
        <w:rPr>
          <w:rStyle w:val="Refdenotaalpie"/>
          <w:rFonts w:ascii="Arial" w:hAnsi="Arial" w:cs="Arial"/>
          <w:sz w:val="18"/>
          <w:szCs w:val="18"/>
        </w:rPr>
        <w:footnoteRef/>
      </w:r>
      <w:r w:rsidRPr="00C361D9">
        <w:rPr>
          <w:rFonts w:ascii="Arial" w:hAnsi="Arial" w:cs="Arial"/>
          <w:sz w:val="18"/>
          <w:szCs w:val="18"/>
        </w:rPr>
        <w:t xml:space="preserve"> CSJ AHP, 25 ene. 2013, rad. 40565. Así mismo, CSJ AHP, 27 oct. 2010, rad. 35239; CSJ AHP, 23 jun. 2011, rad. 36839.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65" w:rsidRPr="004B648E" w:rsidRDefault="00C361D9" w:rsidP="004B648E">
    <w:pPr>
      <w:pStyle w:val="Encabezado"/>
      <w:ind w:left="3402"/>
      <w:jc w:val="both"/>
      <w:rPr>
        <w:rFonts w:ascii="Arial" w:hAnsi="Arial" w:cs="Arial"/>
        <w:sz w:val="18"/>
        <w:szCs w:val="20"/>
      </w:rPr>
    </w:pPr>
    <w:r w:rsidRPr="004B648E">
      <w:rPr>
        <w:rFonts w:ascii="Arial" w:hAnsi="Arial" w:cs="Arial"/>
        <w:sz w:val="18"/>
        <w:szCs w:val="20"/>
      </w:rPr>
      <w:t>Radicación</w:t>
    </w:r>
    <w:r w:rsidR="00395465" w:rsidRPr="004B648E">
      <w:rPr>
        <w:rFonts w:ascii="Arial" w:hAnsi="Arial" w:cs="Arial"/>
        <w:sz w:val="18"/>
        <w:szCs w:val="20"/>
      </w:rPr>
      <w:t xml:space="preserve">: </w:t>
    </w:r>
    <w:r w:rsidR="007A5F6F" w:rsidRPr="004B648E">
      <w:rPr>
        <w:rFonts w:ascii="Arial" w:hAnsi="Arial" w:cs="Arial"/>
        <w:sz w:val="18"/>
        <w:szCs w:val="20"/>
      </w:rPr>
      <w:t xml:space="preserve">66001 22 04 000 2022 </w:t>
    </w:r>
    <w:r w:rsidR="0062526A" w:rsidRPr="004B648E">
      <w:rPr>
        <w:rFonts w:ascii="Arial" w:hAnsi="Arial" w:cs="Arial"/>
        <w:sz w:val="18"/>
        <w:szCs w:val="20"/>
      </w:rPr>
      <w:t>00035 00</w:t>
    </w:r>
  </w:p>
  <w:p w:rsidR="00395465" w:rsidRPr="004B648E" w:rsidRDefault="00C361D9" w:rsidP="004B648E">
    <w:pPr>
      <w:pStyle w:val="Encabezado"/>
      <w:ind w:left="3402"/>
      <w:jc w:val="both"/>
      <w:rPr>
        <w:rFonts w:ascii="Arial" w:hAnsi="Arial" w:cs="Arial"/>
        <w:sz w:val="18"/>
        <w:szCs w:val="20"/>
      </w:rPr>
    </w:pPr>
    <w:r w:rsidRPr="004B648E">
      <w:rPr>
        <w:rFonts w:ascii="Arial" w:hAnsi="Arial" w:cs="Arial"/>
        <w:sz w:val="18"/>
        <w:szCs w:val="20"/>
      </w:rPr>
      <w:t>Accionante</w:t>
    </w:r>
    <w:r w:rsidR="00395465" w:rsidRPr="004B648E">
      <w:rPr>
        <w:rFonts w:ascii="Arial" w:hAnsi="Arial" w:cs="Arial"/>
        <w:sz w:val="18"/>
        <w:szCs w:val="20"/>
      </w:rPr>
      <w:t xml:space="preserve">: </w:t>
    </w:r>
    <w:r w:rsidRPr="004B648E">
      <w:rPr>
        <w:rFonts w:ascii="Arial" w:hAnsi="Arial" w:cs="Arial"/>
        <w:sz w:val="18"/>
        <w:szCs w:val="20"/>
      </w:rPr>
      <w:t xml:space="preserve">JHMG      </w:t>
    </w:r>
  </w:p>
  <w:p w:rsidR="00395465" w:rsidRPr="004B648E" w:rsidRDefault="00C361D9" w:rsidP="004B648E">
    <w:pPr>
      <w:pStyle w:val="Encabezado"/>
      <w:ind w:left="3402"/>
      <w:jc w:val="both"/>
      <w:rPr>
        <w:rFonts w:ascii="Arial" w:hAnsi="Arial" w:cs="Arial"/>
        <w:sz w:val="18"/>
        <w:szCs w:val="20"/>
      </w:rPr>
    </w:pPr>
    <w:r w:rsidRPr="004B648E">
      <w:rPr>
        <w:rFonts w:ascii="Arial" w:hAnsi="Arial" w:cs="Arial"/>
        <w:sz w:val="18"/>
        <w:szCs w:val="20"/>
      </w:rPr>
      <w:t>Asunto</w:t>
    </w:r>
    <w:r w:rsidR="00395465" w:rsidRPr="004B648E">
      <w:rPr>
        <w:rFonts w:ascii="Arial" w:hAnsi="Arial" w:cs="Arial"/>
        <w:sz w:val="18"/>
        <w:szCs w:val="20"/>
      </w:rPr>
      <w:t xml:space="preserve">: </w:t>
    </w:r>
    <w:r w:rsidRPr="004B648E">
      <w:rPr>
        <w:rFonts w:ascii="Arial" w:hAnsi="Arial" w:cs="Arial"/>
        <w:sz w:val="18"/>
        <w:szCs w:val="20"/>
      </w:rPr>
      <w:t>Acción de Hábeas Corpus</w:t>
    </w:r>
  </w:p>
  <w:p w:rsidR="00395465" w:rsidRPr="004B648E" w:rsidRDefault="00C361D9" w:rsidP="004B648E">
    <w:pPr>
      <w:pStyle w:val="Encabezado"/>
      <w:ind w:left="3402"/>
      <w:jc w:val="both"/>
      <w:rPr>
        <w:rFonts w:ascii="Arial" w:hAnsi="Arial" w:cs="Arial"/>
        <w:sz w:val="18"/>
        <w:szCs w:val="20"/>
      </w:rPr>
    </w:pPr>
    <w:r w:rsidRPr="004B648E">
      <w:rPr>
        <w:rFonts w:ascii="Arial" w:hAnsi="Arial" w:cs="Arial"/>
        <w:sz w:val="18"/>
        <w:szCs w:val="20"/>
      </w:rPr>
      <w:t>Resuelve</w:t>
    </w:r>
    <w:r w:rsidR="00395465" w:rsidRPr="004B648E">
      <w:rPr>
        <w:rFonts w:ascii="Arial" w:hAnsi="Arial" w:cs="Arial"/>
        <w:sz w:val="18"/>
        <w:szCs w:val="20"/>
      </w:rPr>
      <w:t xml:space="preserve">: </w:t>
    </w:r>
    <w:r w:rsidRPr="004B648E">
      <w:rPr>
        <w:rFonts w:ascii="Arial" w:hAnsi="Arial" w:cs="Arial"/>
        <w:sz w:val="18"/>
        <w:szCs w:val="20"/>
      </w:rPr>
      <w:t xml:space="preserve">Remite por competencia a los juzgados promiscuos municipales de </w:t>
    </w:r>
    <w:r w:rsidR="004B648E" w:rsidRPr="004B648E">
      <w:rPr>
        <w:rFonts w:ascii="Arial" w:hAnsi="Arial" w:cs="Arial"/>
        <w:sz w:val="18"/>
        <w:szCs w:val="20"/>
      </w:rPr>
      <w:t>Girón</w:t>
    </w:r>
    <w:r w:rsidRPr="004B648E">
      <w:rPr>
        <w:rFonts w:ascii="Arial" w:hAnsi="Arial" w:cs="Arial"/>
        <w:sz w:val="18"/>
        <w:szCs w:val="20"/>
      </w:rPr>
      <w:t xml:space="preserve">, </w:t>
    </w:r>
    <w:r w:rsidR="004B648E" w:rsidRPr="004B648E">
      <w:rPr>
        <w:rFonts w:ascii="Arial" w:hAnsi="Arial" w:cs="Arial"/>
        <w:sz w:val="18"/>
        <w:szCs w:val="20"/>
      </w:rPr>
      <w:t>Santander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07"/>
    <w:rsid w:val="00026812"/>
    <w:rsid w:val="001901BC"/>
    <w:rsid w:val="001A3273"/>
    <w:rsid w:val="002E5DE9"/>
    <w:rsid w:val="00395465"/>
    <w:rsid w:val="004B648E"/>
    <w:rsid w:val="00500B10"/>
    <w:rsid w:val="0054780A"/>
    <w:rsid w:val="005558B7"/>
    <w:rsid w:val="005677E1"/>
    <w:rsid w:val="00593B7A"/>
    <w:rsid w:val="005E79D0"/>
    <w:rsid w:val="00601457"/>
    <w:rsid w:val="0062526A"/>
    <w:rsid w:val="006C11B7"/>
    <w:rsid w:val="007A5F6F"/>
    <w:rsid w:val="007E518D"/>
    <w:rsid w:val="00825D18"/>
    <w:rsid w:val="008C77F6"/>
    <w:rsid w:val="008D426C"/>
    <w:rsid w:val="00990207"/>
    <w:rsid w:val="009F4706"/>
    <w:rsid w:val="00A44A4F"/>
    <w:rsid w:val="00B55800"/>
    <w:rsid w:val="00B76BE6"/>
    <w:rsid w:val="00C361D9"/>
    <w:rsid w:val="00C560F1"/>
    <w:rsid w:val="00CF6D4B"/>
    <w:rsid w:val="00D2174D"/>
    <w:rsid w:val="00E4590D"/>
    <w:rsid w:val="00EE7BC3"/>
    <w:rsid w:val="00F96438"/>
    <w:rsid w:val="00FF35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753C0-4DD8-4E16-9845-820AC0A6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2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90207"/>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2E5DE9"/>
    <w:rPr>
      <w:vertAlign w:val="superscript"/>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
    <w:rsid w:val="002E5DE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Car Car,Footnote Text Char Char Char Char Char Car,Footnote Text Char Char Char Char Car,Footnote reference Car,FA Fu Car,Ref. de nota al pie1 Car,Texto nota pie Car Car Car Car,texto de nota al pie Car, Car Car,ft Car"/>
    <w:basedOn w:val="Fuentedeprrafopredeter"/>
    <w:link w:val="Textonotapie"/>
    <w:rsid w:val="002E5DE9"/>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95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465"/>
  </w:style>
  <w:style w:type="paragraph" w:styleId="Piedepgina">
    <w:name w:val="footer"/>
    <w:basedOn w:val="Normal"/>
    <w:link w:val="PiedepginaCar"/>
    <w:uiPriority w:val="99"/>
    <w:unhideWhenUsed/>
    <w:rsid w:val="00395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0181">
      <w:bodyDiv w:val="1"/>
      <w:marLeft w:val="0"/>
      <w:marRight w:val="0"/>
      <w:marTop w:val="0"/>
      <w:marBottom w:val="0"/>
      <w:divBdr>
        <w:top w:val="none" w:sz="0" w:space="0" w:color="auto"/>
        <w:left w:val="none" w:sz="0" w:space="0" w:color="auto"/>
        <w:bottom w:val="none" w:sz="0" w:space="0" w:color="auto"/>
        <w:right w:val="none" w:sz="0" w:space="0" w:color="auto"/>
      </w:divBdr>
      <w:divsChild>
        <w:div w:id="423261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1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53585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64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09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14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22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220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58844">
          <w:blockQuote w:val="1"/>
          <w:marLeft w:val="720"/>
          <w:marRight w:val="720"/>
          <w:marTop w:val="100"/>
          <w:marBottom w:val="100"/>
          <w:divBdr>
            <w:top w:val="none" w:sz="0" w:space="0" w:color="auto"/>
            <w:left w:val="none" w:sz="0" w:space="0" w:color="auto"/>
            <w:bottom w:val="none" w:sz="0" w:space="0" w:color="auto"/>
            <w:right w:val="none" w:sz="0" w:space="0" w:color="auto"/>
          </w:divBdr>
        </w:div>
        <w:div w:id="984240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6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599916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10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848374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83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45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5275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0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97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644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1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DE22-A5D7-45B2-BFC1-211AE262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1310</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Hermides Alonso Gaviria Ocampo</cp:lastModifiedBy>
  <cp:revision>13</cp:revision>
  <dcterms:created xsi:type="dcterms:W3CDTF">2022-03-16T13:03:00Z</dcterms:created>
  <dcterms:modified xsi:type="dcterms:W3CDTF">2022-12-09T14:16:00Z</dcterms:modified>
</cp:coreProperties>
</file>