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05BBF" w14:textId="77777777" w:rsidR="00E91CEE" w:rsidRPr="00E91CEE" w:rsidRDefault="00E91CEE" w:rsidP="00E91CEE">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35724079"/>
      <w:r w:rsidRPr="00E91CE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9C574D" w14:textId="77777777"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419" w:eastAsia="es-ES"/>
        </w:rPr>
      </w:pPr>
    </w:p>
    <w:p w14:paraId="40CDDF31" w14:textId="2EC94F24"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419" w:eastAsia="es-ES"/>
        </w:rPr>
      </w:pPr>
      <w:r w:rsidRPr="00E91CEE">
        <w:rPr>
          <w:rFonts w:ascii="Arial" w:eastAsia="Times New Roman" w:hAnsi="Arial" w:cs="Arial"/>
          <w:sz w:val="20"/>
          <w:szCs w:val="20"/>
          <w:lang w:val="es-419" w:eastAsia="es-ES"/>
        </w:rPr>
        <w:t xml:space="preserve">Expediente: </w:t>
      </w:r>
      <w:r w:rsidRPr="00E91CEE">
        <w:rPr>
          <w:rFonts w:ascii="Arial" w:eastAsia="Times New Roman" w:hAnsi="Arial" w:cs="Arial"/>
          <w:sz w:val="20"/>
          <w:szCs w:val="20"/>
          <w:lang w:val="es-419" w:eastAsia="es-ES"/>
        </w:rPr>
        <w:tab/>
        <w:t>66001</w:t>
      </w:r>
      <w:r>
        <w:rPr>
          <w:rFonts w:ascii="Arial" w:eastAsia="Times New Roman" w:hAnsi="Arial" w:cs="Arial"/>
          <w:sz w:val="20"/>
          <w:szCs w:val="20"/>
          <w:lang w:val="es-419" w:eastAsia="es-ES"/>
        </w:rPr>
        <w:t>-</w:t>
      </w:r>
      <w:r w:rsidRPr="00E91CEE">
        <w:rPr>
          <w:rFonts w:ascii="Arial" w:eastAsia="Times New Roman" w:hAnsi="Arial" w:cs="Arial"/>
          <w:sz w:val="20"/>
          <w:szCs w:val="20"/>
          <w:lang w:val="es-419" w:eastAsia="es-ES"/>
        </w:rPr>
        <w:t>31</w:t>
      </w:r>
      <w:r>
        <w:rPr>
          <w:rFonts w:ascii="Arial" w:eastAsia="Times New Roman" w:hAnsi="Arial" w:cs="Arial"/>
          <w:sz w:val="20"/>
          <w:szCs w:val="20"/>
          <w:lang w:val="es-419" w:eastAsia="es-ES"/>
        </w:rPr>
        <w:t>-</w:t>
      </w:r>
      <w:r w:rsidRPr="00E91CEE">
        <w:rPr>
          <w:rFonts w:ascii="Arial" w:eastAsia="Times New Roman" w:hAnsi="Arial" w:cs="Arial"/>
          <w:sz w:val="20"/>
          <w:szCs w:val="20"/>
          <w:lang w:val="es-419" w:eastAsia="es-ES"/>
        </w:rPr>
        <w:t>10</w:t>
      </w:r>
      <w:r>
        <w:rPr>
          <w:rFonts w:ascii="Arial" w:eastAsia="Times New Roman" w:hAnsi="Arial" w:cs="Arial"/>
          <w:sz w:val="20"/>
          <w:szCs w:val="20"/>
          <w:lang w:val="es-419" w:eastAsia="es-ES"/>
        </w:rPr>
        <w:t>-</w:t>
      </w:r>
      <w:r w:rsidRPr="00E91CEE">
        <w:rPr>
          <w:rFonts w:ascii="Arial" w:eastAsia="Times New Roman" w:hAnsi="Arial" w:cs="Arial"/>
          <w:sz w:val="20"/>
          <w:szCs w:val="20"/>
          <w:lang w:val="es-419" w:eastAsia="es-ES"/>
        </w:rPr>
        <w:t>003</w:t>
      </w:r>
      <w:r>
        <w:rPr>
          <w:rFonts w:ascii="Arial" w:eastAsia="Times New Roman" w:hAnsi="Arial" w:cs="Arial"/>
          <w:sz w:val="20"/>
          <w:szCs w:val="20"/>
          <w:lang w:val="es-419" w:eastAsia="es-ES"/>
        </w:rPr>
        <w:t>-</w:t>
      </w:r>
      <w:r w:rsidRPr="00E91CEE">
        <w:rPr>
          <w:rFonts w:ascii="Arial" w:eastAsia="Times New Roman" w:hAnsi="Arial" w:cs="Arial"/>
          <w:sz w:val="20"/>
          <w:szCs w:val="20"/>
          <w:lang w:val="es-419" w:eastAsia="es-ES"/>
        </w:rPr>
        <w:t>2022</w:t>
      </w:r>
      <w:r>
        <w:rPr>
          <w:rFonts w:ascii="Arial" w:eastAsia="Times New Roman" w:hAnsi="Arial" w:cs="Arial"/>
          <w:sz w:val="20"/>
          <w:szCs w:val="20"/>
          <w:lang w:val="es-419" w:eastAsia="es-ES"/>
        </w:rPr>
        <w:t>-</w:t>
      </w:r>
      <w:r w:rsidRPr="00E91CEE">
        <w:rPr>
          <w:rFonts w:ascii="Arial" w:eastAsia="Times New Roman" w:hAnsi="Arial" w:cs="Arial"/>
          <w:sz w:val="20"/>
          <w:szCs w:val="20"/>
          <w:lang w:val="es-419" w:eastAsia="es-ES"/>
        </w:rPr>
        <w:t>00519</w:t>
      </w:r>
      <w:r>
        <w:rPr>
          <w:rFonts w:ascii="Arial" w:eastAsia="Times New Roman" w:hAnsi="Arial" w:cs="Arial"/>
          <w:sz w:val="20"/>
          <w:szCs w:val="20"/>
          <w:lang w:val="es-419" w:eastAsia="es-ES"/>
        </w:rPr>
        <w:t>-</w:t>
      </w:r>
      <w:r w:rsidRPr="00E91CEE">
        <w:rPr>
          <w:rFonts w:ascii="Arial" w:eastAsia="Times New Roman" w:hAnsi="Arial" w:cs="Arial"/>
          <w:sz w:val="20"/>
          <w:szCs w:val="20"/>
          <w:lang w:val="es-419" w:eastAsia="es-ES"/>
        </w:rPr>
        <w:t>01</w:t>
      </w:r>
    </w:p>
    <w:p w14:paraId="34F839D0" w14:textId="6CC4E201"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419" w:eastAsia="es-ES"/>
        </w:rPr>
      </w:pPr>
      <w:r w:rsidRPr="00E91CEE">
        <w:rPr>
          <w:rFonts w:ascii="Arial" w:eastAsia="Times New Roman" w:hAnsi="Arial" w:cs="Arial"/>
          <w:sz w:val="20"/>
          <w:szCs w:val="20"/>
          <w:lang w:val="es-419" w:eastAsia="es-ES"/>
        </w:rPr>
        <w:t>Proceso:</w:t>
      </w:r>
      <w:r w:rsidRPr="00E91CEE">
        <w:rPr>
          <w:rFonts w:ascii="Arial" w:eastAsia="Times New Roman" w:hAnsi="Arial" w:cs="Arial"/>
          <w:sz w:val="20"/>
          <w:szCs w:val="20"/>
          <w:lang w:val="es-419" w:eastAsia="es-ES"/>
        </w:rPr>
        <w:tab/>
      </w:r>
      <w:r>
        <w:rPr>
          <w:rFonts w:ascii="Arial" w:eastAsia="Times New Roman" w:hAnsi="Arial" w:cs="Arial"/>
          <w:sz w:val="20"/>
          <w:szCs w:val="20"/>
          <w:lang w:val="es-419" w:eastAsia="es-ES"/>
        </w:rPr>
        <w:t>Acción de tutela</w:t>
      </w:r>
    </w:p>
    <w:p w14:paraId="31CEA054" w14:textId="0893E08C"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419" w:eastAsia="es-ES"/>
        </w:rPr>
      </w:pPr>
      <w:r w:rsidRPr="00E91CEE">
        <w:rPr>
          <w:rFonts w:ascii="Arial" w:eastAsia="Times New Roman" w:hAnsi="Arial" w:cs="Arial"/>
          <w:sz w:val="20"/>
          <w:szCs w:val="20"/>
          <w:lang w:val="es-419" w:eastAsia="es-ES"/>
        </w:rPr>
        <w:t>Demandante:</w:t>
      </w:r>
      <w:r w:rsidRPr="00E91CEE">
        <w:rPr>
          <w:rFonts w:ascii="Arial" w:eastAsia="Times New Roman" w:hAnsi="Arial" w:cs="Arial"/>
          <w:sz w:val="20"/>
          <w:szCs w:val="20"/>
          <w:lang w:val="es-419" w:eastAsia="es-ES"/>
        </w:rPr>
        <w:tab/>
      </w:r>
      <w:r w:rsidR="007D622D">
        <w:rPr>
          <w:rFonts w:ascii="Arial" w:eastAsia="Times New Roman" w:hAnsi="Arial" w:cs="Arial"/>
          <w:sz w:val="20"/>
          <w:szCs w:val="20"/>
          <w:lang w:val="es-419" w:eastAsia="es-ES"/>
        </w:rPr>
        <w:t>César Cardona Castrillón</w:t>
      </w:r>
    </w:p>
    <w:p w14:paraId="5EE98018" w14:textId="0B75D313"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419" w:eastAsia="es-ES"/>
        </w:rPr>
      </w:pPr>
      <w:r w:rsidRPr="00E91CEE">
        <w:rPr>
          <w:rFonts w:ascii="Arial" w:eastAsia="Times New Roman" w:hAnsi="Arial" w:cs="Arial"/>
          <w:sz w:val="20"/>
          <w:szCs w:val="20"/>
          <w:lang w:val="es-419" w:eastAsia="es-ES"/>
        </w:rPr>
        <w:t xml:space="preserve">Demandado: </w:t>
      </w:r>
      <w:r w:rsidRPr="00E91CEE">
        <w:rPr>
          <w:rFonts w:ascii="Arial" w:eastAsia="Times New Roman" w:hAnsi="Arial" w:cs="Arial"/>
          <w:sz w:val="20"/>
          <w:szCs w:val="20"/>
          <w:lang w:val="es-419" w:eastAsia="es-ES"/>
        </w:rPr>
        <w:tab/>
      </w:r>
      <w:r w:rsidR="007D622D">
        <w:rPr>
          <w:rFonts w:ascii="Arial" w:eastAsia="Times New Roman" w:hAnsi="Arial" w:cs="Arial"/>
          <w:sz w:val="20"/>
          <w:szCs w:val="20"/>
          <w:lang w:val="es-419" w:eastAsia="es-ES"/>
        </w:rPr>
        <w:t>Colpensiones</w:t>
      </w:r>
    </w:p>
    <w:p w14:paraId="3EE400CB" w14:textId="77777777"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419" w:eastAsia="es-ES"/>
        </w:rPr>
      </w:pPr>
    </w:p>
    <w:p w14:paraId="4BFF510C" w14:textId="4F5D2F69" w:rsidR="00E91CEE" w:rsidRPr="00E91CEE" w:rsidRDefault="00561F25" w:rsidP="00E91CEE">
      <w:pPr>
        <w:widowControl w:val="0"/>
        <w:autoSpaceDE w:val="0"/>
        <w:autoSpaceDN w:val="0"/>
        <w:spacing w:after="0" w:line="240" w:lineRule="auto"/>
        <w:jc w:val="both"/>
        <w:rPr>
          <w:rFonts w:ascii="Arial" w:eastAsia="Times New Roman" w:hAnsi="Arial" w:cs="Arial"/>
          <w:sz w:val="20"/>
          <w:szCs w:val="20"/>
          <w:lang w:val="es-419" w:eastAsia="es-ES"/>
        </w:rPr>
      </w:pPr>
      <w:r w:rsidRPr="00E91CEE">
        <w:rPr>
          <w:rFonts w:ascii="Arial" w:eastAsia="Times New Roman" w:hAnsi="Arial" w:cs="Arial"/>
          <w:b/>
          <w:bCs/>
          <w:iCs/>
          <w:sz w:val="20"/>
          <w:szCs w:val="20"/>
          <w:u w:val="single"/>
          <w:lang w:val="es-419" w:eastAsia="fr-FR"/>
        </w:rPr>
        <w:t>TEMAS:</w:t>
      </w:r>
      <w:r w:rsidRPr="00E91CEE">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MORA JUDICIAL / OBLIGACIÓN DE HACER / PROCEDENCIA DE LA TUTELA / CUMPLIR FALLO SOBRE TRASLADO DE APORTES AL RPM.</w:t>
      </w:r>
    </w:p>
    <w:p w14:paraId="1CD52961" w14:textId="77777777"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1BC4B68E" w14:textId="720B8A9C" w:rsidR="00E91CEE" w:rsidRPr="00E91CEE" w:rsidRDefault="00496348" w:rsidP="00E91CEE">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496348">
        <w:rPr>
          <w:rFonts w:ascii="Arial" w:eastAsia="Times New Roman" w:hAnsi="Arial" w:cs="Arial"/>
          <w:sz w:val="20"/>
          <w:szCs w:val="20"/>
          <w:lang w:val="es-ES" w:eastAsia="es-ES"/>
        </w:rPr>
        <w:t>en el recuento fáctico el demandante se queja del incumplimiento de la sentencia emitida en el juicio laboral, esta Sala perfilará el análisis de este caso, como uno de aquellos en los que se busca la protección a su derecho fundamental al debido proceso, presuntamente vulnerado por las autoridades acusadas, que se niegan a cumplir un fallo judicial</w:t>
      </w:r>
      <w:r w:rsidR="00372A14">
        <w:rPr>
          <w:rFonts w:ascii="Arial" w:eastAsia="Times New Roman" w:hAnsi="Arial" w:cs="Arial"/>
          <w:sz w:val="20"/>
          <w:szCs w:val="20"/>
          <w:lang w:val="es-ES" w:eastAsia="es-ES"/>
        </w:rPr>
        <w:t>…</w:t>
      </w:r>
    </w:p>
    <w:p w14:paraId="649C2F9D" w14:textId="77777777"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56DB858E" w14:textId="0936A99A" w:rsidR="00E91CEE" w:rsidRPr="00E91CEE" w:rsidRDefault="00372A14" w:rsidP="00E91CEE">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72A14">
        <w:rPr>
          <w:rFonts w:ascii="Arial" w:eastAsia="Times New Roman" w:hAnsi="Arial" w:cs="Arial"/>
          <w:sz w:val="20"/>
          <w:szCs w:val="20"/>
          <w:lang w:val="es-ES" w:eastAsia="es-ES"/>
        </w:rPr>
        <w:t>se supera la subsidiaridad, porque según se recuerda en reciente providencia de este Tribunal</w:t>
      </w:r>
      <w:r>
        <w:rPr>
          <w:rFonts w:ascii="Arial" w:eastAsia="Times New Roman" w:hAnsi="Arial" w:cs="Arial"/>
          <w:sz w:val="20"/>
          <w:szCs w:val="20"/>
          <w:lang w:val="es-ES" w:eastAsia="es-ES"/>
        </w:rPr>
        <w:t>…</w:t>
      </w:r>
      <w:r w:rsidRPr="00372A14">
        <w:rPr>
          <w:rFonts w:ascii="Arial" w:eastAsia="Times New Roman" w:hAnsi="Arial" w:cs="Arial"/>
          <w:sz w:val="20"/>
          <w:szCs w:val="20"/>
          <w:lang w:val="es-ES" w:eastAsia="es-ES"/>
        </w:rPr>
        <w:t>, que a su vez cita precedente de la Corte Constitucional, la acción de tutela es procedente para reclamar el cumplimiento de una sentencia judicial, cuando esta contenga una obligación de hacer.</w:t>
      </w:r>
      <w:r>
        <w:rPr>
          <w:rFonts w:ascii="Arial" w:eastAsia="Times New Roman" w:hAnsi="Arial" w:cs="Arial"/>
          <w:sz w:val="20"/>
          <w:szCs w:val="20"/>
          <w:lang w:val="es-ES" w:eastAsia="es-ES"/>
        </w:rPr>
        <w:t xml:space="preserve"> (…)</w:t>
      </w:r>
    </w:p>
    <w:p w14:paraId="3E9F8B87" w14:textId="77777777"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09B885F3" w14:textId="1070921A" w:rsidR="00E91CEE" w:rsidRPr="00E91CEE" w:rsidRDefault="00372A14" w:rsidP="00E91CEE">
      <w:pPr>
        <w:widowControl w:val="0"/>
        <w:autoSpaceDE w:val="0"/>
        <w:autoSpaceDN w:val="0"/>
        <w:spacing w:after="0" w:line="240" w:lineRule="auto"/>
        <w:jc w:val="both"/>
        <w:rPr>
          <w:rFonts w:ascii="Arial" w:eastAsia="Times New Roman" w:hAnsi="Arial" w:cs="Arial"/>
          <w:sz w:val="20"/>
          <w:szCs w:val="20"/>
          <w:lang w:val="es-ES" w:eastAsia="es-ES"/>
        </w:rPr>
      </w:pPr>
      <w:r w:rsidRPr="00372A14">
        <w:rPr>
          <w:rFonts w:ascii="Arial" w:eastAsia="Times New Roman" w:hAnsi="Arial" w:cs="Arial"/>
          <w:sz w:val="20"/>
          <w:szCs w:val="20"/>
          <w:lang w:val="es-ES" w:eastAsia="es-ES"/>
        </w:rPr>
        <w:t>En este asunto, la orden contenida en el fallo cuyo cumplimiento se implora, es de hacer. En efecto, en él se dispuso que Protección S.A., trasladara con destino a Colpensiones los recursos de la cuenta de ahorro individual de la accionante, y que Colpensiones activara la afiliación de la actora al RPM</w:t>
      </w:r>
      <w:r w:rsidR="00A625BE">
        <w:rPr>
          <w:rFonts w:ascii="Arial" w:eastAsia="Times New Roman" w:hAnsi="Arial" w:cs="Arial"/>
          <w:sz w:val="20"/>
          <w:szCs w:val="20"/>
          <w:lang w:val="es-ES" w:eastAsia="es-ES"/>
        </w:rPr>
        <w:t>.</w:t>
      </w:r>
    </w:p>
    <w:p w14:paraId="06F76ED5" w14:textId="2B3E595F" w:rsidR="00E91CEE" w:rsidRDefault="00E91CE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11F74F68" w14:textId="0D45107B" w:rsidR="00A625BE" w:rsidRDefault="00A625BE" w:rsidP="00E91CEE">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enseña la Corte Constitucional…</w:t>
      </w:r>
    </w:p>
    <w:p w14:paraId="2D95FD66" w14:textId="6E270D2A" w:rsidR="00A625BE" w:rsidRDefault="00A625B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6B30FFAA" w14:textId="0ADE80E1" w:rsidR="00A625BE" w:rsidRDefault="00A625BE" w:rsidP="00E91CEE">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A625BE">
        <w:rPr>
          <w:rFonts w:ascii="Arial" w:eastAsia="Times New Roman" w:hAnsi="Arial" w:cs="Arial"/>
          <w:sz w:val="20"/>
          <w:szCs w:val="20"/>
          <w:lang w:val="es-ES" w:eastAsia="es-ES"/>
        </w:rPr>
        <w:t>La jurisprudencia de esta Corte ha señalado que el debido proceso y la garantía del derecho a la jurisdicción, comprende los derechos al libre e igualitario acceso ante los jueces y autoridades administrativas, a obtener soluciones y decisiones motivadas en un plazo razonable, a que estas puedan ser impugnadas ante las autoridades de jerarquía superior, y al cumplimiento efectivo de lo decidido en el fallo</w:t>
      </w:r>
      <w:r w:rsidR="00CD180E">
        <w:rPr>
          <w:rFonts w:ascii="Arial" w:eastAsia="Times New Roman" w:hAnsi="Arial" w:cs="Arial"/>
          <w:sz w:val="20"/>
          <w:szCs w:val="20"/>
          <w:lang w:val="es-ES" w:eastAsia="es-ES"/>
        </w:rPr>
        <w:t>…</w:t>
      </w:r>
    </w:p>
    <w:p w14:paraId="48E6FF52" w14:textId="60DDC8B9" w:rsidR="00A625BE" w:rsidRDefault="00A625B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376A5C8A" w14:textId="201C1D8A" w:rsidR="00A625BE" w:rsidRDefault="00CD180E" w:rsidP="00E91CEE">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CD180E">
        <w:rPr>
          <w:rFonts w:ascii="Arial" w:eastAsia="Times New Roman" w:hAnsi="Arial" w:cs="Arial"/>
          <w:sz w:val="20"/>
          <w:szCs w:val="20"/>
          <w:lang w:val="es-ES" w:eastAsia="es-ES"/>
        </w:rPr>
        <w:t>En la misma decisión, la Corte explicó que el derecho a una tutela judicial efectiva implica la existencia de un plazo razonable en el cumplimiento de las decisiones judiciales, para resolver y ejecutar lo resuelto</w:t>
      </w:r>
      <w:r>
        <w:rPr>
          <w:rFonts w:ascii="Arial" w:eastAsia="Times New Roman" w:hAnsi="Arial" w:cs="Arial"/>
          <w:sz w:val="20"/>
          <w:szCs w:val="20"/>
          <w:lang w:val="es-ES" w:eastAsia="es-ES"/>
        </w:rPr>
        <w:t>…”</w:t>
      </w:r>
    </w:p>
    <w:p w14:paraId="1CBBAA6D" w14:textId="6685CD78" w:rsidR="00A625BE" w:rsidRDefault="00A625B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36286570" w14:textId="77777777" w:rsidR="00A625BE" w:rsidRPr="00E91CEE" w:rsidRDefault="00A625B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5D6393A8" w14:textId="77777777" w:rsidR="00E91CEE" w:rsidRPr="00E91CEE" w:rsidRDefault="00E91CEE" w:rsidP="00E91CEE">
      <w:pPr>
        <w:widowControl w:val="0"/>
        <w:autoSpaceDE w:val="0"/>
        <w:autoSpaceDN w:val="0"/>
        <w:spacing w:after="0" w:line="240" w:lineRule="auto"/>
        <w:jc w:val="both"/>
        <w:rPr>
          <w:rFonts w:ascii="Arial" w:eastAsia="Times New Roman" w:hAnsi="Arial" w:cs="Arial"/>
          <w:sz w:val="20"/>
          <w:szCs w:val="20"/>
          <w:lang w:val="es-ES" w:eastAsia="es-ES"/>
        </w:rPr>
      </w:pPr>
    </w:p>
    <w:p w14:paraId="1FE87D93" w14:textId="77777777" w:rsidR="00E91CEE" w:rsidRPr="00E91CEE" w:rsidRDefault="00E91CEE" w:rsidP="00E91CEE">
      <w:pPr>
        <w:spacing w:after="0" w:line="240" w:lineRule="auto"/>
        <w:jc w:val="center"/>
        <w:rPr>
          <w:rFonts w:ascii="Bookman Old Style" w:eastAsia="Calibri" w:hAnsi="Bookman Old Style" w:cs="Times New Roman"/>
          <w:b/>
          <w:noProof/>
          <w:lang w:val="es-CO"/>
        </w:rPr>
      </w:pPr>
      <w:r w:rsidRPr="00E91CEE">
        <w:rPr>
          <w:rFonts w:ascii="Calibri" w:eastAsia="Calibri" w:hAnsi="Calibri" w:cs="Times New Roman"/>
          <w:noProof/>
          <w:lang w:val="en-US"/>
        </w:rPr>
        <w:drawing>
          <wp:inline distT="0" distB="0" distL="0" distR="0" wp14:anchorId="770C4400" wp14:editId="2C99A9B7">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352638A2" w14:textId="77777777" w:rsidR="00E91CEE" w:rsidRPr="00E91CEE" w:rsidRDefault="00E91CEE" w:rsidP="00AA4FB9">
      <w:pPr>
        <w:tabs>
          <w:tab w:val="center" w:pos="4419"/>
          <w:tab w:val="right" w:pos="8838"/>
        </w:tabs>
        <w:spacing w:after="0" w:line="276" w:lineRule="auto"/>
        <w:jc w:val="center"/>
        <w:rPr>
          <w:rFonts w:ascii="Gadugi" w:eastAsia="Calibri" w:hAnsi="Gadugi" w:cs="Times New Roman"/>
          <w:b/>
          <w:noProof/>
          <w:sz w:val="24"/>
          <w:szCs w:val="24"/>
          <w:lang w:val="es-CO"/>
        </w:rPr>
      </w:pPr>
      <w:r w:rsidRPr="00E91CEE">
        <w:rPr>
          <w:rFonts w:ascii="Gadugi" w:eastAsia="Calibri" w:hAnsi="Gadugi" w:cs="Times New Roman"/>
          <w:b/>
          <w:noProof/>
          <w:sz w:val="24"/>
          <w:szCs w:val="24"/>
          <w:lang w:val="es-CO"/>
        </w:rPr>
        <w:t>TRIBUNAL SUPERIOR DEL DISTRITO JUDICIAL</w:t>
      </w:r>
    </w:p>
    <w:p w14:paraId="16577C97" w14:textId="77777777" w:rsidR="00E91CEE" w:rsidRPr="00E91CEE" w:rsidRDefault="00E91CEE" w:rsidP="00AA4FB9">
      <w:pPr>
        <w:tabs>
          <w:tab w:val="center" w:pos="4419"/>
          <w:tab w:val="right" w:pos="8838"/>
        </w:tabs>
        <w:spacing w:after="0" w:line="276" w:lineRule="auto"/>
        <w:jc w:val="center"/>
        <w:rPr>
          <w:rFonts w:ascii="Gadugi" w:eastAsia="Calibri" w:hAnsi="Gadugi" w:cs="Times New Roman"/>
          <w:b/>
          <w:sz w:val="24"/>
          <w:szCs w:val="24"/>
          <w:lang w:val="es-CO"/>
        </w:rPr>
      </w:pPr>
      <w:bookmarkStart w:id="1" w:name="_GoBack"/>
      <w:bookmarkEnd w:id="1"/>
      <w:r w:rsidRPr="00E91CEE">
        <w:rPr>
          <w:rFonts w:ascii="Gadugi" w:eastAsia="Calibri" w:hAnsi="Gadugi" w:cs="Times New Roman"/>
          <w:b/>
          <w:sz w:val="24"/>
          <w:szCs w:val="24"/>
          <w:lang w:val="es-CO"/>
        </w:rPr>
        <w:t>PEREIRA</w:t>
      </w:r>
    </w:p>
    <w:p w14:paraId="35536940" w14:textId="77777777" w:rsidR="00E91CEE" w:rsidRPr="00E91CEE" w:rsidRDefault="00E91CEE" w:rsidP="00AA4FB9">
      <w:pPr>
        <w:tabs>
          <w:tab w:val="center" w:pos="4419"/>
          <w:tab w:val="right" w:pos="8838"/>
        </w:tabs>
        <w:spacing w:after="0" w:line="276" w:lineRule="auto"/>
        <w:jc w:val="center"/>
        <w:rPr>
          <w:rFonts w:ascii="Gadugi" w:eastAsia="Calibri" w:hAnsi="Gadugi" w:cs="Times New Roman"/>
          <w:b/>
          <w:sz w:val="24"/>
          <w:szCs w:val="24"/>
          <w:lang w:val="es-CO"/>
        </w:rPr>
      </w:pPr>
      <w:r w:rsidRPr="00E91CEE">
        <w:rPr>
          <w:rFonts w:ascii="Gadugi" w:eastAsia="Calibri" w:hAnsi="Gadugi" w:cs="Times New Roman"/>
          <w:b/>
          <w:sz w:val="24"/>
          <w:szCs w:val="24"/>
          <w:lang w:val="es-CO"/>
        </w:rPr>
        <w:t>SALA CIVIL-FAMILIA</w:t>
      </w:r>
    </w:p>
    <w:p w14:paraId="5BF97F29" w14:textId="77777777" w:rsidR="00E91CEE" w:rsidRPr="00E91CEE" w:rsidRDefault="00E91CEE" w:rsidP="00AA4FB9">
      <w:pPr>
        <w:tabs>
          <w:tab w:val="center" w:pos="4419"/>
          <w:tab w:val="right" w:pos="8838"/>
        </w:tabs>
        <w:spacing w:after="0" w:line="276" w:lineRule="auto"/>
        <w:rPr>
          <w:rFonts w:ascii="Gadugi" w:eastAsia="Calibri" w:hAnsi="Gadugi" w:cs="Times New Roman"/>
          <w:sz w:val="24"/>
          <w:szCs w:val="24"/>
          <w:lang w:val="es-CO"/>
        </w:rPr>
      </w:pPr>
    </w:p>
    <w:p w14:paraId="6E98CD63" w14:textId="77777777" w:rsidR="00E91CEE" w:rsidRPr="00E91CEE" w:rsidRDefault="00E91CEE" w:rsidP="00AA4FB9">
      <w:pPr>
        <w:tabs>
          <w:tab w:val="left" w:pos="3828"/>
          <w:tab w:val="left" w:pos="3969"/>
        </w:tabs>
        <w:spacing w:after="0" w:line="276" w:lineRule="auto"/>
        <w:ind w:firstLine="1134"/>
        <w:rPr>
          <w:rFonts w:ascii="Gadugi" w:eastAsia="Malgun Gothic" w:hAnsi="Gadugi" w:cs="Estrangelo Edessa"/>
          <w:sz w:val="24"/>
          <w:szCs w:val="24"/>
          <w:lang w:val="es-CO"/>
        </w:rPr>
      </w:pPr>
      <w:r w:rsidRPr="00E91CEE">
        <w:rPr>
          <w:rFonts w:ascii="Gadugi" w:eastAsia="Malgun Gothic" w:hAnsi="Gadugi" w:cs="Estrangelo Edessa"/>
          <w:sz w:val="24"/>
          <w:szCs w:val="24"/>
          <w:lang w:val="es-CO"/>
        </w:rPr>
        <w:t xml:space="preserve">Magistrado: </w:t>
      </w:r>
      <w:r w:rsidRPr="00E91CEE">
        <w:rPr>
          <w:rFonts w:ascii="Gadugi" w:eastAsia="Malgun Gothic" w:hAnsi="Gadugi" w:cs="Estrangelo Edessa"/>
          <w:sz w:val="24"/>
          <w:szCs w:val="24"/>
          <w:lang w:val="es-CO"/>
        </w:rPr>
        <w:tab/>
      </w:r>
      <w:r w:rsidRPr="00E91CEE">
        <w:rPr>
          <w:rFonts w:ascii="Gadugi" w:eastAsia="Malgun Gothic" w:hAnsi="Gadugi" w:cs="Estrangelo Edessa"/>
          <w:b/>
          <w:sz w:val="24"/>
          <w:szCs w:val="24"/>
          <w:lang w:val="es-CO"/>
        </w:rPr>
        <w:t>Jaime Alberto Saraza Naranjo</w:t>
      </w:r>
    </w:p>
    <w:bookmarkEnd w:id="0"/>
    <w:p w14:paraId="60B77C1F" w14:textId="10044767" w:rsidR="007D622D" w:rsidRPr="00AA4FB9" w:rsidRDefault="00756044" w:rsidP="00AA4FB9">
      <w:pPr>
        <w:tabs>
          <w:tab w:val="left" w:pos="3828"/>
          <w:tab w:val="left" w:pos="3969"/>
        </w:tabs>
        <w:spacing w:after="0" w:line="276" w:lineRule="auto"/>
        <w:ind w:firstLine="1134"/>
        <w:rPr>
          <w:rFonts w:ascii="Gadugi" w:eastAsia="Malgun Gothic" w:hAnsi="Gadugi" w:cs="Estrangelo Edessa"/>
          <w:sz w:val="24"/>
          <w:szCs w:val="24"/>
          <w:lang w:val="es-CO"/>
        </w:rPr>
      </w:pPr>
      <w:r w:rsidRPr="00AA4FB9">
        <w:rPr>
          <w:rFonts w:ascii="Gadugi" w:eastAsia="Malgun Gothic" w:hAnsi="Gadugi" w:cs="Estrangelo Edessa"/>
          <w:sz w:val="24"/>
          <w:szCs w:val="24"/>
          <w:lang w:val="es-CO"/>
        </w:rPr>
        <w:t>Pereira,</w:t>
      </w:r>
      <w:r w:rsidR="007D622D" w:rsidRPr="00AA4FB9">
        <w:rPr>
          <w:rFonts w:ascii="Gadugi" w:eastAsia="Malgun Gothic" w:hAnsi="Gadugi" w:cs="Estrangelo Edessa"/>
          <w:sz w:val="24"/>
          <w:szCs w:val="24"/>
          <w:lang w:val="es-CO"/>
        </w:rPr>
        <w:tab/>
      </w:r>
      <w:r w:rsidR="00370465" w:rsidRPr="00AA4FB9">
        <w:rPr>
          <w:rFonts w:ascii="Gadugi" w:eastAsia="Malgun Gothic" w:hAnsi="Gadugi" w:cs="Estrangelo Edessa"/>
          <w:sz w:val="24"/>
          <w:szCs w:val="24"/>
          <w:lang w:val="es-CO"/>
        </w:rPr>
        <w:t>enero treinta y uno de dos mil veintitrés</w:t>
      </w:r>
    </w:p>
    <w:p w14:paraId="6C498CCE" w14:textId="6AA2B37C" w:rsidR="007F5F4C" w:rsidRPr="00AA4FB9" w:rsidRDefault="00422311" w:rsidP="00AA4FB9">
      <w:pPr>
        <w:tabs>
          <w:tab w:val="left" w:pos="3828"/>
          <w:tab w:val="left" w:pos="3969"/>
        </w:tabs>
        <w:spacing w:after="0" w:line="276" w:lineRule="auto"/>
        <w:ind w:firstLine="1134"/>
        <w:rPr>
          <w:rFonts w:ascii="Gadugi" w:eastAsia="Malgun Gothic" w:hAnsi="Gadugi" w:cs="Estrangelo Edessa"/>
          <w:sz w:val="24"/>
          <w:szCs w:val="24"/>
          <w:lang w:val="es-CO"/>
        </w:rPr>
      </w:pPr>
      <w:r w:rsidRPr="00AA4FB9">
        <w:rPr>
          <w:rFonts w:ascii="Gadugi" w:eastAsia="Malgun Gothic" w:hAnsi="Gadugi" w:cs="Estrangelo Edessa"/>
          <w:sz w:val="24"/>
          <w:szCs w:val="24"/>
          <w:lang w:val="es-CO"/>
        </w:rPr>
        <w:t>Acta</w:t>
      </w:r>
      <w:r w:rsidR="00E01B05" w:rsidRPr="00AA4FB9">
        <w:rPr>
          <w:rFonts w:ascii="Gadugi" w:eastAsia="Malgun Gothic" w:hAnsi="Gadugi" w:cs="Estrangelo Edessa"/>
          <w:sz w:val="24"/>
          <w:szCs w:val="24"/>
          <w:lang w:val="es-CO"/>
        </w:rPr>
        <w:t>:</w:t>
      </w:r>
      <w:r w:rsidR="007D622D" w:rsidRPr="00AA4FB9">
        <w:rPr>
          <w:rFonts w:ascii="Gadugi" w:eastAsia="Malgun Gothic" w:hAnsi="Gadugi" w:cs="Estrangelo Edessa"/>
          <w:sz w:val="24"/>
          <w:szCs w:val="24"/>
          <w:lang w:val="es-CO"/>
        </w:rPr>
        <w:tab/>
      </w:r>
      <w:r w:rsidR="00370465" w:rsidRPr="00AA4FB9">
        <w:rPr>
          <w:rFonts w:ascii="Gadugi" w:eastAsia="Malgun Gothic" w:hAnsi="Gadugi" w:cs="Estrangelo Edessa"/>
          <w:sz w:val="24"/>
          <w:szCs w:val="24"/>
          <w:lang w:val="es-CO"/>
        </w:rPr>
        <w:t>029 del</w:t>
      </w:r>
      <w:r w:rsidR="00643EBF" w:rsidRPr="00AA4FB9">
        <w:rPr>
          <w:rFonts w:ascii="Gadugi" w:eastAsia="Malgun Gothic" w:hAnsi="Gadugi" w:cs="Estrangelo Edessa"/>
          <w:sz w:val="24"/>
          <w:szCs w:val="24"/>
          <w:lang w:val="es-CO"/>
        </w:rPr>
        <w:t xml:space="preserve"> </w:t>
      </w:r>
      <w:r w:rsidR="00370465" w:rsidRPr="00AA4FB9">
        <w:rPr>
          <w:rFonts w:ascii="Gadugi" w:eastAsia="Malgun Gothic" w:hAnsi="Gadugi" w:cs="Estrangelo Edessa"/>
          <w:sz w:val="24"/>
          <w:szCs w:val="24"/>
          <w:lang w:val="es-CO"/>
        </w:rPr>
        <w:t>31 de enero de 2023</w:t>
      </w:r>
      <w:r w:rsidR="00B71BD7" w:rsidRPr="00AA4FB9">
        <w:rPr>
          <w:rFonts w:ascii="Gadugi" w:eastAsia="Malgun Gothic" w:hAnsi="Gadugi" w:cs="Estrangelo Edessa"/>
          <w:sz w:val="24"/>
          <w:szCs w:val="24"/>
          <w:lang w:val="es-CO"/>
        </w:rPr>
        <w:tab/>
      </w:r>
      <w:r w:rsidR="00C1558F" w:rsidRPr="00AA4FB9">
        <w:rPr>
          <w:rFonts w:ascii="Gadugi" w:eastAsia="Malgun Gothic" w:hAnsi="Gadugi" w:cs="Estrangelo Edessa"/>
          <w:sz w:val="24"/>
          <w:szCs w:val="24"/>
          <w:lang w:val="es-CO"/>
        </w:rPr>
        <w:t xml:space="preserve"> </w:t>
      </w:r>
    </w:p>
    <w:p w14:paraId="36D873CF" w14:textId="7ECC8A1D" w:rsidR="00422311" w:rsidRPr="00AA4FB9" w:rsidRDefault="00422311" w:rsidP="00AA4FB9">
      <w:pPr>
        <w:tabs>
          <w:tab w:val="left" w:pos="3828"/>
          <w:tab w:val="left" w:pos="3969"/>
        </w:tabs>
        <w:spacing w:after="0" w:line="276" w:lineRule="auto"/>
        <w:ind w:firstLine="1134"/>
        <w:rPr>
          <w:rFonts w:ascii="Gadugi" w:eastAsia="Malgun Gothic" w:hAnsi="Gadugi" w:cs="Estrangelo Edessa"/>
          <w:sz w:val="24"/>
          <w:szCs w:val="24"/>
          <w:lang w:val="es-CO"/>
        </w:rPr>
      </w:pPr>
      <w:r w:rsidRPr="00AA4FB9">
        <w:rPr>
          <w:rFonts w:ascii="Gadugi" w:eastAsia="Malgun Gothic" w:hAnsi="Gadugi" w:cs="Estrangelo Edessa"/>
          <w:sz w:val="24"/>
          <w:szCs w:val="24"/>
          <w:lang w:val="es-CO"/>
        </w:rPr>
        <w:t>Sentencia</w:t>
      </w:r>
      <w:r w:rsidR="00E01B05" w:rsidRPr="00AA4FB9">
        <w:rPr>
          <w:rFonts w:ascii="Gadugi" w:eastAsia="Malgun Gothic" w:hAnsi="Gadugi" w:cs="Estrangelo Edessa"/>
          <w:sz w:val="24"/>
          <w:szCs w:val="24"/>
          <w:lang w:val="es-CO"/>
        </w:rPr>
        <w:t>:</w:t>
      </w:r>
      <w:r w:rsidR="00370465" w:rsidRPr="00AA4FB9">
        <w:rPr>
          <w:rFonts w:ascii="Gadugi" w:eastAsia="Malgun Gothic" w:hAnsi="Gadugi" w:cs="Estrangelo Edessa"/>
          <w:sz w:val="24"/>
          <w:szCs w:val="24"/>
          <w:lang w:val="es-CO"/>
        </w:rPr>
        <w:t xml:space="preserve"> </w:t>
      </w:r>
      <w:r w:rsidR="007D622D" w:rsidRPr="00AA4FB9">
        <w:rPr>
          <w:rFonts w:ascii="Gadugi" w:eastAsia="Malgun Gothic" w:hAnsi="Gadugi" w:cs="Estrangelo Edessa"/>
          <w:sz w:val="24"/>
          <w:szCs w:val="24"/>
          <w:lang w:val="es-CO"/>
        </w:rPr>
        <w:tab/>
      </w:r>
      <w:r w:rsidR="00370465" w:rsidRPr="00AA4FB9">
        <w:rPr>
          <w:rFonts w:ascii="Gadugi" w:eastAsia="Malgun Gothic" w:hAnsi="Gadugi" w:cs="Estrangelo Edessa"/>
          <w:sz w:val="24"/>
          <w:szCs w:val="24"/>
          <w:lang w:val="es-CO"/>
        </w:rPr>
        <w:t>ST2-0017-2023</w:t>
      </w:r>
    </w:p>
    <w:p w14:paraId="28DF98C7" w14:textId="169990AC" w:rsidR="00756044" w:rsidRDefault="00756044" w:rsidP="00AA4FB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1C4FE29D" w14:textId="77777777" w:rsidR="00734D95" w:rsidRPr="00AA4FB9" w:rsidRDefault="00734D95" w:rsidP="00AA4FB9">
      <w:pPr>
        <w:overflowPunct w:val="0"/>
        <w:autoSpaceDE w:val="0"/>
        <w:autoSpaceDN w:val="0"/>
        <w:adjustRightInd w:val="0"/>
        <w:spacing w:after="0" w:line="276" w:lineRule="auto"/>
        <w:jc w:val="both"/>
        <w:textAlignment w:val="baseline"/>
        <w:rPr>
          <w:rFonts w:ascii="Gadugi" w:eastAsia="Times New Roman" w:hAnsi="Gadugi" w:cs="Times New Roman"/>
          <w:sz w:val="24"/>
          <w:szCs w:val="24"/>
          <w:lang w:val="es-ES" w:eastAsia="es-ES"/>
        </w:rPr>
      </w:pPr>
    </w:p>
    <w:p w14:paraId="4133F627" w14:textId="02C7B1FA" w:rsidR="00FA2B3E" w:rsidRPr="00561F25" w:rsidRDefault="00756044" w:rsidP="00AA4FB9">
      <w:pPr>
        <w:overflowPunct w:val="0"/>
        <w:autoSpaceDE w:val="0"/>
        <w:autoSpaceDN w:val="0"/>
        <w:adjustRightInd w:val="0"/>
        <w:spacing w:after="0" w:line="276" w:lineRule="auto"/>
        <w:jc w:val="both"/>
        <w:textAlignment w:val="baseline"/>
        <w:rPr>
          <w:rFonts w:ascii="Gadugi" w:eastAsia="Times New Roman" w:hAnsi="Gadugi" w:cs="Arial"/>
          <w:b/>
          <w:bCs/>
          <w:spacing w:val="-4"/>
          <w:sz w:val="24"/>
          <w:szCs w:val="24"/>
          <w:lang w:val="es-ES" w:eastAsia="es-ES"/>
        </w:rPr>
      </w:pPr>
      <w:r w:rsidRPr="00561F25">
        <w:rPr>
          <w:rFonts w:ascii="Gadugi" w:eastAsia="Times New Roman" w:hAnsi="Gadugi" w:cs="Arial"/>
          <w:spacing w:val="-4"/>
          <w:sz w:val="24"/>
          <w:szCs w:val="24"/>
          <w:lang w:val="es-ES" w:eastAsia="es-ES"/>
        </w:rPr>
        <w:t xml:space="preserve">Procede la Sala a decidir la </w:t>
      </w:r>
      <w:r w:rsidRPr="00561F25">
        <w:rPr>
          <w:rFonts w:ascii="Gadugi" w:eastAsia="Times New Roman" w:hAnsi="Gadugi" w:cs="Arial"/>
          <w:spacing w:val="-4"/>
          <w:sz w:val="24"/>
          <w:szCs w:val="24"/>
          <w:lang w:val="es-419" w:eastAsia="es-ES"/>
        </w:rPr>
        <w:t xml:space="preserve">impugnación propuesta por </w:t>
      </w:r>
      <w:r w:rsidR="00B844BD" w:rsidRPr="00561F25">
        <w:rPr>
          <w:rFonts w:ascii="Gadugi" w:eastAsia="Times New Roman" w:hAnsi="Gadugi" w:cs="Arial"/>
          <w:spacing w:val="-4"/>
          <w:sz w:val="24"/>
          <w:szCs w:val="24"/>
          <w:lang w:val="es-419" w:eastAsia="es-ES"/>
        </w:rPr>
        <w:t>el accionante</w:t>
      </w:r>
      <w:r w:rsidRPr="00561F25">
        <w:rPr>
          <w:rFonts w:ascii="Gadugi" w:eastAsia="Times New Roman" w:hAnsi="Gadugi" w:cs="Arial"/>
          <w:spacing w:val="-4"/>
          <w:sz w:val="24"/>
          <w:szCs w:val="24"/>
          <w:lang w:val="es-419" w:eastAsia="es-ES"/>
        </w:rPr>
        <w:t xml:space="preserve"> contra la sentencia del </w:t>
      </w:r>
      <w:r w:rsidR="00F7166B" w:rsidRPr="00561F25">
        <w:rPr>
          <w:rFonts w:ascii="Gadugi" w:eastAsia="Times New Roman" w:hAnsi="Gadugi" w:cs="Arial"/>
          <w:spacing w:val="-4"/>
          <w:sz w:val="24"/>
          <w:szCs w:val="24"/>
          <w:lang w:val="es-419" w:eastAsia="es-ES"/>
        </w:rPr>
        <w:t>30</w:t>
      </w:r>
      <w:r w:rsidR="00F43CD2" w:rsidRPr="00561F25">
        <w:rPr>
          <w:rFonts w:ascii="Gadugi" w:eastAsia="Times New Roman" w:hAnsi="Gadugi" w:cs="Arial"/>
          <w:spacing w:val="-4"/>
          <w:sz w:val="24"/>
          <w:szCs w:val="24"/>
          <w:lang w:val="es-419" w:eastAsia="es-ES"/>
        </w:rPr>
        <w:t xml:space="preserve"> de </w:t>
      </w:r>
      <w:r w:rsidR="00F7166B" w:rsidRPr="00561F25">
        <w:rPr>
          <w:rFonts w:ascii="Gadugi" w:eastAsia="Times New Roman" w:hAnsi="Gadugi" w:cs="Arial"/>
          <w:spacing w:val="-4"/>
          <w:sz w:val="24"/>
          <w:szCs w:val="24"/>
          <w:lang w:val="es-419" w:eastAsia="es-ES"/>
        </w:rPr>
        <w:t>noviembre</w:t>
      </w:r>
      <w:r w:rsidR="00E44B84" w:rsidRPr="00561F25">
        <w:rPr>
          <w:rFonts w:ascii="Gadugi" w:eastAsia="Times New Roman" w:hAnsi="Gadugi" w:cs="Arial"/>
          <w:spacing w:val="-4"/>
          <w:sz w:val="24"/>
          <w:szCs w:val="24"/>
          <w:lang w:val="es-419" w:eastAsia="es-ES"/>
        </w:rPr>
        <w:t xml:space="preserve"> de 202</w:t>
      </w:r>
      <w:r w:rsidR="001865F5" w:rsidRPr="00561F25">
        <w:rPr>
          <w:rFonts w:ascii="Gadugi" w:eastAsia="Times New Roman" w:hAnsi="Gadugi" w:cs="Arial"/>
          <w:spacing w:val="-4"/>
          <w:sz w:val="24"/>
          <w:szCs w:val="24"/>
          <w:lang w:val="es-419" w:eastAsia="es-ES"/>
        </w:rPr>
        <w:t>2</w:t>
      </w:r>
      <w:r w:rsidRPr="00561F25">
        <w:rPr>
          <w:rFonts w:ascii="Gadugi" w:eastAsia="Times New Roman" w:hAnsi="Gadugi" w:cs="Arial"/>
          <w:spacing w:val="-4"/>
          <w:sz w:val="24"/>
          <w:szCs w:val="24"/>
          <w:lang w:val="es-CO" w:eastAsia="es-ES"/>
        </w:rPr>
        <w:t>,</w:t>
      </w:r>
      <w:r w:rsidRPr="00561F25">
        <w:rPr>
          <w:rFonts w:ascii="Gadugi" w:eastAsia="Times New Roman" w:hAnsi="Gadugi" w:cs="Arial"/>
          <w:spacing w:val="-4"/>
          <w:sz w:val="24"/>
          <w:szCs w:val="24"/>
          <w:lang w:val="es-419" w:eastAsia="es-ES"/>
        </w:rPr>
        <w:t xml:space="preserve"> proferida por el </w:t>
      </w:r>
      <w:r w:rsidR="00F43CD2" w:rsidRPr="00561F25">
        <w:rPr>
          <w:rFonts w:ascii="Gadugi" w:hAnsi="Gadugi" w:cs="Arial"/>
          <w:spacing w:val="-4"/>
          <w:sz w:val="24"/>
          <w:szCs w:val="24"/>
          <w:lang w:val="es-419"/>
        </w:rPr>
        <w:t>Juzgado</w:t>
      </w:r>
      <w:r w:rsidR="00EC1754" w:rsidRPr="00561F25">
        <w:rPr>
          <w:rFonts w:ascii="Gadugi" w:hAnsi="Gadugi" w:cs="Arial"/>
          <w:spacing w:val="-4"/>
          <w:sz w:val="24"/>
          <w:szCs w:val="24"/>
          <w:lang w:val="es-CO"/>
        </w:rPr>
        <w:t xml:space="preserve"> </w:t>
      </w:r>
      <w:r w:rsidR="00F7166B" w:rsidRPr="00561F25">
        <w:rPr>
          <w:rFonts w:ascii="Gadugi" w:hAnsi="Gadugi" w:cs="Arial"/>
          <w:spacing w:val="-4"/>
          <w:sz w:val="24"/>
          <w:szCs w:val="24"/>
          <w:lang w:val="es-CO"/>
        </w:rPr>
        <w:t>Tercero de Familia</w:t>
      </w:r>
      <w:r w:rsidR="001865F5" w:rsidRPr="00561F25">
        <w:rPr>
          <w:rFonts w:ascii="Gadugi" w:hAnsi="Gadugi" w:cs="Arial"/>
          <w:spacing w:val="-4"/>
          <w:sz w:val="24"/>
          <w:szCs w:val="24"/>
          <w:lang w:val="es-CO"/>
        </w:rPr>
        <w:t xml:space="preserve"> de </w:t>
      </w:r>
      <w:r w:rsidR="00C1558F" w:rsidRPr="00561F25">
        <w:rPr>
          <w:rFonts w:ascii="Gadugi" w:hAnsi="Gadugi" w:cs="Arial"/>
          <w:spacing w:val="-4"/>
          <w:sz w:val="24"/>
          <w:szCs w:val="24"/>
          <w:lang w:val="es-CO"/>
        </w:rPr>
        <w:t>Pereira</w:t>
      </w:r>
      <w:r w:rsidRPr="00561F25">
        <w:rPr>
          <w:rFonts w:ascii="Gadugi" w:eastAsia="Times New Roman" w:hAnsi="Gadugi" w:cs="Arial"/>
          <w:spacing w:val="-4"/>
          <w:sz w:val="24"/>
          <w:szCs w:val="24"/>
          <w:lang w:val="es-419" w:eastAsia="es-ES"/>
        </w:rPr>
        <w:t xml:space="preserve">, en esta </w:t>
      </w:r>
      <w:r w:rsidRPr="00561F25">
        <w:rPr>
          <w:rFonts w:ascii="Gadugi" w:eastAsia="Times New Roman" w:hAnsi="Gadugi" w:cs="Arial"/>
          <w:b/>
          <w:spacing w:val="-4"/>
          <w:sz w:val="24"/>
          <w:szCs w:val="24"/>
          <w:lang w:val="es-ES" w:eastAsia="es-ES"/>
        </w:rPr>
        <w:t>acción de tutela</w:t>
      </w:r>
      <w:r w:rsidRPr="00561F25">
        <w:rPr>
          <w:rFonts w:ascii="Gadugi" w:eastAsia="Times New Roman" w:hAnsi="Gadugi" w:cs="Arial"/>
          <w:spacing w:val="-4"/>
          <w:sz w:val="24"/>
          <w:szCs w:val="24"/>
          <w:lang w:val="es-ES" w:eastAsia="es-ES"/>
        </w:rPr>
        <w:t xml:space="preserve"> que </w:t>
      </w:r>
      <w:r w:rsidR="00F7166B" w:rsidRPr="00561F25">
        <w:rPr>
          <w:rFonts w:ascii="Gadugi" w:eastAsia="Times New Roman" w:hAnsi="Gadugi" w:cs="Arial"/>
          <w:b/>
          <w:bCs/>
          <w:spacing w:val="-4"/>
          <w:sz w:val="24"/>
          <w:szCs w:val="24"/>
          <w:lang w:val="es-ES" w:eastAsia="es-ES"/>
        </w:rPr>
        <w:t>C</w:t>
      </w:r>
      <w:r w:rsidR="00370465" w:rsidRPr="00561F25">
        <w:rPr>
          <w:rFonts w:ascii="Gadugi" w:eastAsia="Times New Roman" w:hAnsi="Gadugi" w:cs="Arial"/>
          <w:b/>
          <w:bCs/>
          <w:spacing w:val="-4"/>
          <w:sz w:val="24"/>
          <w:szCs w:val="24"/>
          <w:lang w:val="es-ES" w:eastAsia="es-ES"/>
        </w:rPr>
        <w:t>é</w:t>
      </w:r>
      <w:r w:rsidR="00F7166B" w:rsidRPr="00561F25">
        <w:rPr>
          <w:rFonts w:ascii="Gadugi" w:eastAsia="Times New Roman" w:hAnsi="Gadugi" w:cs="Arial"/>
          <w:b/>
          <w:bCs/>
          <w:spacing w:val="-4"/>
          <w:sz w:val="24"/>
          <w:szCs w:val="24"/>
          <w:lang w:val="es-ES" w:eastAsia="es-ES"/>
        </w:rPr>
        <w:t>sar Cardona Castrillón</w:t>
      </w:r>
      <w:r w:rsidR="00FA2B3E" w:rsidRPr="00561F25">
        <w:rPr>
          <w:rFonts w:ascii="Gadugi" w:eastAsia="Times New Roman" w:hAnsi="Gadugi" w:cs="Arial"/>
          <w:b/>
          <w:bCs/>
          <w:spacing w:val="-4"/>
          <w:sz w:val="24"/>
          <w:szCs w:val="24"/>
          <w:lang w:val="es-ES" w:eastAsia="es-ES"/>
        </w:rPr>
        <w:t xml:space="preserve"> </w:t>
      </w:r>
      <w:r w:rsidRPr="00561F25">
        <w:rPr>
          <w:rFonts w:ascii="Gadugi" w:eastAsia="Times New Roman" w:hAnsi="Gadugi" w:cs="Arial"/>
          <w:spacing w:val="-4"/>
          <w:sz w:val="24"/>
          <w:szCs w:val="24"/>
          <w:lang w:val="es-ES" w:eastAsia="es-ES"/>
        </w:rPr>
        <w:t xml:space="preserve">promovió </w:t>
      </w:r>
      <w:r w:rsidRPr="00561F25">
        <w:rPr>
          <w:rFonts w:ascii="Gadugi" w:eastAsia="Times New Roman" w:hAnsi="Gadugi" w:cs="Arial"/>
          <w:spacing w:val="-4"/>
          <w:sz w:val="24"/>
          <w:szCs w:val="24"/>
          <w:lang w:val="es-419" w:eastAsia="es-ES"/>
        </w:rPr>
        <w:t xml:space="preserve">frente a </w:t>
      </w:r>
      <w:r w:rsidR="00F7166B" w:rsidRPr="00561F25">
        <w:rPr>
          <w:rFonts w:ascii="Gadugi" w:eastAsia="Times New Roman" w:hAnsi="Gadugi" w:cs="Arial"/>
          <w:b/>
          <w:bCs/>
          <w:spacing w:val="-4"/>
          <w:sz w:val="24"/>
          <w:szCs w:val="24"/>
          <w:lang w:val="es-ES" w:eastAsia="es-ES"/>
        </w:rPr>
        <w:t xml:space="preserve">Colpensiones </w:t>
      </w:r>
      <w:r w:rsidR="00F7166B" w:rsidRPr="00561F25">
        <w:rPr>
          <w:rFonts w:ascii="Gadugi" w:eastAsia="Times New Roman" w:hAnsi="Gadugi" w:cs="Arial"/>
          <w:spacing w:val="-4"/>
          <w:sz w:val="24"/>
          <w:szCs w:val="24"/>
          <w:lang w:val="es-ES" w:eastAsia="es-ES"/>
        </w:rPr>
        <w:t xml:space="preserve">y a la que fue vinculada </w:t>
      </w:r>
      <w:r w:rsidR="00BF5426" w:rsidRPr="00561F25">
        <w:rPr>
          <w:rFonts w:ascii="Gadugi" w:eastAsia="Times New Roman" w:hAnsi="Gadugi" w:cs="Arial"/>
          <w:spacing w:val="-4"/>
          <w:sz w:val="24"/>
          <w:szCs w:val="24"/>
          <w:lang w:val="es-ES" w:eastAsia="es-ES"/>
        </w:rPr>
        <w:t>P</w:t>
      </w:r>
      <w:r w:rsidR="00F7166B" w:rsidRPr="00561F25">
        <w:rPr>
          <w:rFonts w:ascii="Gadugi" w:eastAsia="Times New Roman" w:hAnsi="Gadugi" w:cs="Arial"/>
          <w:spacing w:val="-4"/>
          <w:sz w:val="24"/>
          <w:szCs w:val="24"/>
          <w:lang w:val="es-ES" w:eastAsia="es-ES"/>
        </w:rPr>
        <w:t>rotección</w:t>
      </w:r>
      <w:r w:rsidR="00BF5426" w:rsidRPr="00561F25">
        <w:rPr>
          <w:rFonts w:ascii="Gadugi" w:eastAsia="Times New Roman" w:hAnsi="Gadugi" w:cs="Arial"/>
          <w:spacing w:val="-4"/>
          <w:sz w:val="24"/>
          <w:szCs w:val="24"/>
          <w:lang w:val="es-ES" w:eastAsia="es-ES"/>
        </w:rPr>
        <w:t xml:space="preserve"> S.A</w:t>
      </w:r>
      <w:r w:rsidR="00F7166B" w:rsidRPr="00561F25">
        <w:rPr>
          <w:rFonts w:ascii="Gadugi" w:eastAsia="Times New Roman" w:hAnsi="Gadugi" w:cs="Arial"/>
          <w:spacing w:val="-4"/>
          <w:sz w:val="24"/>
          <w:szCs w:val="24"/>
          <w:lang w:val="es-ES" w:eastAsia="es-ES"/>
        </w:rPr>
        <w:t xml:space="preserve">. </w:t>
      </w:r>
      <w:r w:rsidRPr="00561F25">
        <w:rPr>
          <w:rFonts w:ascii="Gadugi" w:hAnsi="Gadugi"/>
          <w:spacing w:val="-4"/>
          <w:sz w:val="24"/>
          <w:szCs w:val="24"/>
        </w:rPr>
        <w:tab/>
      </w:r>
    </w:p>
    <w:p w14:paraId="1BC3FA8D" w14:textId="190C66BA" w:rsidR="00756044" w:rsidRPr="00561F25" w:rsidRDefault="00F7166B" w:rsidP="00AA4FB9">
      <w:pPr>
        <w:overflowPunct w:val="0"/>
        <w:autoSpaceDE w:val="0"/>
        <w:autoSpaceDN w:val="0"/>
        <w:adjustRightInd w:val="0"/>
        <w:spacing w:after="0" w:line="276" w:lineRule="auto"/>
        <w:jc w:val="both"/>
        <w:textAlignment w:val="baseline"/>
        <w:rPr>
          <w:rFonts w:ascii="Gadugi" w:eastAsia="Times New Roman" w:hAnsi="Gadugi" w:cs="Arial"/>
          <w:b/>
          <w:bCs/>
          <w:spacing w:val="-4"/>
          <w:sz w:val="24"/>
          <w:szCs w:val="24"/>
          <w:lang w:val="es-ES" w:eastAsia="es-ES"/>
        </w:rPr>
      </w:pPr>
      <w:r w:rsidRPr="00561F25">
        <w:rPr>
          <w:rFonts w:ascii="Gadugi" w:eastAsia="Times New Roman" w:hAnsi="Gadugi" w:cs="Arial"/>
          <w:b/>
          <w:bCs/>
          <w:spacing w:val="-4"/>
          <w:sz w:val="24"/>
          <w:szCs w:val="24"/>
          <w:lang w:val="es-ES" w:eastAsia="es-ES"/>
        </w:rPr>
        <w:t xml:space="preserve">  </w:t>
      </w:r>
      <w:r w:rsidR="00370465" w:rsidRPr="00561F25">
        <w:rPr>
          <w:rFonts w:ascii="Gadugi" w:eastAsia="Times New Roman" w:hAnsi="Gadugi" w:cs="Arial"/>
          <w:b/>
          <w:bCs/>
          <w:spacing w:val="-4"/>
          <w:sz w:val="24"/>
          <w:szCs w:val="24"/>
          <w:lang w:val="es-ES" w:eastAsia="es-ES"/>
        </w:rPr>
        <w:tab/>
      </w:r>
      <w:r w:rsidR="00370465" w:rsidRPr="00561F25">
        <w:rPr>
          <w:rFonts w:ascii="Gadugi" w:eastAsia="Times New Roman" w:hAnsi="Gadugi" w:cs="Arial"/>
          <w:b/>
          <w:bCs/>
          <w:spacing w:val="-4"/>
          <w:sz w:val="24"/>
          <w:szCs w:val="24"/>
          <w:lang w:val="es-ES" w:eastAsia="es-ES"/>
        </w:rPr>
        <w:tab/>
      </w:r>
      <w:r w:rsidR="00756044" w:rsidRPr="00561F25">
        <w:rPr>
          <w:rFonts w:ascii="Gadugi" w:eastAsia="Times New Roman" w:hAnsi="Gadugi" w:cs="Arial"/>
          <w:b/>
          <w:bCs/>
          <w:spacing w:val="-4"/>
          <w:sz w:val="24"/>
          <w:szCs w:val="24"/>
          <w:lang w:val="es-ES" w:eastAsia="es-ES"/>
        </w:rPr>
        <w:tab/>
      </w:r>
      <w:r w:rsidR="00756044" w:rsidRPr="00561F25">
        <w:rPr>
          <w:rFonts w:ascii="Gadugi" w:eastAsia="Times New Roman" w:hAnsi="Gadugi" w:cs="Arial"/>
          <w:b/>
          <w:bCs/>
          <w:spacing w:val="-4"/>
          <w:sz w:val="24"/>
          <w:szCs w:val="24"/>
          <w:lang w:val="es-ES" w:eastAsia="es-ES"/>
        </w:rPr>
        <w:tab/>
      </w:r>
      <w:r w:rsidRPr="00561F25">
        <w:rPr>
          <w:rFonts w:ascii="Gadugi" w:eastAsia="Times New Roman" w:hAnsi="Gadugi" w:cs="Arial"/>
          <w:b/>
          <w:bCs/>
          <w:spacing w:val="-4"/>
          <w:sz w:val="24"/>
          <w:szCs w:val="24"/>
          <w:lang w:val="es-ES" w:eastAsia="es-ES"/>
        </w:rPr>
        <w:t xml:space="preserve"> </w:t>
      </w:r>
    </w:p>
    <w:p w14:paraId="486FC1D2" w14:textId="4CE609BE" w:rsidR="00756044" w:rsidRPr="00561F25" w:rsidRDefault="007F5F4C" w:rsidP="00AA4FB9">
      <w:pPr>
        <w:overflowPunct w:val="0"/>
        <w:autoSpaceDE w:val="0"/>
        <w:autoSpaceDN w:val="0"/>
        <w:adjustRightInd w:val="0"/>
        <w:spacing w:after="0" w:line="276" w:lineRule="auto"/>
        <w:textAlignment w:val="baseline"/>
        <w:rPr>
          <w:rFonts w:ascii="Gadugi" w:eastAsia="Times New Roman" w:hAnsi="Gadugi" w:cs="Arial"/>
          <w:spacing w:val="-4"/>
          <w:sz w:val="24"/>
          <w:szCs w:val="24"/>
          <w:lang w:val="es-ES" w:eastAsia="es-ES"/>
        </w:rPr>
      </w:pPr>
      <w:r w:rsidRPr="00561F25">
        <w:rPr>
          <w:rFonts w:ascii="Gadugi" w:eastAsia="Times New Roman" w:hAnsi="Gadugi" w:cs="Arial"/>
          <w:b/>
          <w:bCs/>
          <w:spacing w:val="-4"/>
          <w:sz w:val="24"/>
          <w:szCs w:val="24"/>
          <w:lang w:val="es-ES" w:eastAsia="es-ES"/>
        </w:rPr>
        <w:t xml:space="preserve">1. </w:t>
      </w:r>
      <w:r w:rsidR="00756044" w:rsidRPr="00561F25">
        <w:rPr>
          <w:rFonts w:ascii="Gadugi" w:eastAsia="Times New Roman" w:hAnsi="Gadugi" w:cs="Arial"/>
          <w:b/>
          <w:bCs/>
          <w:spacing w:val="-4"/>
          <w:sz w:val="24"/>
          <w:szCs w:val="24"/>
          <w:lang w:val="es-ES" w:eastAsia="es-ES"/>
        </w:rPr>
        <w:t>ANTECEDENTES</w:t>
      </w:r>
    </w:p>
    <w:p w14:paraId="71AF52D6" w14:textId="0BCD9CEE" w:rsidR="00756044" w:rsidRPr="00561F25" w:rsidRDefault="00F7166B"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ES" w:eastAsia="es-ES"/>
        </w:rPr>
      </w:pPr>
      <w:r w:rsidRPr="00561F25">
        <w:rPr>
          <w:rFonts w:ascii="Gadugi" w:eastAsia="Times New Roman" w:hAnsi="Gadugi" w:cs="Arial"/>
          <w:spacing w:val="-4"/>
          <w:sz w:val="24"/>
          <w:szCs w:val="24"/>
          <w:lang w:val="es-ES" w:eastAsia="es-ES"/>
        </w:rPr>
        <w:lastRenderedPageBreak/>
        <w:t xml:space="preserve"> </w:t>
      </w:r>
      <w:r w:rsidR="00E44B84" w:rsidRPr="00561F25">
        <w:rPr>
          <w:rFonts w:ascii="Gadugi" w:eastAsia="Times New Roman" w:hAnsi="Gadugi" w:cs="Arial"/>
          <w:spacing w:val="-4"/>
          <w:sz w:val="24"/>
          <w:szCs w:val="24"/>
          <w:lang w:val="es-ES" w:eastAsia="es-ES"/>
        </w:rPr>
        <w:tab/>
      </w:r>
      <w:r w:rsidR="00E44B84" w:rsidRPr="00561F25">
        <w:rPr>
          <w:rFonts w:ascii="Gadugi" w:eastAsia="Times New Roman" w:hAnsi="Gadugi" w:cs="Arial"/>
          <w:spacing w:val="-4"/>
          <w:sz w:val="24"/>
          <w:szCs w:val="24"/>
          <w:lang w:val="es-ES" w:eastAsia="es-ES"/>
        </w:rPr>
        <w:tab/>
      </w:r>
      <w:r w:rsidR="00E44B84" w:rsidRPr="00561F25">
        <w:rPr>
          <w:rFonts w:ascii="Gadugi" w:eastAsia="Times New Roman" w:hAnsi="Gadugi" w:cs="Arial"/>
          <w:spacing w:val="-4"/>
          <w:sz w:val="24"/>
          <w:szCs w:val="24"/>
          <w:lang w:val="es-ES" w:eastAsia="es-ES"/>
        </w:rPr>
        <w:tab/>
      </w:r>
      <w:r w:rsidR="00370465" w:rsidRPr="00561F25">
        <w:rPr>
          <w:rFonts w:ascii="Gadugi" w:eastAsia="Times New Roman" w:hAnsi="Gadugi" w:cs="Arial"/>
          <w:spacing w:val="-4"/>
          <w:sz w:val="24"/>
          <w:szCs w:val="24"/>
          <w:lang w:val="es-ES" w:eastAsia="es-ES"/>
        </w:rPr>
        <w:tab/>
      </w:r>
    </w:p>
    <w:p w14:paraId="6A75EEDA" w14:textId="6F28B6AC" w:rsidR="00BF5426" w:rsidRPr="00561F25" w:rsidRDefault="007F5F4C"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561F25">
        <w:rPr>
          <w:rFonts w:ascii="Gadugi" w:eastAsia="Times New Roman" w:hAnsi="Gadugi" w:cs="Arial"/>
          <w:spacing w:val="-4"/>
          <w:sz w:val="24"/>
          <w:szCs w:val="24"/>
          <w:lang w:val="es-419" w:eastAsia="es-ES"/>
        </w:rPr>
        <w:t xml:space="preserve">1.1. </w:t>
      </w:r>
      <w:r w:rsidR="00BF5426" w:rsidRPr="00561F25">
        <w:rPr>
          <w:rFonts w:ascii="Gadugi" w:eastAsia="Times New Roman" w:hAnsi="Gadugi" w:cs="Arial"/>
          <w:spacing w:val="-4"/>
          <w:sz w:val="24"/>
          <w:szCs w:val="24"/>
          <w:lang w:val="es-419" w:eastAsia="es-ES"/>
        </w:rPr>
        <w:t>Se explicó en la demanda que</w:t>
      </w:r>
      <w:r w:rsidR="00032AEA" w:rsidRPr="00561F25">
        <w:rPr>
          <w:rFonts w:ascii="Gadugi" w:eastAsia="Times New Roman" w:hAnsi="Gadugi" w:cs="Arial"/>
          <w:spacing w:val="-4"/>
          <w:sz w:val="24"/>
          <w:szCs w:val="24"/>
          <w:lang w:val="es-419" w:eastAsia="es-ES"/>
        </w:rPr>
        <w:t>,</w:t>
      </w:r>
      <w:r w:rsidR="00BF5426" w:rsidRPr="00561F25">
        <w:rPr>
          <w:rFonts w:ascii="Gadugi" w:eastAsia="Times New Roman" w:hAnsi="Gadugi" w:cs="Arial"/>
          <w:spacing w:val="-4"/>
          <w:sz w:val="24"/>
          <w:szCs w:val="24"/>
          <w:lang w:val="es-419" w:eastAsia="es-ES"/>
        </w:rPr>
        <w:t xml:space="preserve"> mediante sentencia del 28 de marzo de 2022, la Sala Laboral de este Tribunal confirmó un fallo de primera instancia emitido por el Juzgado Segundo Laboral del Circuito de Pereira, en el cual se declaró que el señor Cardona Castrillón tiene el derecho a retornar al régimen de prima media </w:t>
      </w:r>
      <w:r w:rsidR="00317613" w:rsidRPr="00561F25">
        <w:rPr>
          <w:rFonts w:ascii="Gadugi" w:eastAsia="Times New Roman" w:hAnsi="Gadugi" w:cs="Arial"/>
          <w:spacing w:val="-4"/>
          <w:sz w:val="24"/>
          <w:szCs w:val="24"/>
          <w:lang w:val="es-419" w:eastAsia="es-ES"/>
        </w:rPr>
        <w:t>con</w:t>
      </w:r>
      <w:r w:rsidR="00BF5426" w:rsidRPr="00561F25">
        <w:rPr>
          <w:rFonts w:ascii="Gadugi" w:eastAsia="Times New Roman" w:hAnsi="Gadugi" w:cs="Arial"/>
          <w:spacing w:val="-4"/>
          <w:sz w:val="24"/>
          <w:szCs w:val="24"/>
          <w:lang w:val="es-419" w:eastAsia="es-ES"/>
        </w:rPr>
        <w:t xml:space="preserve"> prestación definida, y por ello, se le ordenó a Protección S.A., trasladar a Colpensiones todos los aportes del afiliado. </w:t>
      </w:r>
    </w:p>
    <w:p w14:paraId="03519A70" w14:textId="02E92CBE" w:rsidR="00BF5426" w:rsidRPr="00561F25" w:rsidRDefault="00BF5426"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18B52576" w14:textId="5B9A78EA" w:rsidR="00E45260" w:rsidRPr="00561F25" w:rsidRDefault="00BF5426"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561F25">
        <w:rPr>
          <w:rFonts w:ascii="Gadugi" w:eastAsia="Times New Roman" w:hAnsi="Gadugi" w:cs="Arial"/>
          <w:spacing w:val="-4"/>
          <w:sz w:val="24"/>
          <w:szCs w:val="24"/>
          <w:lang w:val="es-419" w:eastAsia="es-ES"/>
        </w:rPr>
        <w:t>Así las cosas, el 26 de agosto de 2022 se le solicitó a Colpensiones el cumplimiento de ese fallo</w:t>
      </w:r>
      <w:r w:rsidR="00E45260" w:rsidRPr="00561F25">
        <w:rPr>
          <w:rFonts w:ascii="Gadugi" w:eastAsia="Times New Roman" w:hAnsi="Gadugi" w:cs="Arial"/>
          <w:spacing w:val="-4"/>
          <w:sz w:val="24"/>
          <w:szCs w:val="24"/>
          <w:lang w:val="es-419" w:eastAsia="es-ES"/>
        </w:rPr>
        <w:t>, y el 25 de octubre siguiente presentó la respectiva solicitud de reconocimiento pensional; sin embargo, en esta última fecha, la entidad simplemente le respondió que su petición era improcedente toda vez que él no estaba afiliado allí.</w:t>
      </w:r>
      <w:r w:rsidR="0042006D" w:rsidRPr="00561F25">
        <w:rPr>
          <w:rFonts w:ascii="Gadugi" w:eastAsia="Times New Roman" w:hAnsi="Gadugi" w:cs="Arial"/>
          <w:spacing w:val="-4"/>
          <w:sz w:val="24"/>
          <w:szCs w:val="24"/>
          <w:lang w:val="es-419" w:eastAsia="es-ES"/>
        </w:rPr>
        <w:t xml:space="preserve"> </w:t>
      </w:r>
      <w:r w:rsidR="00E45260" w:rsidRPr="00561F25">
        <w:rPr>
          <w:rFonts w:ascii="Gadugi" w:eastAsia="Times New Roman" w:hAnsi="Gadugi" w:cs="Arial"/>
          <w:spacing w:val="-4"/>
          <w:sz w:val="24"/>
          <w:szCs w:val="24"/>
          <w:lang w:val="es-419" w:eastAsia="es-ES"/>
        </w:rPr>
        <w:t xml:space="preserve">Finalmente, aseguró que necesita de esa pensión para procurarse una subsistencia en condiciones congruas. </w:t>
      </w:r>
    </w:p>
    <w:p w14:paraId="63A43AA8" w14:textId="2E6B2C5A" w:rsidR="00E45260" w:rsidRPr="00561F25" w:rsidRDefault="00E45260"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6091530F" w14:textId="1F779206" w:rsidR="00E45260" w:rsidRPr="00561F25" w:rsidRDefault="00E45260"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561F25">
        <w:rPr>
          <w:rFonts w:ascii="Gadugi" w:eastAsia="Times New Roman" w:hAnsi="Gadugi" w:cs="Arial"/>
          <w:spacing w:val="-4"/>
          <w:sz w:val="24"/>
          <w:szCs w:val="24"/>
          <w:lang w:val="es-419" w:eastAsia="es-ES"/>
        </w:rPr>
        <w:t>Pidió, entonces, ordenarle a Colpensiones resolver sobre la pensión de vejez que él radicó.</w:t>
      </w:r>
      <w:r w:rsidR="000C1DA9" w:rsidRPr="00561F25">
        <w:rPr>
          <w:rStyle w:val="Refdenotaalpie"/>
          <w:rFonts w:ascii="Gadugi" w:eastAsia="Times New Roman" w:hAnsi="Gadugi"/>
          <w:spacing w:val="-4"/>
          <w:sz w:val="24"/>
          <w:szCs w:val="24"/>
          <w:lang w:val="es-419" w:eastAsia="es-ES"/>
        </w:rPr>
        <w:footnoteReference w:id="1"/>
      </w:r>
      <w:r w:rsidRPr="00561F25">
        <w:rPr>
          <w:rFonts w:ascii="Gadugi" w:eastAsia="Times New Roman" w:hAnsi="Gadugi" w:cs="Arial"/>
          <w:spacing w:val="-4"/>
          <w:sz w:val="24"/>
          <w:szCs w:val="24"/>
          <w:lang w:val="es-419" w:eastAsia="es-ES"/>
        </w:rPr>
        <w:t xml:space="preserve"> </w:t>
      </w:r>
    </w:p>
    <w:p w14:paraId="52910F74" w14:textId="0790516A" w:rsidR="00BF5426" w:rsidRPr="00561F25" w:rsidRDefault="00BF5426"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65CC589F" w14:textId="504C1279" w:rsidR="001865F5" w:rsidRPr="00561F25" w:rsidRDefault="00E45260"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561F25">
        <w:rPr>
          <w:rFonts w:ascii="Gadugi" w:eastAsia="Times New Roman" w:hAnsi="Gadugi" w:cs="Arial"/>
          <w:spacing w:val="-4"/>
          <w:sz w:val="24"/>
          <w:szCs w:val="24"/>
          <w:lang w:val="es-419" w:eastAsia="es-ES"/>
        </w:rPr>
        <w:t>1.2. Tras un rechazo por competencia</w:t>
      </w:r>
      <w:r w:rsidR="000C1DA9" w:rsidRPr="00561F25">
        <w:rPr>
          <w:rStyle w:val="Refdenotaalpie"/>
          <w:rFonts w:ascii="Gadugi" w:eastAsia="Times New Roman" w:hAnsi="Gadugi"/>
          <w:spacing w:val="-4"/>
          <w:sz w:val="24"/>
          <w:szCs w:val="24"/>
          <w:lang w:val="es-419" w:eastAsia="es-ES"/>
        </w:rPr>
        <w:footnoteReference w:id="2"/>
      </w:r>
      <w:r w:rsidRPr="00561F25">
        <w:rPr>
          <w:rFonts w:ascii="Gadugi" w:eastAsia="Times New Roman" w:hAnsi="Gadugi" w:cs="Arial"/>
          <w:spacing w:val="-4"/>
          <w:sz w:val="24"/>
          <w:szCs w:val="24"/>
          <w:lang w:val="es-419" w:eastAsia="es-ES"/>
        </w:rPr>
        <w:t>, e</w:t>
      </w:r>
      <w:r w:rsidR="001865F5" w:rsidRPr="00561F25">
        <w:rPr>
          <w:rFonts w:ascii="Gadugi" w:eastAsia="Times New Roman" w:hAnsi="Gadugi" w:cs="Arial"/>
          <w:spacing w:val="-4"/>
          <w:sz w:val="24"/>
          <w:szCs w:val="24"/>
          <w:lang w:val="es-419" w:eastAsia="es-ES"/>
        </w:rPr>
        <w:t>n primera instancia se dio impulso a la acción con</w:t>
      </w:r>
      <w:r w:rsidRPr="00561F25">
        <w:rPr>
          <w:rFonts w:ascii="Gadugi" w:eastAsia="Times New Roman" w:hAnsi="Gadugi" w:cs="Arial"/>
          <w:spacing w:val="-4"/>
          <w:sz w:val="24"/>
          <w:szCs w:val="24"/>
          <w:lang w:val="es-419" w:eastAsia="es-ES"/>
        </w:rPr>
        <w:t>tra Colpensiones mediante</w:t>
      </w:r>
      <w:r w:rsidR="001865F5" w:rsidRPr="00561F25">
        <w:rPr>
          <w:rFonts w:ascii="Gadugi" w:eastAsia="Times New Roman" w:hAnsi="Gadugi" w:cs="Arial"/>
          <w:spacing w:val="-4"/>
          <w:sz w:val="24"/>
          <w:szCs w:val="24"/>
          <w:lang w:val="es-419" w:eastAsia="es-ES"/>
        </w:rPr>
        <w:t xml:space="preserve"> proveído del </w:t>
      </w:r>
      <w:r w:rsidRPr="00561F25">
        <w:rPr>
          <w:rFonts w:ascii="Gadugi" w:eastAsia="Times New Roman" w:hAnsi="Gadugi" w:cs="Arial"/>
          <w:spacing w:val="-4"/>
          <w:sz w:val="24"/>
          <w:szCs w:val="24"/>
          <w:lang w:val="es-419" w:eastAsia="es-ES"/>
        </w:rPr>
        <w:t>16</w:t>
      </w:r>
      <w:r w:rsidR="001865F5" w:rsidRPr="00561F25">
        <w:rPr>
          <w:rFonts w:ascii="Gadugi" w:eastAsia="Times New Roman" w:hAnsi="Gadugi" w:cs="Arial"/>
          <w:spacing w:val="-4"/>
          <w:sz w:val="24"/>
          <w:szCs w:val="24"/>
          <w:lang w:val="es-419" w:eastAsia="es-ES"/>
        </w:rPr>
        <w:t xml:space="preserve"> de </w:t>
      </w:r>
      <w:r w:rsidRPr="00561F25">
        <w:rPr>
          <w:rFonts w:ascii="Gadugi" w:eastAsia="Times New Roman" w:hAnsi="Gadugi" w:cs="Arial"/>
          <w:spacing w:val="-4"/>
          <w:sz w:val="24"/>
          <w:szCs w:val="24"/>
          <w:lang w:val="es-419" w:eastAsia="es-ES"/>
        </w:rPr>
        <w:t>noviembre de 2022</w:t>
      </w:r>
      <w:r w:rsidR="000C1DA9" w:rsidRPr="00561F25">
        <w:rPr>
          <w:rStyle w:val="Refdenotaalpie"/>
          <w:rFonts w:ascii="Gadugi" w:eastAsia="Times New Roman" w:hAnsi="Gadugi"/>
          <w:spacing w:val="-4"/>
          <w:sz w:val="24"/>
          <w:szCs w:val="24"/>
          <w:lang w:val="es-419" w:eastAsia="es-ES"/>
        </w:rPr>
        <w:footnoteReference w:id="3"/>
      </w:r>
      <w:r w:rsidRPr="00561F25">
        <w:rPr>
          <w:rFonts w:ascii="Gadugi" w:eastAsia="Times New Roman" w:hAnsi="Gadugi" w:cs="Arial"/>
          <w:spacing w:val="-4"/>
          <w:sz w:val="24"/>
          <w:szCs w:val="24"/>
          <w:lang w:val="es-419" w:eastAsia="es-ES"/>
        </w:rPr>
        <w:t>, luego, con auto del 18 de noviembre se vinculó a Protección S.A.</w:t>
      </w:r>
      <w:r w:rsidR="000C1DA9" w:rsidRPr="00561F25">
        <w:rPr>
          <w:rStyle w:val="Refdenotaalpie"/>
          <w:rFonts w:ascii="Gadugi" w:eastAsia="Times New Roman" w:hAnsi="Gadugi"/>
          <w:spacing w:val="-4"/>
          <w:sz w:val="24"/>
          <w:szCs w:val="24"/>
          <w:lang w:val="es-419" w:eastAsia="es-ES"/>
        </w:rPr>
        <w:footnoteReference w:id="4"/>
      </w:r>
      <w:r w:rsidRPr="00561F25">
        <w:rPr>
          <w:rFonts w:ascii="Gadugi" w:eastAsia="Times New Roman" w:hAnsi="Gadugi" w:cs="Arial"/>
          <w:spacing w:val="-4"/>
          <w:sz w:val="24"/>
          <w:szCs w:val="24"/>
          <w:lang w:val="es-419" w:eastAsia="es-ES"/>
        </w:rPr>
        <w:t xml:space="preserve"> </w:t>
      </w:r>
    </w:p>
    <w:p w14:paraId="6FEBC594" w14:textId="77777777" w:rsidR="00F25C6C" w:rsidRPr="00561F25" w:rsidRDefault="00F25C6C"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6C5500E3" w14:textId="1822F09F" w:rsidR="00E45260" w:rsidRPr="00561F25" w:rsidRDefault="007F5F4C"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561F25">
        <w:rPr>
          <w:rFonts w:ascii="Gadugi" w:eastAsia="Times New Roman" w:hAnsi="Gadugi" w:cs="Arial"/>
          <w:spacing w:val="-4"/>
          <w:sz w:val="24"/>
          <w:szCs w:val="24"/>
          <w:lang w:val="es-419" w:eastAsia="es-ES"/>
        </w:rPr>
        <w:t xml:space="preserve">1.3. </w:t>
      </w:r>
      <w:r w:rsidR="00E45260" w:rsidRPr="00561F25">
        <w:rPr>
          <w:rFonts w:ascii="Gadugi" w:eastAsia="Times New Roman" w:hAnsi="Gadugi" w:cs="Arial"/>
          <w:spacing w:val="-4"/>
          <w:sz w:val="24"/>
          <w:szCs w:val="24"/>
          <w:lang w:val="es-419" w:eastAsia="es-ES"/>
        </w:rPr>
        <w:t>Colpensiones expuso qu</w:t>
      </w:r>
      <w:r w:rsidR="00DE40D1" w:rsidRPr="00561F25">
        <w:rPr>
          <w:rFonts w:ascii="Gadugi" w:eastAsia="Times New Roman" w:hAnsi="Gadugi" w:cs="Arial"/>
          <w:spacing w:val="-4"/>
          <w:sz w:val="24"/>
          <w:szCs w:val="24"/>
          <w:lang w:val="es-419" w:eastAsia="es-ES"/>
        </w:rPr>
        <w:t>e</w:t>
      </w:r>
      <w:r w:rsidR="00452AF6" w:rsidRPr="00561F25">
        <w:rPr>
          <w:rFonts w:ascii="Gadugi" w:eastAsia="Times New Roman" w:hAnsi="Gadugi" w:cs="Arial"/>
          <w:spacing w:val="-4"/>
          <w:sz w:val="24"/>
          <w:szCs w:val="24"/>
          <w:lang w:val="es-419" w:eastAsia="es-ES"/>
        </w:rPr>
        <w:t xml:space="preserve">, para el cumplimiento del fallo del juez laboral, es necesaria la participación de </w:t>
      </w:r>
      <w:r w:rsidR="00370465" w:rsidRPr="00561F25">
        <w:rPr>
          <w:rFonts w:ascii="Gadugi" w:eastAsia="Times New Roman" w:hAnsi="Gadugi" w:cs="Arial"/>
          <w:spacing w:val="-4"/>
          <w:sz w:val="24"/>
          <w:szCs w:val="24"/>
          <w:lang w:val="es-419" w:eastAsia="es-ES"/>
        </w:rPr>
        <w:t>P</w:t>
      </w:r>
      <w:r w:rsidR="00452AF6" w:rsidRPr="00561F25">
        <w:rPr>
          <w:rFonts w:ascii="Gadugi" w:eastAsia="Times New Roman" w:hAnsi="Gadugi" w:cs="Arial"/>
          <w:spacing w:val="-4"/>
          <w:sz w:val="24"/>
          <w:szCs w:val="24"/>
          <w:lang w:val="es-419" w:eastAsia="es-ES"/>
        </w:rPr>
        <w:t xml:space="preserve">rotección S.A., </w:t>
      </w:r>
      <w:r w:rsidR="00D44EE3" w:rsidRPr="00561F25">
        <w:rPr>
          <w:rFonts w:ascii="Gadugi" w:eastAsia="Times New Roman" w:hAnsi="Gadugi" w:cs="Arial"/>
          <w:spacing w:val="-4"/>
          <w:sz w:val="24"/>
          <w:szCs w:val="24"/>
          <w:lang w:val="es-419" w:eastAsia="es-ES"/>
        </w:rPr>
        <w:t>dado que el aporte de las cotizaciones depende de esa entidad.</w:t>
      </w:r>
      <w:r w:rsidR="000C1DA9" w:rsidRPr="00561F25">
        <w:rPr>
          <w:rStyle w:val="Refdenotaalpie"/>
          <w:rFonts w:ascii="Gadugi" w:eastAsia="Times New Roman" w:hAnsi="Gadugi"/>
          <w:spacing w:val="-4"/>
          <w:sz w:val="24"/>
          <w:szCs w:val="24"/>
          <w:lang w:val="es-419" w:eastAsia="es-ES"/>
        </w:rPr>
        <w:footnoteReference w:id="5"/>
      </w:r>
      <w:r w:rsidR="00D44EE3" w:rsidRPr="00561F25">
        <w:rPr>
          <w:rFonts w:ascii="Gadugi" w:eastAsia="Times New Roman" w:hAnsi="Gadugi" w:cs="Arial"/>
          <w:spacing w:val="-4"/>
          <w:sz w:val="24"/>
          <w:szCs w:val="24"/>
          <w:lang w:val="es-419" w:eastAsia="es-ES"/>
        </w:rPr>
        <w:t xml:space="preserve"> </w:t>
      </w:r>
    </w:p>
    <w:p w14:paraId="569BEA6F" w14:textId="367D770C" w:rsidR="00D44EE3" w:rsidRPr="00561F25" w:rsidRDefault="00D44EE3"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064CCF38" w14:textId="424C8276" w:rsidR="00D44EE3" w:rsidRPr="00561F25" w:rsidRDefault="00D44EE3"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561F25">
        <w:rPr>
          <w:rFonts w:ascii="Gadugi" w:eastAsia="Times New Roman" w:hAnsi="Gadugi" w:cs="Arial"/>
          <w:spacing w:val="-4"/>
          <w:sz w:val="24"/>
          <w:szCs w:val="24"/>
          <w:lang w:val="es-419" w:eastAsia="es-ES"/>
        </w:rPr>
        <w:t xml:space="preserve">1.4. </w:t>
      </w:r>
      <w:r w:rsidR="0019325F" w:rsidRPr="00561F25">
        <w:rPr>
          <w:rFonts w:ascii="Gadugi" w:eastAsia="Times New Roman" w:hAnsi="Gadugi" w:cs="Arial"/>
          <w:spacing w:val="-4"/>
          <w:sz w:val="24"/>
          <w:szCs w:val="24"/>
          <w:lang w:val="es-419" w:eastAsia="es-ES"/>
        </w:rPr>
        <w:t>Protección S.A. adujo que, con comunicado del 22 de noviembre de 2022, dio respuesta de fondo a lo solicitado por el accionante.</w:t>
      </w:r>
      <w:r w:rsidR="000C1DA9" w:rsidRPr="00561F25">
        <w:rPr>
          <w:rStyle w:val="Refdenotaalpie"/>
          <w:rFonts w:ascii="Gadugi" w:eastAsia="Times New Roman" w:hAnsi="Gadugi"/>
          <w:spacing w:val="-4"/>
          <w:sz w:val="24"/>
          <w:szCs w:val="24"/>
          <w:lang w:val="es-419" w:eastAsia="es-ES"/>
        </w:rPr>
        <w:footnoteReference w:id="6"/>
      </w:r>
      <w:r w:rsidR="0019325F" w:rsidRPr="00561F25">
        <w:rPr>
          <w:rFonts w:ascii="Gadugi" w:eastAsia="Times New Roman" w:hAnsi="Gadugi" w:cs="Arial"/>
          <w:spacing w:val="-4"/>
          <w:sz w:val="24"/>
          <w:szCs w:val="24"/>
          <w:lang w:val="es-419" w:eastAsia="es-ES"/>
        </w:rPr>
        <w:t xml:space="preserve"> </w:t>
      </w:r>
    </w:p>
    <w:p w14:paraId="417C74BD" w14:textId="795BB23D" w:rsidR="00E45260" w:rsidRPr="00561F25" w:rsidRDefault="00E45260"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4DD1C9CB" w14:textId="3FE820E5" w:rsidR="0019325F" w:rsidRPr="00561F25" w:rsidRDefault="0019325F"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561F25">
        <w:rPr>
          <w:rFonts w:ascii="Gadugi" w:eastAsia="Times New Roman" w:hAnsi="Gadugi" w:cs="Arial"/>
          <w:spacing w:val="-4"/>
          <w:sz w:val="24"/>
          <w:szCs w:val="24"/>
          <w:lang w:val="es-419" w:eastAsia="es-ES"/>
        </w:rPr>
        <w:t xml:space="preserve">1.5. Sobrevino el fallo de primer grado que </w:t>
      </w:r>
      <w:r w:rsidR="00370465" w:rsidRPr="00561F25">
        <w:rPr>
          <w:rFonts w:ascii="Gadugi" w:eastAsia="Times New Roman" w:hAnsi="Gadugi" w:cs="Arial"/>
          <w:spacing w:val="-4"/>
          <w:sz w:val="24"/>
          <w:szCs w:val="24"/>
          <w:lang w:val="es-419" w:eastAsia="es-ES"/>
        </w:rPr>
        <w:t xml:space="preserve">consideró </w:t>
      </w:r>
      <w:r w:rsidRPr="00561F25">
        <w:rPr>
          <w:rFonts w:ascii="Gadugi" w:eastAsia="Times New Roman" w:hAnsi="Gadugi" w:cs="Arial"/>
          <w:spacing w:val="-4"/>
          <w:sz w:val="24"/>
          <w:szCs w:val="24"/>
          <w:lang w:val="es-419" w:eastAsia="es-ES"/>
        </w:rPr>
        <w:t xml:space="preserve">improcedente </w:t>
      </w:r>
      <w:r w:rsidR="00F57F77" w:rsidRPr="00561F25">
        <w:rPr>
          <w:rFonts w:ascii="Gadugi" w:eastAsia="Times New Roman" w:hAnsi="Gadugi" w:cs="Arial"/>
          <w:spacing w:val="-4"/>
          <w:sz w:val="24"/>
          <w:szCs w:val="24"/>
          <w:lang w:val="es-419" w:eastAsia="es-ES"/>
        </w:rPr>
        <w:t>la acción de tutela para exigir el reconocimiento de una pensión de vejez, y también para pedir el cumplimiento de un fallo judicial, máxime si se tiene en cuenta que la parte actora ya inició un ejecutivo ante el juez que conoció del juicio ordinario para obtener ese fin.</w:t>
      </w:r>
      <w:r w:rsidR="000C1DA9" w:rsidRPr="00561F25">
        <w:rPr>
          <w:rStyle w:val="Refdenotaalpie"/>
          <w:rFonts w:ascii="Gadugi" w:eastAsia="Times New Roman" w:hAnsi="Gadugi"/>
          <w:spacing w:val="-4"/>
          <w:sz w:val="24"/>
          <w:szCs w:val="24"/>
          <w:lang w:val="es-419" w:eastAsia="es-ES"/>
        </w:rPr>
        <w:footnoteReference w:id="7"/>
      </w:r>
      <w:r w:rsidR="00F57F77" w:rsidRPr="00561F25">
        <w:rPr>
          <w:rFonts w:ascii="Gadugi" w:eastAsia="Times New Roman" w:hAnsi="Gadugi" w:cs="Arial"/>
          <w:spacing w:val="-4"/>
          <w:sz w:val="24"/>
          <w:szCs w:val="24"/>
          <w:lang w:val="es-419" w:eastAsia="es-ES"/>
        </w:rPr>
        <w:t xml:space="preserve"> </w:t>
      </w:r>
    </w:p>
    <w:p w14:paraId="55F8F8AD" w14:textId="4B68E68E" w:rsidR="00F57F77" w:rsidRPr="00561F25" w:rsidRDefault="00F57F77"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p>
    <w:p w14:paraId="3E0C2EEC" w14:textId="76C0C4DF" w:rsidR="006F5C6F" w:rsidRPr="00561F25" w:rsidRDefault="00F57F77" w:rsidP="00AA4FB9">
      <w:pPr>
        <w:overflowPunct w:val="0"/>
        <w:autoSpaceDE w:val="0"/>
        <w:autoSpaceDN w:val="0"/>
        <w:adjustRightInd w:val="0"/>
        <w:spacing w:after="0" w:line="276" w:lineRule="auto"/>
        <w:jc w:val="both"/>
        <w:textAlignment w:val="baseline"/>
        <w:rPr>
          <w:rFonts w:ascii="Gadugi" w:eastAsia="Times New Roman" w:hAnsi="Gadugi" w:cs="Arial"/>
          <w:spacing w:val="-4"/>
          <w:sz w:val="24"/>
          <w:szCs w:val="24"/>
          <w:lang w:val="es-419" w:eastAsia="es-ES"/>
        </w:rPr>
      </w:pPr>
      <w:r w:rsidRPr="00561F25">
        <w:rPr>
          <w:rFonts w:ascii="Gadugi" w:eastAsia="Times New Roman" w:hAnsi="Gadugi" w:cs="Arial"/>
          <w:spacing w:val="-4"/>
          <w:sz w:val="24"/>
          <w:szCs w:val="24"/>
          <w:lang w:val="es-419" w:eastAsia="es-ES"/>
        </w:rPr>
        <w:t xml:space="preserve">1.6. Impugnó el actor, asegurando que la respuesta de </w:t>
      </w:r>
      <w:r w:rsidR="006F5C6F" w:rsidRPr="00561F25">
        <w:rPr>
          <w:rFonts w:ascii="Gadugi" w:eastAsia="Times New Roman" w:hAnsi="Gadugi" w:cs="Arial"/>
          <w:spacing w:val="-4"/>
          <w:sz w:val="24"/>
          <w:szCs w:val="24"/>
          <w:lang w:val="es-419" w:eastAsia="es-ES"/>
        </w:rPr>
        <w:t>Provenir</w:t>
      </w:r>
      <w:r w:rsidRPr="00561F25">
        <w:rPr>
          <w:rFonts w:ascii="Gadugi" w:eastAsia="Times New Roman" w:hAnsi="Gadugi" w:cs="Arial"/>
          <w:spacing w:val="-4"/>
          <w:sz w:val="24"/>
          <w:szCs w:val="24"/>
          <w:lang w:val="es-419" w:eastAsia="es-ES"/>
        </w:rPr>
        <w:t xml:space="preserve"> S.A. no atiende </w:t>
      </w:r>
      <w:r w:rsidR="006F5C6F" w:rsidRPr="00561F25">
        <w:rPr>
          <w:rFonts w:ascii="Gadugi" w:eastAsia="Times New Roman" w:hAnsi="Gadugi" w:cs="Arial"/>
          <w:spacing w:val="-4"/>
          <w:sz w:val="24"/>
          <w:szCs w:val="24"/>
          <w:lang w:val="es-419" w:eastAsia="es-ES"/>
        </w:rPr>
        <w:t xml:space="preserve">a cabalidad lo solicitado, reprochó que se hubiera impuesto agotar el ejecutivo a continuación cuando es un hecho notorio que esos procesos son demorados, en cambio, la tutela es de rápido cumplimiento; finalmente se quejó de que se hubiera dicho que este mecanismo es </w:t>
      </w:r>
      <w:r w:rsidR="006F5C6F" w:rsidRPr="00561F25">
        <w:rPr>
          <w:rFonts w:ascii="Gadugi" w:eastAsia="Times New Roman" w:hAnsi="Gadugi" w:cs="Arial"/>
          <w:spacing w:val="-4"/>
          <w:sz w:val="24"/>
          <w:szCs w:val="24"/>
          <w:lang w:val="es-419" w:eastAsia="es-ES"/>
        </w:rPr>
        <w:lastRenderedPageBreak/>
        <w:t>improcedente para lograr la pensión de vejez cuando él esgrimió que carece de recursos para garantizar su subsistencia.</w:t>
      </w:r>
      <w:r w:rsidR="000C1DA9" w:rsidRPr="00561F25">
        <w:rPr>
          <w:rStyle w:val="Refdenotaalpie"/>
          <w:rFonts w:ascii="Gadugi" w:eastAsia="Times New Roman" w:hAnsi="Gadugi"/>
          <w:spacing w:val="-4"/>
          <w:sz w:val="24"/>
          <w:szCs w:val="24"/>
          <w:lang w:val="es-419" w:eastAsia="es-ES"/>
        </w:rPr>
        <w:footnoteReference w:id="8"/>
      </w:r>
      <w:r w:rsidR="006F5C6F" w:rsidRPr="00561F25">
        <w:rPr>
          <w:rFonts w:ascii="Gadugi" w:eastAsia="Times New Roman" w:hAnsi="Gadugi" w:cs="Arial"/>
          <w:spacing w:val="-4"/>
          <w:sz w:val="24"/>
          <w:szCs w:val="24"/>
          <w:lang w:val="es-419" w:eastAsia="es-ES"/>
        </w:rPr>
        <w:t xml:space="preserve"> </w:t>
      </w:r>
    </w:p>
    <w:p w14:paraId="28352B3C" w14:textId="77777777" w:rsidR="00965D52" w:rsidRPr="00561F25" w:rsidRDefault="00965D52" w:rsidP="00AA4FB9">
      <w:pPr>
        <w:overflowPunct w:val="0"/>
        <w:autoSpaceDE w:val="0"/>
        <w:autoSpaceDN w:val="0"/>
        <w:adjustRightInd w:val="0"/>
        <w:spacing w:after="0" w:line="276" w:lineRule="auto"/>
        <w:jc w:val="both"/>
        <w:textAlignment w:val="baseline"/>
        <w:rPr>
          <w:rFonts w:ascii="Gadugi" w:eastAsia="Times New Roman" w:hAnsi="Gadugi" w:cs="Arial"/>
          <w:b/>
          <w:spacing w:val="-4"/>
          <w:sz w:val="24"/>
          <w:szCs w:val="24"/>
          <w:lang w:val="es-ES" w:eastAsia="es-ES"/>
        </w:rPr>
      </w:pPr>
    </w:p>
    <w:p w14:paraId="04D9C565" w14:textId="65953593" w:rsidR="00756044" w:rsidRPr="00561F25" w:rsidRDefault="007F5F4C" w:rsidP="00AA4FB9">
      <w:pPr>
        <w:overflowPunct w:val="0"/>
        <w:autoSpaceDE w:val="0"/>
        <w:autoSpaceDN w:val="0"/>
        <w:adjustRightInd w:val="0"/>
        <w:spacing w:after="0" w:line="276" w:lineRule="auto"/>
        <w:jc w:val="both"/>
        <w:textAlignment w:val="baseline"/>
        <w:rPr>
          <w:rFonts w:ascii="Gadugi" w:eastAsia="Times New Roman" w:hAnsi="Gadugi" w:cs="Arial"/>
          <w:b/>
          <w:spacing w:val="-4"/>
          <w:sz w:val="24"/>
          <w:szCs w:val="24"/>
          <w:lang w:val="es-ES" w:eastAsia="es-ES"/>
        </w:rPr>
      </w:pPr>
      <w:r w:rsidRPr="00561F25">
        <w:rPr>
          <w:rFonts w:ascii="Gadugi" w:eastAsia="Times New Roman" w:hAnsi="Gadugi" w:cs="Arial"/>
          <w:b/>
          <w:spacing w:val="-4"/>
          <w:sz w:val="24"/>
          <w:szCs w:val="24"/>
          <w:lang w:val="es-ES" w:eastAsia="es-ES"/>
        </w:rPr>
        <w:t xml:space="preserve">2. </w:t>
      </w:r>
      <w:r w:rsidR="00756044" w:rsidRPr="00561F25">
        <w:rPr>
          <w:rFonts w:ascii="Gadugi" w:eastAsia="Times New Roman" w:hAnsi="Gadugi" w:cs="Arial"/>
          <w:b/>
          <w:spacing w:val="-4"/>
          <w:sz w:val="24"/>
          <w:szCs w:val="24"/>
          <w:lang w:val="es-ES" w:eastAsia="es-ES"/>
        </w:rPr>
        <w:t>CONSIDERACIONES</w:t>
      </w:r>
    </w:p>
    <w:p w14:paraId="28BF3302" w14:textId="3A3DD941" w:rsidR="00756044" w:rsidRPr="00561F25" w:rsidRDefault="00756044" w:rsidP="00AA4FB9">
      <w:pPr>
        <w:autoSpaceDE w:val="0"/>
        <w:autoSpaceDN w:val="0"/>
        <w:adjustRightInd w:val="0"/>
        <w:spacing w:after="0" w:line="276" w:lineRule="auto"/>
        <w:jc w:val="both"/>
        <w:rPr>
          <w:rFonts w:ascii="Gadugi" w:eastAsia="Times New Roman" w:hAnsi="Gadugi" w:cs="Arial"/>
          <w:spacing w:val="-4"/>
          <w:sz w:val="24"/>
          <w:szCs w:val="24"/>
          <w:lang w:val="es-ES" w:eastAsia="es-ES"/>
        </w:rPr>
      </w:pPr>
      <w:r w:rsidRPr="00561F25">
        <w:rPr>
          <w:rFonts w:ascii="Gadugi" w:eastAsia="Times New Roman" w:hAnsi="Gadugi" w:cs="Arial"/>
          <w:spacing w:val="-4"/>
          <w:sz w:val="24"/>
          <w:szCs w:val="24"/>
          <w:lang w:val="es-ES" w:eastAsia="es-ES"/>
        </w:rPr>
        <w:t xml:space="preserve">  </w:t>
      </w:r>
      <w:r w:rsidRPr="00561F25">
        <w:rPr>
          <w:rFonts w:ascii="Gadugi" w:eastAsia="Times New Roman" w:hAnsi="Gadugi" w:cs="Arial"/>
          <w:spacing w:val="-4"/>
          <w:sz w:val="24"/>
          <w:szCs w:val="24"/>
          <w:lang w:val="es-ES" w:eastAsia="es-ES"/>
        </w:rPr>
        <w:tab/>
      </w:r>
      <w:r w:rsidRPr="00561F25">
        <w:rPr>
          <w:rFonts w:ascii="Gadugi" w:eastAsia="Times New Roman" w:hAnsi="Gadugi" w:cs="Arial"/>
          <w:spacing w:val="-4"/>
          <w:sz w:val="24"/>
          <w:szCs w:val="24"/>
          <w:lang w:val="es-ES" w:eastAsia="es-ES"/>
        </w:rPr>
        <w:tab/>
      </w:r>
      <w:r w:rsidR="00674A22" w:rsidRPr="00561F25">
        <w:rPr>
          <w:rFonts w:ascii="Gadugi" w:eastAsia="Times New Roman" w:hAnsi="Gadugi" w:cs="Arial"/>
          <w:spacing w:val="-4"/>
          <w:sz w:val="24"/>
          <w:szCs w:val="24"/>
          <w:lang w:val="es-ES" w:eastAsia="es-ES"/>
        </w:rPr>
        <w:tab/>
      </w:r>
      <w:r w:rsidR="00674A22" w:rsidRPr="00561F25">
        <w:rPr>
          <w:rFonts w:ascii="Gadugi" w:eastAsia="Times New Roman" w:hAnsi="Gadugi" w:cs="Arial"/>
          <w:spacing w:val="-4"/>
          <w:sz w:val="24"/>
          <w:szCs w:val="24"/>
          <w:lang w:val="es-ES" w:eastAsia="es-ES"/>
        </w:rPr>
        <w:tab/>
      </w:r>
      <w:r w:rsidR="00674A22" w:rsidRPr="00561F25">
        <w:rPr>
          <w:rFonts w:ascii="Gadugi" w:eastAsia="Times New Roman" w:hAnsi="Gadugi" w:cs="Arial"/>
          <w:spacing w:val="-4"/>
          <w:sz w:val="24"/>
          <w:szCs w:val="24"/>
          <w:lang w:val="es-ES" w:eastAsia="es-ES"/>
        </w:rPr>
        <w:tab/>
      </w:r>
      <w:r w:rsidR="00674A22" w:rsidRPr="00561F25">
        <w:rPr>
          <w:rFonts w:ascii="Gadugi" w:eastAsia="Times New Roman" w:hAnsi="Gadugi" w:cs="Arial"/>
          <w:spacing w:val="-4"/>
          <w:sz w:val="24"/>
          <w:szCs w:val="24"/>
          <w:lang w:val="es-ES" w:eastAsia="es-ES"/>
        </w:rPr>
        <w:tab/>
      </w:r>
    </w:p>
    <w:p w14:paraId="4A149391" w14:textId="5315734E" w:rsidR="00756044" w:rsidRPr="00561F25" w:rsidRDefault="007F5F4C" w:rsidP="00AA4FB9">
      <w:pPr>
        <w:autoSpaceDE w:val="0"/>
        <w:autoSpaceDN w:val="0"/>
        <w:adjustRightInd w:val="0"/>
        <w:spacing w:after="0" w:line="276" w:lineRule="auto"/>
        <w:jc w:val="both"/>
        <w:rPr>
          <w:rFonts w:ascii="Gadugi" w:eastAsia="Times New Roman" w:hAnsi="Gadugi" w:cs="Arial"/>
          <w:spacing w:val="-4"/>
          <w:sz w:val="24"/>
          <w:szCs w:val="24"/>
          <w:lang w:val="es-ES" w:eastAsia="es-ES"/>
        </w:rPr>
      </w:pPr>
      <w:r w:rsidRPr="00561F25">
        <w:rPr>
          <w:rFonts w:ascii="Gadugi" w:eastAsia="Times New Roman" w:hAnsi="Gadugi" w:cs="Arial"/>
          <w:spacing w:val="-4"/>
          <w:sz w:val="24"/>
          <w:szCs w:val="24"/>
          <w:lang w:val="es-ES" w:eastAsia="es-ES"/>
        </w:rPr>
        <w:t xml:space="preserve">2.1. </w:t>
      </w:r>
      <w:r w:rsidR="00756044" w:rsidRPr="00561F25">
        <w:rPr>
          <w:rFonts w:ascii="Gadugi" w:eastAsia="Times New Roman" w:hAnsi="Gadugi" w:cs="Arial"/>
          <w:spacing w:val="-4"/>
          <w:sz w:val="24"/>
          <w:szCs w:val="24"/>
          <w:lang w:val="es-ES" w:eastAsia="es-ES"/>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14:paraId="126DF23A" w14:textId="77777777" w:rsidR="00756044" w:rsidRPr="00561F25" w:rsidRDefault="00756044"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747AB683" w14:textId="6FA81EAA" w:rsidR="00896291" w:rsidRPr="00561F25" w:rsidRDefault="00A92999"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561F25">
        <w:rPr>
          <w:rFonts w:ascii="Gadugi" w:eastAsia="Times New Roman" w:hAnsi="Gadugi" w:cs="Times New Roman"/>
          <w:spacing w:val="-4"/>
          <w:sz w:val="24"/>
          <w:szCs w:val="24"/>
          <w:lang w:val="es-ES" w:eastAsia="es-ES"/>
        </w:rPr>
        <w:t>En este asunto</w:t>
      </w:r>
      <w:r w:rsidR="00896291" w:rsidRPr="00561F25">
        <w:rPr>
          <w:rFonts w:ascii="Gadugi" w:eastAsia="Times New Roman" w:hAnsi="Gadugi" w:cs="Times New Roman"/>
          <w:spacing w:val="-4"/>
          <w:sz w:val="24"/>
          <w:szCs w:val="24"/>
          <w:lang w:val="es-ES" w:eastAsia="es-ES"/>
        </w:rPr>
        <w:t xml:space="preserve"> la pretensión que se plantea en la acción de tutela es que se le ordene a Colpensiones resolver sobre una pensión de vejez, sin embargo, a juicio de la Sala, hay una cuestión previa que en la que es necesaria la intervención del juez de tutela. </w:t>
      </w:r>
    </w:p>
    <w:p w14:paraId="22A01792" w14:textId="10267094" w:rsidR="00896291" w:rsidRPr="00561F25" w:rsidRDefault="00896291"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2DB988B3" w14:textId="22BE0B2A" w:rsidR="00896291" w:rsidRPr="00561F25" w:rsidRDefault="00896291"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561F25">
        <w:rPr>
          <w:rFonts w:ascii="Gadugi" w:eastAsia="Times New Roman" w:hAnsi="Gadugi" w:cs="Times New Roman"/>
          <w:spacing w:val="-4"/>
          <w:sz w:val="24"/>
          <w:szCs w:val="24"/>
          <w:lang w:val="es-ES" w:eastAsia="es-ES"/>
        </w:rPr>
        <w:t xml:space="preserve">Así se afirma porque si bien el accionante </w:t>
      </w:r>
      <w:r w:rsidR="00352CBA" w:rsidRPr="00561F25">
        <w:rPr>
          <w:rFonts w:ascii="Gadugi" w:eastAsia="Times New Roman" w:hAnsi="Gadugi" w:cs="Times New Roman"/>
          <w:spacing w:val="-4"/>
          <w:sz w:val="24"/>
          <w:szCs w:val="24"/>
          <w:lang w:val="es-ES" w:eastAsia="es-ES"/>
        </w:rPr>
        <w:t xml:space="preserve">radicó un formulario el 25 de octubre de 2022 para que se le reconozca esa prestación, lo cierto es que ello fue rechazado por Colpensiones ese mismo día </w:t>
      </w:r>
      <w:r w:rsidR="00352CBA" w:rsidRPr="00561F25">
        <w:rPr>
          <w:rFonts w:ascii="Gadugi" w:eastAsia="Times New Roman" w:hAnsi="Gadugi" w:cs="Times New Roman"/>
          <w:i/>
          <w:spacing w:val="-4"/>
          <w:sz w:val="24"/>
          <w:szCs w:val="24"/>
          <w:lang w:val="es-ES" w:eastAsia="es-ES"/>
        </w:rPr>
        <w:t>“</w:t>
      </w:r>
      <w:r w:rsidR="00352CBA" w:rsidRPr="00561F25">
        <w:rPr>
          <w:rFonts w:ascii="Gadugi" w:eastAsia="Times New Roman" w:hAnsi="Gadugi" w:cs="Times New Roman"/>
          <w:i/>
          <w:spacing w:val="-4"/>
          <w:szCs w:val="24"/>
          <w:lang w:val="es-ES" w:eastAsia="es-ES"/>
        </w:rPr>
        <w:t>(…) por no afiliación en el régimen de Prima media</w:t>
      </w:r>
      <w:r w:rsidR="00352CBA" w:rsidRPr="00561F25">
        <w:rPr>
          <w:rFonts w:ascii="Gadugi" w:eastAsia="Times New Roman" w:hAnsi="Gadugi" w:cs="Times New Roman"/>
          <w:i/>
          <w:spacing w:val="-4"/>
          <w:sz w:val="24"/>
          <w:szCs w:val="24"/>
          <w:lang w:val="es-ES" w:eastAsia="es-ES"/>
        </w:rPr>
        <w:t>”</w:t>
      </w:r>
      <w:r w:rsidR="000C1DA9" w:rsidRPr="00561F25">
        <w:rPr>
          <w:rStyle w:val="Refdenotaalpie"/>
          <w:rFonts w:ascii="Gadugi" w:eastAsia="Times New Roman" w:hAnsi="Gadugi"/>
          <w:i/>
          <w:spacing w:val="-4"/>
          <w:sz w:val="24"/>
          <w:szCs w:val="24"/>
          <w:lang w:val="es-ES" w:eastAsia="es-ES"/>
        </w:rPr>
        <w:footnoteReference w:id="9"/>
      </w:r>
      <w:r w:rsidR="00352CBA" w:rsidRPr="00561F25">
        <w:rPr>
          <w:rFonts w:ascii="Gadugi" w:eastAsia="Times New Roman" w:hAnsi="Gadugi" w:cs="Times New Roman"/>
          <w:spacing w:val="-4"/>
          <w:sz w:val="24"/>
          <w:szCs w:val="24"/>
          <w:lang w:val="es-ES" w:eastAsia="es-ES"/>
        </w:rPr>
        <w:t>, lo cual tiene sentido, si se tiene en cuenta que, ni esa entidad</w:t>
      </w:r>
      <w:r w:rsidR="004C1AE9" w:rsidRPr="00561F25">
        <w:rPr>
          <w:rFonts w:ascii="Gadugi" w:eastAsia="Times New Roman" w:hAnsi="Gadugi" w:cs="Times New Roman"/>
          <w:spacing w:val="-4"/>
          <w:sz w:val="24"/>
          <w:szCs w:val="24"/>
          <w:lang w:val="es-ES" w:eastAsia="es-ES"/>
        </w:rPr>
        <w:t>,</w:t>
      </w:r>
      <w:r w:rsidR="00352CBA" w:rsidRPr="00561F25">
        <w:rPr>
          <w:rFonts w:ascii="Gadugi" w:eastAsia="Times New Roman" w:hAnsi="Gadugi" w:cs="Times New Roman"/>
          <w:spacing w:val="-4"/>
          <w:sz w:val="24"/>
          <w:szCs w:val="24"/>
          <w:lang w:val="es-ES" w:eastAsia="es-ES"/>
        </w:rPr>
        <w:t xml:space="preserve"> ni Protección S.A., se han preocupado por cumplir un fallo judicial en el cual, sin ambages, se les ordenó adelantar lo necesario para que los aportes del accionante fueran trasladados desde Porvenir S.A. a Colpensiones, y hacer efectiva su afiliación al régimen de prima media -RPM-. </w:t>
      </w:r>
    </w:p>
    <w:p w14:paraId="6807D941" w14:textId="243082BE" w:rsidR="00896291" w:rsidRPr="00561F25" w:rsidRDefault="00896291"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741A1041" w14:textId="4AC14215" w:rsidR="00352CBA" w:rsidRPr="00561F25" w:rsidRDefault="00352CBA"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561F25">
        <w:rPr>
          <w:rFonts w:ascii="Gadugi" w:eastAsia="Times New Roman" w:hAnsi="Gadugi" w:cs="Times New Roman"/>
          <w:spacing w:val="-4"/>
          <w:sz w:val="24"/>
          <w:szCs w:val="24"/>
          <w:lang w:val="es-ES" w:eastAsia="es-ES"/>
        </w:rPr>
        <w:t xml:space="preserve">En ese entendido, y toda vez que, en todo caso, </w:t>
      </w:r>
      <w:bookmarkStart w:id="2" w:name="_Hlk135746090"/>
      <w:r w:rsidRPr="00561F25">
        <w:rPr>
          <w:rFonts w:ascii="Gadugi" w:eastAsia="Times New Roman" w:hAnsi="Gadugi" w:cs="Times New Roman"/>
          <w:spacing w:val="-4"/>
          <w:sz w:val="24"/>
          <w:szCs w:val="24"/>
          <w:lang w:val="es-ES" w:eastAsia="es-ES"/>
        </w:rPr>
        <w:t xml:space="preserve">en el recuento fáctico el demandante se queja del incumplimiento de la sentencia emitida en el juicio laboral, esta Sala perfilará el análisis de este caso, como uno de aquellos en los que se busca la protección a su derecho fundamental al debido proceso, presuntamente vulnerado por las autoridades acusadas, que se niegan a cumplir </w:t>
      </w:r>
      <w:r w:rsidR="00C0289E" w:rsidRPr="00561F25">
        <w:rPr>
          <w:rFonts w:ascii="Gadugi" w:eastAsia="Times New Roman" w:hAnsi="Gadugi" w:cs="Times New Roman"/>
          <w:spacing w:val="-4"/>
          <w:sz w:val="24"/>
          <w:szCs w:val="24"/>
          <w:lang w:val="es-ES" w:eastAsia="es-ES"/>
        </w:rPr>
        <w:t>un fallo judicial</w:t>
      </w:r>
      <w:bookmarkEnd w:id="2"/>
      <w:r w:rsidRPr="00561F25">
        <w:rPr>
          <w:rFonts w:ascii="Gadugi" w:eastAsia="Times New Roman" w:hAnsi="Gadugi" w:cs="Times New Roman"/>
          <w:spacing w:val="-4"/>
          <w:sz w:val="24"/>
          <w:szCs w:val="24"/>
          <w:lang w:val="es-ES" w:eastAsia="es-ES"/>
        </w:rPr>
        <w:t xml:space="preserve">, lo cual impide que él obtenga su pensión de vejez.   </w:t>
      </w:r>
    </w:p>
    <w:p w14:paraId="74146992" w14:textId="2DB617B1" w:rsidR="00352CBA" w:rsidRPr="00561F25" w:rsidRDefault="00352CBA"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36AD645E" w14:textId="1F7BDDC6" w:rsidR="00C0289E" w:rsidRPr="00561F25" w:rsidRDefault="00C0289E" w:rsidP="00AA4FB9">
      <w:pPr>
        <w:pStyle w:val="Sangra2detindependiente"/>
        <w:spacing w:after="0" w:line="276" w:lineRule="auto"/>
        <w:ind w:left="0"/>
        <w:jc w:val="both"/>
        <w:rPr>
          <w:rFonts w:ascii="Gadugi" w:hAnsi="Gadugi"/>
          <w:spacing w:val="-4"/>
          <w:sz w:val="24"/>
          <w:szCs w:val="24"/>
        </w:rPr>
      </w:pPr>
      <w:r w:rsidRPr="00561F25">
        <w:rPr>
          <w:rFonts w:ascii="Gadugi" w:hAnsi="Gadugi"/>
          <w:spacing w:val="-4"/>
          <w:sz w:val="24"/>
          <w:szCs w:val="24"/>
        </w:rPr>
        <w:t xml:space="preserve">2.2. Con lo anterior claro sigue el análisis de la procedencia de la demanda, en relación con lo cual se tiene lo siguiente. </w:t>
      </w:r>
    </w:p>
    <w:p w14:paraId="7F1FA195" w14:textId="77777777" w:rsidR="00C0289E" w:rsidRPr="00561F25" w:rsidRDefault="00C0289E" w:rsidP="00AA4FB9">
      <w:pPr>
        <w:pStyle w:val="Sangra2detindependiente"/>
        <w:spacing w:after="0" w:line="276" w:lineRule="auto"/>
        <w:ind w:left="0"/>
        <w:jc w:val="both"/>
        <w:rPr>
          <w:rFonts w:ascii="Gadugi" w:hAnsi="Gadugi"/>
          <w:spacing w:val="-4"/>
          <w:sz w:val="24"/>
          <w:szCs w:val="24"/>
        </w:rPr>
      </w:pPr>
    </w:p>
    <w:p w14:paraId="5ACFD10E" w14:textId="4319638A" w:rsidR="00C0289E" w:rsidRPr="00561F25" w:rsidRDefault="00C0289E" w:rsidP="00AA4FB9">
      <w:pPr>
        <w:pStyle w:val="Sangra2detindependiente"/>
        <w:spacing w:after="0" w:line="276" w:lineRule="auto"/>
        <w:ind w:left="0"/>
        <w:jc w:val="both"/>
        <w:rPr>
          <w:rFonts w:ascii="Gadugi" w:hAnsi="Gadugi"/>
          <w:spacing w:val="-4"/>
          <w:sz w:val="24"/>
          <w:szCs w:val="24"/>
        </w:rPr>
      </w:pPr>
      <w:r w:rsidRPr="00561F25">
        <w:rPr>
          <w:rFonts w:ascii="Gadugi" w:hAnsi="Gadugi"/>
          <w:spacing w:val="-4"/>
          <w:sz w:val="24"/>
          <w:szCs w:val="24"/>
        </w:rPr>
        <w:t>La legitimación se cumple por activa pues la demandante es la beneficiaria de la sentencia cuyo cumplimiento se ruega.</w:t>
      </w:r>
      <w:r w:rsidR="0077532A" w:rsidRPr="00561F25">
        <w:rPr>
          <w:rFonts w:ascii="Gadugi" w:hAnsi="Gadugi"/>
          <w:spacing w:val="-4"/>
          <w:sz w:val="24"/>
          <w:szCs w:val="24"/>
        </w:rPr>
        <w:t xml:space="preserve"> </w:t>
      </w:r>
      <w:r w:rsidRPr="00561F25">
        <w:rPr>
          <w:rFonts w:ascii="Gadugi" w:hAnsi="Gadugi"/>
          <w:spacing w:val="-4"/>
          <w:sz w:val="24"/>
          <w:szCs w:val="24"/>
        </w:rPr>
        <w:t xml:space="preserve">Lo mismo sucede por pasiva, respecto de la Dirección de Procesos Judiciales de Colpensiones que es la encargada de </w:t>
      </w:r>
      <w:r w:rsidRPr="00561F25">
        <w:rPr>
          <w:rFonts w:ascii="Gadugi" w:hAnsi="Gadugi"/>
          <w:i/>
          <w:iCs/>
          <w:spacing w:val="-4"/>
          <w:sz w:val="24"/>
          <w:szCs w:val="24"/>
        </w:rPr>
        <w:t>“</w:t>
      </w:r>
      <w:r w:rsidRPr="00561F25">
        <w:rPr>
          <w:rFonts w:ascii="Gadugi" w:hAnsi="Gadugi"/>
          <w:i/>
          <w:iCs/>
          <w:spacing w:val="-4"/>
          <w:sz w:val="22"/>
          <w:szCs w:val="24"/>
        </w:rPr>
        <w:t>4.4.1.10. Gestionar el alistamiento para el cumplimiento de las sentencias judiciales</w:t>
      </w:r>
      <w:r w:rsidRPr="00561F25">
        <w:rPr>
          <w:rFonts w:ascii="Gadugi" w:hAnsi="Gadugi"/>
          <w:i/>
          <w:iCs/>
          <w:spacing w:val="-4"/>
          <w:sz w:val="24"/>
          <w:szCs w:val="24"/>
        </w:rPr>
        <w:t>”</w:t>
      </w:r>
      <w:r w:rsidRPr="00561F25">
        <w:rPr>
          <w:rFonts w:ascii="Gadugi" w:hAnsi="Gadugi"/>
          <w:spacing w:val="-4"/>
          <w:sz w:val="24"/>
          <w:szCs w:val="24"/>
        </w:rPr>
        <w:t xml:space="preserve">, </w:t>
      </w:r>
      <w:r w:rsidR="0077532A" w:rsidRPr="00561F25">
        <w:rPr>
          <w:rFonts w:ascii="Gadugi" w:hAnsi="Gadugi"/>
          <w:spacing w:val="-4"/>
          <w:sz w:val="24"/>
          <w:szCs w:val="24"/>
        </w:rPr>
        <w:t>y</w:t>
      </w:r>
      <w:r w:rsidRPr="00561F25">
        <w:rPr>
          <w:rFonts w:ascii="Gadugi" w:hAnsi="Gadugi"/>
          <w:spacing w:val="-4"/>
          <w:sz w:val="24"/>
          <w:szCs w:val="24"/>
        </w:rPr>
        <w:t xml:space="preserve"> la Dirección de Ingresos por Aportes </w:t>
      </w:r>
      <w:r w:rsidR="0077532A" w:rsidRPr="00561F25">
        <w:rPr>
          <w:rFonts w:ascii="Gadugi" w:hAnsi="Gadugi"/>
          <w:spacing w:val="-4"/>
          <w:sz w:val="24"/>
          <w:szCs w:val="24"/>
        </w:rPr>
        <w:t>de Colpensiones</w:t>
      </w:r>
      <w:r w:rsidRPr="00561F25">
        <w:rPr>
          <w:rFonts w:ascii="Gadugi" w:hAnsi="Gadugi"/>
          <w:spacing w:val="-4"/>
          <w:sz w:val="24"/>
          <w:szCs w:val="24"/>
        </w:rPr>
        <w:t xml:space="preserve"> que le </w:t>
      </w:r>
      <w:r w:rsidRPr="00561F25">
        <w:rPr>
          <w:rFonts w:ascii="Gadugi" w:hAnsi="Gadugi"/>
          <w:i/>
          <w:iCs/>
          <w:spacing w:val="-4"/>
          <w:sz w:val="24"/>
          <w:szCs w:val="24"/>
        </w:rPr>
        <w:t>compete “</w:t>
      </w:r>
      <w:r w:rsidRPr="00561F25">
        <w:rPr>
          <w:rFonts w:ascii="Gadugi" w:hAnsi="Gadugi"/>
          <w:i/>
          <w:iCs/>
          <w:spacing w:val="-4"/>
          <w:sz w:val="22"/>
          <w:szCs w:val="24"/>
        </w:rPr>
        <w:t>4.2.1.4. Liquidar, cobrar y recaudar la recuperación de semanas, obligaciones por sentencia judicial, cálculos actuariales por omisión y títulos pensionales</w:t>
      </w:r>
      <w:r w:rsidRPr="00561F25">
        <w:rPr>
          <w:rFonts w:ascii="Gadugi" w:hAnsi="Gadugi"/>
          <w:i/>
          <w:iCs/>
          <w:spacing w:val="-4"/>
          <w:sz w:val="24"/>
          <w:szCs w:val="24"/>
        </w:rPr>
        <w:t>”</w:t>
      </w:r>
      <w:r w:rsidRPr="00561F25">
        <w:rPr>
          <w:rFonts w:ascii="Gadugi" w:hAnsi="Gadugi"/>
          <w:spacing w:val="-4"/>
          <w:sz w:val="24"/>
          <w:szCs w:val="24"/>
        </w:rPr>
        <w:t xml:space="preserve">, así </w:t>
      </w:r>
      <w:r w:rsidRPr="00561F25">
        <w:rPr>
          <w:rFonts w:ascii="Gadugi" w:hAnsi="Gadugi"/>
          <w:i/>
          <w:iCs/>
          <w:spacing w:val="-4"/>
          <w:sz w:val="24"/>
          <w:szCs w:val="24"/>
        </w:rPr>
        <w:t>como “</w:t>
      </w:r>
      <w:r w:rsidRPr="00561F25">
        <w:rPr>
          <w:rFonts w:ascii="Gadugi" w:hAnsi="Gadugi"/>
          <w:i/>
          <w:iCs/>
          <w:spacing w:val="-4"/>
          <w:sz w:val="22"/>
          <w:szCs w:val="24"/>
        </w:rPr>
        <w:t>4.2.1.7 Dirigir y controlar las gestiones de traslado de aportes respecto de las entidades de otros regímenes de acuerdo a las políticas y procedimientos de recaudo de Colpensiones</w:t>
      </w:r>
      <w:r w:rsidRPr="00561F25">
        <w:rPr>
          <w:rFonts w:ascii="Gadugi" w:hAnsi="Gadugi"/>
          <w:i/>
          <w:iCs/>
          <w:spacing w:val="-4"/>
          <w:sz w:val="24"/>
          <w:szCs w:val="24"/>
        </w:rPr>
        <w:t>”</w:t>
      </w:r>
      <w:r w:rsidRPr="00561F25">
        <w:rPr>
          <w:rStyle w:val="Refdenotaalpie"/>
          <w:rFonts w:ascii="Gadugi" w:hAnsi="Gadugi"/>
          <w:i/>
          <w:iCs/>
          <w:spacing w:val="-4"/>
          <w:sz w:val="24"/>
          <w:szCs w:val="24"/>
        </w:rPr>
        <w:t xml:space="preserve"> </w:t>
      </w:r>
      <w:r w:rsidRPr="00561F25">
        <w:rPr>
          <w:rStyle w:val="Refdenotaalpie"/>
          <w:rFonts w:ascii="Gadugi" w:hAnsi="Gadugi"/>
          <w:i/>
          <w:iCs/>
          <w:spacing w:val="-4"/>
          <w:sz w:val="24"/>
          <w:szCs w:val="24"/>
        </w:rPr>
        <w:footnoteReference w:id="10"/>
      </w:r>
      <w:r w:rsidRPr="00561F25">
        <w:rPr>
          <w:rFonts w:ascii="Gadugi" w:hAnsi="Gadugi"/>
          <w:i/>
          <w:iCs/>
          <w:spacing w:val="-4"/>
          <w:sz w:val="24"/>
          <w:szCs w:val="24"/>
        </w:rPr>
        <w:t xml:space="preserve">. </w:t>
      </w:r>
      <w:r w:rsidRPr="00561F25">
        <w:rPr>
          <w:rFonts w:ascii="Gadugi" w:hAnsi="Gadugi"/>
          <w:spacing w:val="-4"/>
          <w:sz w:val="24"/>
          <w:szCs w:val="24"/>
        </w:rPr>
        <w:t xml:space="preserve">También está legitimado el representante legal de Protección S.A., porque esa entidad fue compelida </w:t>
      </w:r>
      <w:r w:rsidRPr="00561F25">
        <w:rPr>
          <w:rFonts w:ascii="Gadugi" w:hAnsi="Gadugi"/>
          <w:spacing w:val="-4"/>
          <w:sz w:val="24"/>
          <w:szCs w:val="24"/>
        </w:rPr>
        <w:lastRenderedPageBreak/>
        <w:t xml:space="preserve">con el fallo judicial del que se viene hablando, además, es receptora de la petición que la accionante dice que no le han solucionado de manera completa. </w:t>
      </w:r>
      <w:r w:rsidR="00A10B35" w:rsidRPr="00561F25">
        <w:rPr>
          <w:rFonts w:ascii="Gadugi" w:hAnsi="Gadugi"/>
          <w:spacing w:val="-4"/>
          <w:sz w:val="24"/>
          <w:szCs w:val="24"/>
        </w:rPr>
        <w:t xml:space="preserve">En ese orden de ideas debe declararse improcedente la demanda respecto de las demás dependencias de Colpensiones que fueron vinculadas a este asunto. </w:t>
      </w:r>
    </w:p>
    <w:p w14:paraId="7193DC07" w14:textId="77777777" w:rsidR="00C0289E" w:rsidRPr="00561F25" w:rsidRDefault="00C0289E" w:rsidP="00AA4FB9">
      <w:pPr>
        <w:spacing w:after="0" w:line="276" w:lineRule="auto"/>
        <w:jc w:val="both"/>
        <w:rPr>
          <w:rFonts w:ascii="Gadugi" w:hAnsi="Gadugi"/>
          <w:spacing w:val="-4"/>
          <w:sz w:val="24"/>
          <w:szCs w:val="24"/>
        </w:rPr>
      </w:pPr>
    </w:p>
    <w:p w14:paraId="2D4F08CA" w14:textId="77297B95" w:rsidR="00C858C6" w:rsidRPr="00561F25" w:rsidRDefault="00C0289E" w:rsidP="00AA4FB9">
      <w:pPr>
        <w:spacing w:after="0" w:line="276" w:lineRule="auto"/>
        <w:jc w:val="both"/>
        <w:rPr>
          <w:rFonts w:ascii="Gadugi" w:hAnsi="Gadugi"/>
          <w:spacing w:val="-4"/>
          <w:sz w:val="24"/>
          <w:szCs w:val="24"/>
        </w:rPr>
      </w:pPr>
      <w:r w:rsidRPr="00561F25">
        <w:rPr>
          <w:rFonts w:ascii="Gadugi" w:hAnsi="Gadugi"/>
          <w:spacing w:val="-4"/>
          <w:sz w:val="24"/>
          <w:szCs w:val="24"/>
        </w:rPr>
        <w:t>La inmediatez también se cumple porque la</w:t>
      </w:r>
      <w:r w:rsidR="00C858C6" w:rsidRPr="00561F25">
        <w:rPr>
          <w:rFonts w:ascii="Gadugi" w:hAnsi="Gadugi"/>
          <w:spacing w:val="-4"/>
          <w:sz w:val="24"/>
          <w:szCs w:val="24"/>
        </w:rPr>
        <w:t xml:space="preserve"> respuesta que </w:t>
      </w:r>
      <w:r w:rsidR="00E1400D" w:rsidRPr="00561F25">
        <w:rPr>
          <w:rFonts w:ascii="Gadugi" w:hAnsi="Gadugi"/>
          <w:spacing w:val="-4"/>
          <w:sz w:val="24"/>
          <w:szCs w:val="24"/>
        </w:rPr>
        <w:t xml:space="preserve">Colpensiones le dio al accionante, </w:t>
      </w:r>
      <w:r w:rsidR="00A10B35" w:rsidRPr="00561F25">
        <w:rPr>
          <w:rFonts w:ascii="Gadugi" w:hAnsi="Gadugi"/>
          <w:spacing w:val="-4"/>
          <w:sz w:val="24"/>
          <w:szCs w:val="24"/>
        </w:rPr>
        <w:t xml:space="preserve">mediante la cual se negó el trámite a su pensión, </w:t>
      </w:r>
      <w:r w:rsidR="00AE0478" w:rsidRPr="00561F25">
        <w:rPr>
          <w:rFonts w:ascii="Gadugi" w:hAnsi="Gadugi"/>
          <w:spacing w:val="-4"/>
          <w:sz w:val="24"/>
          <w:szCs w:val="24"/>
        </w:rPr>
        <w:t xml:space="preserve">data del 25 de octubre de 2022, y esta demanda se radicó, con prontitud del 10 de noviembre siguiente. </w:t>
      </w:r>
    </w:p>
    <w:p w14:paraId="5B455FFF" w14:textId="77777777" w:rsidR="00AE0478" w:rsidRPr="00561F25" w:rsidRDefault="00AE0478" w:rsidP="00AA4FB9">
      <w:pPr>
        <w:spacing w:after="0" w:line="276" w:lineRule="auto"/>
        <w:jc w:val="both"/>
        <w:rPr>
          <w:rFonts w:ascii="Gadugi" w:hAnsi="Gadugi"/>
          <w:spacing w:val="-4"/>
          <w:sz w:val="24"/>
          <w:szCs w:val="24"/>
        </w:rPr>
      </w:pPr>
    </w:p>
    <w:p w14:paraId="15DE386E" w14:textId="60CE093D" w:rsidR="00C0289E" w:rsidRPr="00561F25" w:rsidRDefault="00C0289E" w:rsidP="00AA4FB9">
      <w:pPr>
        <w:spacing w:after="0" w:line="276" w:lineRule="auto"/>
        <w:jc w:val="both"/>
        <w:rPr>
          <w:rFonts w:ascii="Gadugi" w:hAnsi="Gadugi"/>
          <w:spacing w:val="-4"/>
          <w:sz w:val="24"/>
          <w:szCs w:val="24"/>
        </w:rPr>
      </w:pPr>
      <w:r w:rsidRPr="00561F25">
        <w:rPr>
          <w:rFonts w:ascii="Gadugi" w:hAnsi="Gadugi"/>
          <w:spacing w:val="-4"/>
          <w:sz w:val="24"/>
          <w:szCs w:val="24"/>
        </w:rPr>
        <w:t xml:space="preserve">Y también </w:t>
      </w:r>
      <w:bookmarkStart w:id="3" w:name="_Hlk135746136"/>
      <w:r w:rsidRPr="00561F25">
        <w:rPr>
          <w:rFonts w:ascii="Gadugi" w:hAnsi="Gadugi"/>
          <w:spacing w:val="-4"/>
          <w:sz w:val="24"/>
          <w:szCs w:val="24"/>
        </w:rPr>
        <w:t>se supera la subsidiaridad, porque según se recuerda en reciente providencia de este Tribunal</w:t>
      </w:r>
      <w:r w:rsidRPr="00561F25">
        <w:rPr>
          <w:rStyle w:val="Refdenotaalpie"/>
          <w:rFonts w:ascii="Gadugi" w:hAnsi="Gadugi"/>
          <w:spacing w:val="-4"/>
          <w:sz w:val="24"/>
          <w:szCs w:val="24"/>
        </w:rPr>
        <w:footnoteReference w:id="11"/>
      </w:r>
      <w:r w:rsidRPr="00561F25">
        <w:rPr>
          <w:rFonts w:ascii="Gadugi" w:hAnsi="Gadugi"/>
          <w:spacing w:val="-4"/>
          <w:sz w:val="24"/>
          <w:szCs w:val="24"/>
        </w:rPr>
        <w:t xml:space="preserve">, que a su vez cita precedente de la Corte Constitucional, la acción de tutela es procedente para reclamar el cumplimiento de una sentencia judicial, cuando esta contenga una </w:t>
      </w:r>
      <w:r w:rsidRPr="00561F25">
        <w:rPr>
          <w:rFonts w:ascii="Gadugi" w:hAnsi="Gadugi"/>
          <w:spacing w:val="-4"/>
          <w:sz w:val="24"/>
          <w:szCs w:val="24"/>
          <w:u w:val="single"/>
        </w:rPr>
        <w:t>obligación de hacer</w:t>
      </w:r>
      <w:r w:rsidRPr="00561F25">
        <w:rPr>
          <w:rFonts w:ascii="Gadugi" w:hAnsi="Gadugi"/>
          <w:spacing w:val="-4"/>
          <w:sz w:val="24"/>
          <w:szCs w:val="24"/>
        </w:rPr>
        <w:t>.</w:t>
      </w:r>
    </w:p>
    <w:bookmarkEnd w:id="3"/>
    <w:p w14:paraId="68223ECA" w14:textId="77777777" w:rsidR="00C0289E" w:rsidRPr="00561F25" w:rsidRDefault="00C0289E" w:rsidP="00AA4FB9">
      <w:pPr>
        <w:spacing w:after="0" w:line="276" w:lineRule="auto"/>
        <w:ind w:left="567" w:right="618"/>
        <w:jc w:val="both"/>
        <w:rPr>
          <w:rFonts w:ascii="Gadugi" w:hAnsi="Gadugi"/>
          <w:spacing w:val="-4"/>
          <w:sz w:val="24"/>
          <w:szCs w:val="24"/>
        </w:rPr>
      </w:pPr>
    </w:p>
    <w:p w14:paraId="4DA3186D" w14:textId="7512AA75" w:rsidR="00C0289E" w:rsidRPr="00561F25" w:rsidRDefault="00C0289E" w:rsidP="00AA4FB9">
      <w:pPr>
        <w:spacing w:after="0" w:line="240" w:lineRule="auto"/>
        <w:ind w:left="426" w:right="420"/>
        <w:jc w:val="both"/>
        <w:rPr>
          <w:rFonts w:ascii="Gadugi" w:hAnsi="Gadugi"/>
          <w:spacing w:val="-4"/>
          <w:szCs w:val="24"/>
          <w:shd w:val="clear" w:color="auto" w:fill="FFFFFF"/>
        </w:rPr>
      </w:pPr>
      <w:r w:rsidRPr="00561F25">
        <w:rPr>
          <w:rFonts w:ascii="Gadugi" w:hAnsi="Gadugi"/>
          <w:spacing w:val="-4"/>
          <w:szCs w:val="24"/>
          <w:shd w:val="clear" w:color="auto" w:fill="FFFFFF"/>
        </w:rPr>
        <w:t>De vieja data, la jurisprudencia constitucional (2018)</w:t>
      </w:r>
      <w:r w:rsidRPr="00561F25">
        <w:rPr>
          <w:rStyle w:val="Refdenotaalpie"/>
          <w:rFonts w:ascii="Gadugi" w:hAnsi="Gadugi"/>
          <w:spacing w:val="-4"/>
          <w:szCs w:val="24"/>
          <w:shd w:val="clear" w:color="auto" w:fill="FFFFFF"/>
        </w:rPr>
        <w:footnoteReference w:id="12"/>
      </w:r>
      <w:r w:rsidRPr="00561F25">
        <w:rPr>
          <w:rFonts w:ascii="Gadugi" w:hAnsi="Gadugi"/>
          <w:spacing w:val="-4"/>
          <w:szCs w:val="24"/>
          <w:shd w:val="clear" w:color="auto" w:fill="FFFFFF"/>
        </w:rPr>
        <w:t xml:space="preserve"> enseña que el recurso de amparo es procedente cuando atañe al cumplimiento sentencias judiciales que comporten obligaciones de hacer, </w:t>
      </w:r>
      <w:r w:rsidRPr="00561F25">
        <w:rPr>
          <w:rFonts w:ascii="Gadugi" w:hAnsi="Gadugi"/>
          <w:i/>
          <w:iCs/>
          <w:spacing w:val="-4"/>
          <w:szCs w:val="24"/>
          <w:shd w:val="clear" w:color="auto" w:fill="FFFFFF"/>
        </w:rPr>
        <w:t>“(…) por cuanto el proceso ejecutivo no propicia las mismas garantías respecto de esta clase de obligaciones que frente a otro tipo de condenas, como serían las monetarias. Ante esta circunstancia, la jurisprudencia constitucional ha establecido que la acción de tutela resulta procedente para exigir el acatamiento de obligaciones de hacer, en los casos que se solicita (…)”</w:t>
      </w:r>
      <w:r w:rsidRPr="00561F25">
        <w:rPr>
          <w:rFonts w:ascii="Gadugi" w:hAnsi="Gadugi"/>
          <w:spacing w:val="-4"/>
          <w:szCs w:val="24"/>
          <w:shd w:val="clear" w:color="auto" w:fill="FFFFFF"/>
        </w:rPr>
        <w:t>. Entonces, la tutela constituye el escenario idóneo y eficaz para resolver ese tipo de asuntos.</w:t>
      </w:r>
    </w:p>
    <w:p w14:paraId="04ECF0E2" w14:textId="77777777" w:rsidR="00C0289E" w:rsidRPr="00561F25" w:rsidRDefault="00C0289E" w:rsidP="00AA4FB9">
      <w:pPr>
        <w:spacing w:after="0" w:line="276" w:lineRule="auto"/>
        <w:jc w:val="both"/>
        <w:rPr>
          <w:rFonts w:ascii="Gadugi" w:hAnsi="Gadugi"/>
          <w:spacing w:val="-4"/>
          <w:sz w:val="24"/>
          <w:szCs w:val="24"/>
        </w:rPr>
      </w:pPr>
    </w:p>
    <w:p w14:paraId="10E1B511" w14:textId="589582D3" w:rsidR="00C0289E" w:rsidRPr="00561F25" w:rsidRDefault="00C0289E" w:rsidP="00AA4FB9">
      <w:pPr>
        <w:spacing w:after="0" w:line="276" w:lineRule="auto"/>
        <w:jc w:val="both"/>
        <w:rPr>
          <w:rFonts w:ascii="Gadugi" w:hAnsi="Gadugi"/>
          <w:spacing w:val="-4"/>
          <w:sz w:val="24"/>
          <w:szCs w:val="24"/>
        </w:rPr>
      </w:pPr>
      <w:r w:rsidRPr="00561F25">
        <w:rPr>
          <w:rFonts w:ascii="Gadugi" w:hAnsi="Gadugi"/>
          <w:spacing w:val="-4"/>
          <w:sz w:val="24"/>
          <w:szCs w:val="24"/>
        </w:rPr>
        <w:t>En este asunto, la orden contenida en el fallo cuyo cumplimiento se implora, es de hacer. En efecto, en él se dispuso que Protección S.A., trasladara con destino a Colpensiones los recursos de la cuenta de ahorro individual de la accionante, y que Colpensiones activara la afiliación de la actora al RPM.</w:t>
      </w:r>
      <w:r w:rsidR="000C1DA9" w:rsidRPr="00561F25">
        <w:rPr>
          <w:rStyle w:val="Refdenotaalpie"/>
          <w:rFonts w:ascii="Gadugi" w:hAnsi="Gadugi"/>
          <w:spacing w:val="-4"/>
          <w:sz w:val="24"/>
          <w:szCs w:val="24"/>
        </w:rPr>
        <w:footnoteReference w:id="13"/>
      </w:r>
    </w:p>
    <w:p w14:paraId="3DEC1209" w14:textId="77777777" w:rsidR="00C0289E" w:rsidRPr="00561F25" w:rsidRDefault="00C0289E" w:rsidP="00AA4FB9">
      <w:pPr>
        <w:spacing w:after="0" w:line="276" w:lineRule="auto"/>
        <w:jc w:val="both"/>
        <w:rPr>
          <w:rFonts w:ascii="Gadugi" w:hAnsi="Gadugi"/>
          <w:spacing w:val="-4"/>
          <w:sz w:val="24"/>
          <w:szCs w:val="24"/>
        </w:rPr>
      </w:pPr>
    </w:p>
    <w:p w14:paraId="247CBA57" w14:textId="77777777" w:rsidR="00C0289E" w:rsidRPr="00561F25" w:rsidRDefault="00C0289E" w:rsidP="00AA4FB9">
      <w:pPr>
        <w:spacing w:after="0" w:line="276" w:lineRule="auto"/>
        <w:jc w:val="both"/>
        <w:rPr>
          <w:rFonts w:ascii="Gadugi" w:hAnsi="Gadugi"/>
          <w:spacing w:val="-4"/>
          <w:sz w:val="24"/>
          <w:szCs w:val="24"/>
        </w:rPr>
      </w:pPr>
      <w:r w:rsidRPr="00561F25">
        <w:rPr>
          <w:rFonts w:ascii="Gadugi" w:hAnsi="Gadugi"/>
          <w:spacing w:val="-4"/>
          <w:sz w:val="24"/>
          <w:szCs w:val="24"/>
        </w:rPr>
        <w:t>A tono con lo que viene siendo dicho, es pertinente recordar lo que enseña la Corte Constitucional sobre la obligación que tienen las autoridades públicas de cumplir oportunamente los fallos judiciales ejecutoriados, como garantía de los derechos fundamentales al debido proceso y al acceso a la administración de justicia</w:t>
      </w:r>
      <w:r w:rsidRPr="00561F25">
        <w:rPr>
          <w:rStyle w:val="Refdenotaalpie"/>
          <w:rFonts w:ascii="Gadugi" w:hAnsi="Gadugi"/>
          <w:spacing w:val="-4"/>
          <w:sz w:val="24"/>
          <w:szCs w:val="24"/>
        </w:rPr>
        <w:footnoteReference w:id="14"/>
      </w:r>
      <w:r w:rsidRPr="00561F25">
        <w:rPr>
          <w:rFonts w:ascii="Gadugi" w:hAnsi="Gadugi"/>
          <w:spacing w:val="-4"/>
          <w:sz w:val="24"/>
          <w:szCs w:val="24"/>
        </w:rPr>
        <w:t>:</w:t>
      </w:r>
    </w:p>
    <w:p w14:paraId="600551A1" w14:textId="77777777" w:rsidR="00C0289E" w:rsidRPr="00561F25" w:rsidRDefault="00C0289E" w:rsidP="00AA4FB9">
      <w:pPr>
        <w:spacing w:after="0" w:line="276" w:lineRule="auto"/>
        <w:ind w:right="902"/>
        <w:jc w:val="both"/>
        <w:rPr>
          <w:rFonts w:ascii="Gadugi" w:hAnsi="Gadugi"/>
          <w:spacing w:val="-4"/>
          <w:sz w:val="24"/>
          <w:szCs w:val="24"/>
        </w:rPr>
      </w:pPr>
    </w:p>
    <w:p w14:paraId="471965E7" w14:textId="06817F63" w:rsidR="00C0289E" w:rsidRPr="00561F25" w:rsidRDefault="00C0289E" w:rsidP="00AA4FB9">
      <w:pPr>
        <w:spacing w:after="0" w:line="240" w:lineRule="auto"/>
        <w:ind w:left="426" w:right="420"/>
        <w:jc w:val="both"/>
        <w:rPr>
          <w:rFonts w:ascii="Gadugi" w:hAnsi="Gadugi"/>
          <w:b/>
          <w:spacing w:val="-4"/>
          <w:szCs w:val="24"/>
          <w:bdr w:val="none" w:sz="0" w:space="0" w:color="auto" w:frame="1"/>
          <w:shd w:val="clear" w:color="auto" w:fill="FFFFFF"/>
        </w:rPr>
      </w:pPr>
      <w:r w:rsidRPr="00561F25">
        <w:rPr>
          <w:rFonts w:ascii="Gadugi" w:hAnsi="Gadugi"/>
          <w:spacing w:val="-4"/>
          <w:szCs w:val="24"/>
          <w:bdr w:val="none" w:sz="0" w:space="0" w:color="auto" w:frame="1"/>
          <w:shd w:val="clear" w:color="auto" w:fill="FFFFFF"/>
        </w:rPr>
        <w:t>La jurisprudencia de esta Corte ha señalado</w:t>
      </w:r>
      <w:r w:rsidRPr="00561F25">
        <w:rPr>
          <w:rStyle w:val="Refdenotaalpie"/>
          <w:rFonts w:ascii="Gadugi" w:hAnsi="Gadugi"/>
          <w:spacing w:val="-4"/>
          <w:szCs w:val="24"/>
          <w:bdr w:val="none" w:sz="0" w:space="0" w:color="auto" w:frame="1"/>
          <w:shd w:val="clear" w:color="auto" w:fill="FFFFFF"/>
        </w:rPr>
        <w:footnoteReference w:id="15"/>
      </w:r>
      <w:r w:rsidRPr="00561F25">
        <w:rPr>
          <w:rFonts w:ascii="Gadugi" w:hAnsi="Gadugi"/>
          <w:spacing w:val="-4"/>
          <w:szCs w:val="24"/>
          <w:bdr w:val="none" w:sz="0" w:space="0" w:color="auto" w:frame="1"/>
          <w:shd w:val="clear" w:color="auto" w:fill="FFFFFF"/>
        </w:rPr>
        <w:t> que </w:t>
      </w:r>
      <w:r w:rsidRPr="00561F25">
        <w:rPr>
          <w:rFonts w:ascii="Gadugi" w:hAnsi="Gadugi"/>
          <w:spacing w:val="-4"/>
          <w:szCs w:val="24"/>
          <w:bdr w:val="none" w:sz="0" w:space="0" w:color="auto" w:frame="1"/>
          <w:shd w:val="clear" w:color="auto" w:fill="FFFFFF"/>
          <w:lang w:val="es-ES_tradnl"/>
        </w:rPr>
        <w:t>el debido proceso y la garantía del </w:t>
      </w:r>
      <w:r w:rsidRPr="00561F25">
        <w:rPr>
          <w:rFonts w:ascii="Gadugi" w:hAnsi="Gadugi"/>
          <w:spacing w:val="-4"/>
          <w:szCs w:val="24"/>
          <w:bdr w:val="none" w:sz="0" w:space="0" w:color="auto" w:frame="1"/>
          <w:shd w:val="clear" w:color="auto" w:fill="FFFFFF"/>
        </w:rPr>
        <w:t>derecho a la jurisdicción, comprende los derechos al libre e igualitario acceso ante los jueces y autoridades administrativas, a obtener soluciones y decisiones motivadas en un plazo razonable, a que estas puedan ser impugnadas ante las autoridades de jerarquía superior, </w:t>
      </w:r>
      <w:r w:rsidRPr="00561F25">
        <w:rPr>
          <w:rFonts w:ascii="Gadugi" w:hAnsi="Gadugi"/>
          <w:b/>
          <w:i/>
          <w:iCs/>
          <w:spacing w:val="-4"/>
          <w:szCs w:val="24"/>
          <w:bdr w:val="none" w:sz="0" w:space="0" w:color="auto" w:frame="1"/>
          <w:shd w:val="clear" w:color="auto" w:fill="FFFFFF"/>
        </w:rPr>
        <w:t>y al cumplimiento efectivo de lo decidido en el fallo</w:t>
      </w:r>
      <w:r w:rsidRPr="00561F25">
        <w:rPr>
          <w:rStyle w:val="Refdenotaalpie"/>
          <w:rFonts w:ascii="Gadugi" w:hAnsi="Gadugi"/>
          <w:b/>
          <w:i/>
          <w:iCs/>
          <w:spacing w:val="-4"/>
          <w:szCs w:val="24"/>
          <w:bdr w:val="none" w:sz="0" w:space="0" w:color="auto" w:frame="1"/>
          <w:shd w:val="clear" w:color="auto" w:fill="FFFFFF"/>
        </w:rPr>
        <w:footnoteReference w:id="16"/>
      </w:r>
      <w:r w:rsidRPr="00561F25">
        <w:rPr>
          <w:rFonts w:ascii="Gadugi" w:hAnsi="Gadugi"/>
          <w:b/>
          <w:spacing w:val="-4"/>
          <w:szCs w:val="24"/>
          <w:bdr w:val="none" w:sz="0" w:space="0" w:color="auto" w:frame="1"/>
          <w:shd w:val="clear" w:color="auto" w:fill="FFFFFF"/>
        </w:rPr>
        <w:t>.</w:t>
      </w:r>
    </w:p>
    <w:p w14:paraId="346735A5" w14:textId="77777777" w:rsidR="00C0289E" w:rsidRPr="00561F25" w:rsidRDefault="00C0289E" w:rsidP="00AA4FB9">
      <w:pPr>
        <w:spacing w:after="0" w:line="240" w:lineRule="auto"/>
        <w:ind w:left="426" w:right="420"/>
        <w:jc w:val="both"/>
        <w:rPr>
          <w:rFonts w:ascii="Gadugi" w:hAnsi="Gadugi" w:cs="Calibri"/>
          <w:spacing w:val="-4"/>
          <w:szCs w:val="24"/>
          <w:lang w:val="es-CO" w:eastAsia="es-CO"/>
        </w:rPr>
      </w:pPr>
    </w:p>
    <w:p w14:paraId="7681D5E7" w14:textId="60A73BBE" w:rsidR="00C0289E" w:rsidRPr="00561F25" w:rsidRDefault="00C0289E" w:rsidP="00AA4FB9">
      <w:pPr>
        <w:spacing w:after="0" w:line="240" w:lineRule="auto"/>
        <w:ind w:left="426" w:right="420"/>
        <w:jc w:val="both"/>
        <w:rPr>
          <w:rFonts w:ascii="Gadugi" w:hAnsi="Gadugi"/>
          <w:b/>
          <w:spacing w:val="-4"/>
          <w:szCs w:val="24"/>
          <w:bdr w:val="none" w:sz="0" w:space="0" w:color="auto" w:frame="1"/>
          <w:shd w:val="clear" w:color="auto" w:fill="FFFFFF"/>
        </w:rPr>
      </w:pPr>
      <w:r w:rsidRPr="00561F25">
        <w:rPr>
          <w:rFonts w:ascii="Gadugi" w:hAnsi="Gadugi"/>
          <w:spacing w:val="-4"/>
          <w:szCs w:val="24"/>
          <w:bdr w:val="none" w:sz="0" w:space="0" w:color="auto" w:frame="1"/>
          <w:shd w:val="clear" w:color="auto" w:fill="FFFFFF"/>
        </w:rPr>
        <w:t>La Sala Primera de Revisión en la sentencia T-371 de 2016</w:t>
      </w:r>
      <w:r w:rsidRPr="00561F25">
        <w:rPr>
          <w:rStyle w:val="Refdenotaalpie"/>
          <w:rFonts w:ascii="Gadugi" w:hAnsi="Gadugi"/>
          <w:spacing w:val="-4"/>
          <w:szCs w:val="24"/>
          <w:bdr w:val="none" w:sz="0" w:space="0" w:color="auto" w:frame="1"/>
          <w:shd w:val="clear" w:color="auto" w:fill="FFFFFF"/>
        </w:rPr>
        <w:footnoteReference w:id="17"/>
      </w:r>
      <w:r w:rsidRPr="00561F25">
        <w:rPr>
          <w:rFonts w:ascii="Gadugi" w:hAnsi="Gadugi"/>
          <w:spacing w:val="-4"/>
          <w:szCs w:val="24"/>
          <w:bdr w:val="none" w:sz="0" w:space="0" w:color="auto" w:frame="1"/>
          <w:shd w:val="clear" w:color="auto" w:fill="FFFFFF"/>
        </w:rPr>
        <w:t xml:space="preserve">, explicó que la ejecución de las sentencias se traduce en la sujeción de los ciudadanos y los poderes públicos a la </w:t>
      </w:r>
      <w:r w:rsidRPr="00561F25">
        <w:rPr>
          <w:rFonts w:ascii="Gadugi" w:hAnsi="Gadugi"/>
          <w:spacing w:val="-4"/>
          <w:szCs w:val="24"/>
          <w:bdr w:val="none" w:sz="0" w:space="0" w:color="auto" w:frame="1"/>
          <w:shd w:val="clear" w:color="auto" w:fill="FFFFFF"/>
        </w:rPr>
        <w:lastRenderedPageBreak/>
        <w:t>Constitución, y que el incumplimiento de esa garantía constituye un grave atentado al Estado de derecho. Al analizar esta garantía en relación con los principios constitucionales de celeridad, eficacia y prevalencia del derecho sustancial sobre las formalidades propias de cada proceso, como presupuestos de la función judicial y administrativa</w:t>
      </w:r>
      <w:r w:rsidRPr="00561F25">
        <w:rPr>
          <w:rStyle w:val="Refdenotaalpie"/>
          <w:rFonts w:ascii="Gadugi" w:hAnsi="Gadugi"/>
          <w:spacing w:val="-4"/>
          <w:szCs w:val="24"/>
          <w:bdr w:val="none" w:sz="0" w:space="0" w:color="auto" w:frame="1"/>
          <w:shd w:val="clear" w:color="auto" w:fill="FFFFFF"/>
        </w:rPr>
        <w:footnoteReference w:id="18"/>
      </w:r>
      <w:r w:rsidRPr="00561F25">
        <w:rPr>
          <w:rFonts w:ascii="Gadugi" w:hAnsi="Gadugi"/>
          <w:spacing w:val="-4"/>
          <w:szCs w:val="24"/>
          <w:bdr w:val="none" w:sz="0" w:space="0" w:color="auto" w:frame="1"/>
          <w:shd w:val="clear" w:color="auto" w:fill="FFFFFF"/>
        </w:rPr>
        <w:t xml:space="preserve">, </w:t>
      </w:r>
      <w:r w:rsidRPr="00561F25">
        <w:rPr>
          <w:rFonts w:ascii="Gadugi" w:hAnsi="Gadugi"/>
          <w:b/>
          <w:spacing w:val="-4"/>
          <w:szCs w:val="24"/>
          <w:bdr w:val="none" w:sz="0" w:space="0" w:color="auto" w:frame="1"/>
          <w:shd w:val="clear" w:color="auto" w:fill="FFFFFF"/>
        </w:rPr>
        <w:t>es posible hablar del cumplimiento de las providencias judiciales, como una faceta del núcleo esencial del debido proceso (Preámbulo y artículos 1, 2, 6, 29 y 86 de la Constitución).</w:t>
      </w:r>
    </w:p>
    <w:p w14:paraId="6DF7EC63" w14:textId="77777777" w:rsidR="00C0289E" w:rsidRPr="00561F25" w:rsidRDefault="00C0289E" w:rsidP="00AA4FB9">
      <w:pPr>
        <w:spacing w:after="0" w:line="240" w:lineRule="auto"/>
        <w:ind w:left="426" w:right="420"/>
        <w:jc w:val="both"/>
        <w:rPr>
          <w:rFonts w:ascii="Gadugi" w:hAnsi="Gadugi" w:cs="Calibri"/>
          <w:spacing w:val="-4"/>
          <w:szCs w:val="24"/>
        </w:rPr>
      </w:pPr>
    </w:p>
    <w:p w14:paraId="5B347A57" w14:textId="59DA2AD8" w:rsidR="00C0289E" w:rsidRPr="00561F25" w:rsidRDefault="00C0289E" w:rsidP="00AA4FB9">
      <w:pPr>
        <w:spacing w:after="0" w:line="240" w:lineRule="auto"/>
        <w:ind w:left="426" w:right="420"/>
        <w:jc w:val="both"/>
        <w:rPr>
          <w:rFonts w:ascii="Gadugi" w:hAnsi="Gadugi"/>
          <w:spacing w:val="-4"/>
          <w:szCs w:val="24"/>
          <w:bdr w:val="none" w:sz="0" w:space="0" w:color="auto" w:frame="1"/>
          <w:shd w:val="clear" w:color="auto" w:fill="FFFFFF"/>
        </w:rPr>
      </w:pPr>
      <w:bookmarkStart w:id="4" w:name="_Hlk135746434"/>
      <w:r w:rsidRPr="00561F25">
        <w:rPr>
          <w:rFonts w:ascii="Gadugi" w:hAnsi="Gadugi"/>
          <w:b/>
          <w:spacing w:val="-4"/>
          <w:szCs w:val="24"/>
          <w:bdr w:val="none" w:sz="0" w:space="0" w:color="auto" w:frame="1"/>
          <w:shd w:val="clear" w:color="auto" w:fill="FFFFFF"/>
        </w:rPr>
        <w:t>En la misma decisión, la Corte explicó que el derecho a una tutela judicial efectiva implica la existencia de un </w:t>
      </w:r>
      <w:r w:rsidRPr="00561F25">
        <w:rPr>
          <w:rFonts w:ascii="Gadugi" w:hAnsi="Gadugi"/>
          <w:b/>
          <w:i/>
          <w:iCs/>
          <w:spacing w:val="-4"/>
          <w:szCs w:val="24"/>
          <w:bdr w:val="none" w:sz="0" w:space="0" w:color="auto" w:frame="1"/>
          <w:shd w:val="clear" w:color="auto" w:fill="FFFFFF"/>
        </w:rPr>
        <w:t>plazo razonable</w:t>
      </w:r>
      <w:r w:rsidRPr="00561F25">
        <w:rPr>
          <w:rFonts w:ascii="Gadugi" w:hAnsi="Gadugi"/>
          <w:b/>
          <w:spacing w:val="-4"/>
          <w:szCs w:val="24"/>
          <w:bdr w:val="none" w:sz="0" w:space="0" w:color="auto" w:frame="1"/>
          <w:shd w:val="clear" w:color="auto" w:fill="FFFFFF"/>
        </w:rPr>
        <w:t> en el cumplimiento de las decisiones judiciales, para resolver y ejecutar lo resuelto</w:t>
      </w:r>
      <w:bookmarkEnd w:id="4"/>
      <w:r w:rsidRPr="00561F25">
        <w:rPr>
          <w:rFonts w:ascii="Gadugi" w:hAnsi="Gadugi"/>
          <w:b/>
          <w:spacing w:val="-4"/>
          <w:szCs w:val="24"/>
          <w:bdr w:val="none" w:sz="0" w:space="0" w:color="auto" w:frame="1"/>
          <w:shd w:val="clear" w:color="auto" w:fill="FFFFFF"/>
        </w:rPr>
        <w:t>.</w:t>
      </w:r>
      <w:r w:rsidRPr="00561F25">
        <w:rPr>
          <w:rFonts w:ascii="Gadugi" w:hAnsi="Gadugi"/>
          <w:spacing w:val="-4"/>
          <w:szCs w:val="24"/>
          <w:bdr w:val="none" w:sz="0" w:space="0" w:color="auto" w:frame="1"/>
          <w:shd w:val="clear" w:color="auto" w:fill="FFFFFF"/>
        </w:rPr>
        <w:t xml:space="preserve"> Esta </w:t>
      </w:r>
      <w:r w:rsidRPr="00561F25">
        <w:rPr>
          <w:rFonts w:ascii="Gadugi" w:hAnsi="Gadugi"/>
          <w:i/>
          <w:iCs/>
          <w:spacing w:val="-4"/>
          <w:szCs w:val="24"/>
          <w:bdr w:val="none" w:sz="0" w:space="0" w:color="auto" w:frame="1"/>
          <w:shd w:val="clear" w:color="auto" w:fill="FFFFFF"/>
        </w:rPr>
        <w:t>razonabilidad</w:t>
      </w:r>
      <w:r w:rsidRPr="00561F25">
        <w:rPr>
          <w:rFonts w:ascii="Gadugi" w:hAnsi="Gadugi"/>
          <w:spacing w:val="-4"/>
          <w:szCs w:val="24"/>
          <w:bdr w:val="none" w:sz="0" w:space="0" w:color="auto" w:frame="1"/>
          <w:shd w:val="clear" w:color="auto" w:fill="FFFFFF"/>
        </w:rPr>
        <w:t> que en principio es establecida por el legislador busca hacer efectivos los derechos o intereses de las personas reconocidos o declarados en una sentencia con base en la obligación correlativa de la administración de cumplir las providencias judiciales</w:t>
      </w:r>
      <w:r w:rsidRPr="00561F25">
        <w:rPr>
          <w:rStyle w:val="Refdenotaalpie"/>
          <w:rFonts w:ascii="Gadugi" w:hAnsi="Gadugi"/>
          <w:spacing w:val="-4"/>
          <w:szCs w:val="24"/>
          <w:bdr w:val="none" w:sz="0" w:space="0" w:color="auto" w:frame="1"/>
          <w:shd w:val="clear" w:color="auto" w:fill="FFFFFF"/>
        </w:rPr>
        <w:footnoteReference w:id="19"/>
      </w:r>
      <w:r w:rsidRPr="00561F25">
        <w:rPr>
          <w:rFonts w:ascii="Gadugi" w:hAnsi="Gadugi"/>
          <w:spacing w:val="-4"/>
          <w:szCs w:val="24"/>
          <w:bdr w:val="none" w:sz="0" w:space="0" w:color="auto" w:frame="1"/>
          <w:shd w:val="clear" w:color="auto" w:fill="FFFFFF"/>
        </w:rPr>
        <w:t>. De manera que, cuando una autoridad demandada “</w:t>
      </w:r>
      <w:r w:rsidRPr="00561F25">
        <w:rPr>
          <w:rFonts w:ascii="Gadugi" w:hAnsi="Gadugi"/>
          <w:i/>
          <w:iCs/>
          <w:spacing w:val="-4"/>
          <w:szCs w:val="24"/>
          <w:bdr w:val="none" w:sz="0" w:space="0" w:color="auto" w:frame="1"/>
          <w:shd w:val="clear" w:color="auto" w:fill="FFFFFF"/>
        </w:rPr>
        <w:t>se rehúsa o se abstiene de ejecutar lo dispuesto en una providencia judicial que le fue adversa, no sólo vulnera los derechos fundamentales que a través de esa última se han reconocido a quien invocó la protección, sino que desacata una decisión que hizo tránsito a cosa juzgada, violándose por esta vía el ordenamiento jurídico superior</w:t>
      </w:r>
      <w:r w:rsidRPr="00561F25">
        <w:rPr>
          <w:rFonts w:ascii="Gadugi" w:hAnsi="Gadugi"/>
          <w:spacing w:val="-4"/>
          <w:szCs w:val="24"/>
          <w:bdr w:val="none" w:sz="0" w:space="0" w:color="auto" w:frame="1"/>
          <w:shd w:val="clear" w:color="auto" w:fill="FFFFFF"/>
        </w:rPr>
        <w:t>”</w:t>
      </w:r>
      <w:r w:rsidRPr="00561F25">
        <w:rPr>
          <w:rStyle w:val="Refdenotaalpie"/>
          <w:rFonts w:ascii="Gadugi" w:hAnsi="Gadugi"/>
          <w:spacing w:val="-4"/>
          <w:szCs w:val="24"/>
          <w:bdr w:val="none" w:sz="0" w:space="0" w:color="auto" w:frame="1"/>
          <w:shd w:val="clear" w:color="auto" w:fill="FFFFFF"/>
        </w:rPr>
        <w:footnoteReference w:id="20"/>
      </w:r>
      <w:r w:rsidRPr="00561F25">
        <w:rPr>
          <w:rFonts w:ascii="Gadugi" w:hAnsi="Gadugi"/>
          <w:spacing w:val="-4"/>
          <w:szCs w:val="24"/>
          <w:bdr w:val="none" w:sz="0" w:space="0" w:color="auto" w:frame="1"/>
          <w:shd w:val="clear" w:color="auto" w:fill="FFFFFF"/>
        </w:rPr>
        <w:t>. Lo anterior, comoquiera que “</w:t>
      </w:r>
      <w:r w:rsidRPr="00561F25">
        <w:rPr>
          <w:rFonts w:ascii="Gadugi" w:hAnsi="Gadugi"/>
          <w:i/>
          <w:iCs/>
          <w:spacing w:val="-4"/>
          <w:szCs w:val="24"/>
          <w:bdr w:val="none" w:sz="0" w:space="0" w:color="auto" w:frame="1"/>
          <w:shd w:val="clear" w:color="auto" w:fill="FFFFFF"/>
        </w:rPr>
        <w:t>la misión de los jueces de administrar justicia mediante sentencias con carácter obligatorio exige de los entes ejecutivos una conducta de estricta diligencia en el cumplimiento de las mismas, con el fin de mantener vigente el Estado de Derecho, actuar en concordancia con sus fines esenciales e inculcar en la población una conciencia institucional de respeto y sujeción al ordenamiento jurídico.</w:t>
      </w:r>
      <w:r w:rsidRPr="00561F25">
        <w:rPr>
          <w:rFonts w:ascii="Gadugi" w:hAnsi="Gadugi"/>
          <w:spacing w:val="-4"/>
          <w:szCs w:val="24"/>
          <w:bdr w:val="none" w:sz="0" w:space="0" w:color="auto" w:frame="1"/>
          <w:shd w:val="clear" w:color="auto" w:fill="FFFFFF"/>
        </w:rPr>
        <w:t>”</w:t>
      </w:r>
      <w:r w:rsidRPr="00561F25">
        <w:rPr>
          <w:rStyle w:val="Refdenotaalpie"/>
          <w:rFonts w:ascii="Gadugi" w:hAnsi="Gadugi"/>
          <w:spacing w:val="-4"/>
          <w:szCs w:val="24"/>
          <w:bdr w:val="none" w:sz="0" w:space="0" w:color="auto" w:frame="1"/>
          <w:shd w:val="clear" w:color="auto" w:fill="FFFFFF"/>
        </w:rPr>
        <w:footnoteReference w:id="21"/>
      </w:r>
      <w:r w:rsidRPr="00561F25">
        <w:rPr>
          <w:rFonts w:ascii="Gadugi" w:hAnsi="Gadugi"/>
          <w:spacing w:val="-4"/>
          <w:szCs w:val="24"/>
          <w:bdr w:val="none" w:sz="0" w:space="0" w:color="auto" w:frame="1"/>
          <w:shd w:val="clear" w:color="auto" w:fill="FFFFFF"/>
        </w:rPr>
        <w:t xml:space="preserve"> (Destaca la Sala)</w:t>
      </w:r>
      <w:r w:rsidR="00725B6F" w:rsidRPr="00561F25">
        <w:rPr>
          <w:rFonts w:ascii="Gadugi" w:hAnsi="Gadugi"/>
          <w:spacing w:val="-4"/>
          <w:szCs w:val="24"/>
          <w:bdr w:val="none" w:sz="0" w:space="0" w:color="auto" w:frame="1"/>
          <w:shd w:val="clear" w:color="auto" w:fill="FFFFFF"/>
        </w:rPr>
        <w:t>.</w:t>
      </w:r>
    </w:p>
    <w:p w14:paraId="669E16B6" w14:textId="77777777" w:rsidR="00725B6F" w:rsidRPr="00561F25" w:rsidRDefault="00725B6F" w:rsidP="00AA4FB9">
      <w:pPr>
        <w:spacing w:after="0" w:line="276" w:lineRule="auto"/>
        <w:jc w:val="both"/>
        <w:rPr>
          <w:rFonts w:ascii="Gadugi" w:hAnsi="Gadugi"/>
          <w:spacing w:val="-4"/>
          <w:sz w:val="24"/>
          <w:szCs w:val="24"/>
        </w:rPr>
      </w:pPr>
    </w:p>
    <w:p w14:paraId="5161BE05" w14:textId="76733184" w:rsidR="00BB65FB" w:rsidRPr="00561F25" w:rsidRDefault="00725B6F" w:rsidP="00AA4FB9">
      <w:pPr>
        <w:spacing w:after="0" w:line="276" w:lineRule="auto"/>
        <w:jc w:val="both"/>
        <w:rPr>
          <w:rFonts w:ascii="Gadugi" w:hAnsi="Gadugi"/>
          <w:spacing w:val="-4"/>
          <w:sz w:val="24"/>
          <w:szCs w:val="24"/>
        </w:rPr>
      </w:pPr>
      <w:r w:rsidRPr="00561F25">
        <w:rPr>
          <w:rFonts w:ascii="Gadugi" w:hAnsi="Gadugi"/>
          <w:spacing w:val="-4"/>
          <w:sz w:val="24"/>
          <w:szCs w:val="24"/>
        </w:rPr>
        <w:t>2.3. Sin perder de vista lo explicado hasta este punto</w:t>
      </w:r>
      <w:r w:rsidR="00BB65FB" w:rsidRPr="00561F25">
        <w:rPr>
          <w:rFonts w:ascii="Gadugi" w:hAnsi="Gadugi"/>
          <w:spacing w:val="-4"/>
          <w:sz w:val="24"/>
          <w:szCs w:val="24"/>
        </w:rPr>
        <w:t xml:space="preserve"> sigue el estudio del caso concreto: </w:t>
      </w:r>
    </w:p>
    <w:p w14:paraId="2EEC197B" w14:textId="77777777" w:rsidR="00AE0478" w:rsidRPr="00561F25" w:rsidRDefault="00AE0478" w:rsidP="00AA4FB9">
      <w:pPr>
        <w:spacing w:after="0" w:line="276" w:lineRule="auto"/>
        <w:jc w:val="both"/>
        <w:rPr>
          <w:rFonts w:ascii="Gadugi" w:hAnsi="Gadugi"/>
          <w:spacing w:val="-4"/>
          <w:sz w:val="24"/>
          <w:szCs w:val="24"/>
        </w:rPr>
      </w:pPr>
    </w:p>
    <w:p w14:paraId="40136268" w14:textId="3FBD07D1" w:rsidR="00725B6F" w:rsidRPr="00561F25" w:rsidRDefault="00BB65FB" w:rsidP="00AA4FB9">
      <w:pPr>
        <w:spacing w:after="0" w:line="276" w:lineRule="auto"/>
        <w:jc w:val="both"/>
        <w:rPr>
          <w:rFonts w:ascii="Gadugi" w:hAnsi="Gadugi"/>
          <w:spacing w:val="-4"/>
          <w:sz w:val="24"/>
          <w:szCs w:val="24"/>
        </w:rPr>
      </w:pPr>
      <w:r w:rsidRPr="00561F25">
        <w:rPr>
          <w:rFonts w:ascii="Gadugi" w:hAnsi="Gadugi"/>
          <w:spacing w:val="-4"/>
          <w:sz w:val="24"/>
          <w:szCs w:val="24"/>
        </w:rPr>
        <w:t>(i)</w:t>
      </w:r>
      <w:r w:rsidR="00725B6F" w:rsidRPr="00561F25">
        <w:rPr>
          <w:rFonts w:ascii="Gadugi" w:hAnsi="Gadugi"/>
          <w:spacing w:val="-4"/>
          <w:sz w:val="24"/>
          <w:szCs w:val="24"/>
        </w:rPr>
        <w:t xml:space="preserve"> </w:t>
      </w:r>
      <w:r w:rsidRPr="00561F25">
        <w:rPr>
          <w:rFonts w:ascii="Gadugi" w:hAnsi="Gadugi"/>
          <w:spacing w:val="-4"/>
          <w:sz w:val="24"/>
          <w:szCs w:val="24"/>
        </w:rPr>
        <w:t xml:space="preserve">Lo que se ordenó en el proceso laboral al que se </w:t>
      </w:r>
      <w:r w:rsidR="00AE0478" w:rsidRPr="00561F25">
        <w:rPr>
          <w:rFonts w:ascii="Gadugi" w:hAnsi="Gadugi"/>
          <w:spacing w:val="-4"/>
          <w:sz w:val="24"/>
          <w:szCs w:val="24"/>
        </w:rPr>
        <w:t>refiere esta tutela</w:t>
      </w:r>
      <w:r w:rsidRPr="00561F25">
        <w:rPr>
          <w:rFonts w:ascii="Gadugi" w:hAnsi="Gadugi"/>
          <w:spacing w:val="-4"/>
          <w:sz w:val="24"/>
          <w:szCs w:val="24"/>
        </w:rPr>
        <w:t>, el identificado</w:t>
      </w:r>
      <w:r w:rsidR="00725B6F" w:rsidRPr="00561F25">
        <w:rPr>
          <w:rFonts w:ascii="Gadugi" w:hAnsi="Gadugi"/>
          <w:spacing w:val="-4"/>
          <w:sz w:val="24"/>
          <w:szCs w:val="24"/>
        </w:rPr>
        <w:t xml:space="preserve"> con el radicado 66001310500220190003500</w:t>
      </w:r>
      <w:r w:rsidRPr="00561F25">
        <w:rPr>
          <w:rFonts w:ascii="Gadugi" w:hAnsi="Gadugi"/>
          <w:spacing w:val="-4"/>
          <w:sz w:val="24"/>
          <w:szCs w:val="24"/>
        </w:rPr>
        <w:t>,</w:t>
      </w:r>
      <w:r w:rsidR="00725B6F" w:rsidRPr="00561F25">
        <w:rPr>
          <w:rFonts w:ascii="Gadugi" w:hAnsi="Gadugi"/>
          <w:spacing w:val="-4"/>
          <w:sz w:val="24"/>
          <w:szCs w:val="24"/>
        </w:rPr>
        <w:t xml:space="preserve"> </w:t>
      </w:r>
      <w:r w:rsidRPr="00561F25">
        <w:rPr>
          <w:rFonts w:ascii="Gadugi" w:hAnsi="Gadugi"/>
          <w:spacing w:val="-4"/>
          <w:sz w:val="24"/>
          <w:szCs w:val="24"/>
        </w:rPr>
        <w:t>del que</w:t>
      </w:r>
      <w:r w:rsidR="00725B6F" w:rsidRPr="00561F25">
        <w:rPr>
          <w:rFonts w:ascii="Gadugi" w:hAnsi="Gadugi"/>
          <w:spacing w:val="-4"/>
          <w:sz w:val="24"/>
          <w:szCs w:val="24"/>
        </w:rPr>
        <w:t xml:space="preserve"> conoció</w:t>
      </w:r>
      <w:r w:rsidRPr="00561F25">
        <w:rPr>
          <w:rFonts w:ascii="Gadugi" w:hAnsi="Gadugi"/>
          <w:spacing w:val="-4"/>
          <w:sz w:val="24"/>
          <w:szCs w:val="24"/>
        </w:rPr>
        <w:t xml:space="preserve"> en primera instancia </w:t>
      </w:r>
      <w:r w:rsidR="00725B6F" w:rsidRPr="00561F25">
        <w:rPr>
          <w:rFonts w:ascii="Gadugi" w:hAnsi="Gadugi"/>
          <w:spacing w:val="-4"/>
          <w:sz w:val="24"/>
          <w:szCs w:val="24"/>
        </w:rPr>
        <w:t>el Juzgado Segundo Laboral del Circuito de Pereira</w:t>
      </w:r>
      <w:r w:rsidRPr="00561F25">
        <w:rPr>
          <w:rFonts w:ascii="Gadugi" w:hAnsi="Gadugi"/>
          <w:spacing w:val="-4"/>
          <w:sz w:val="24"/>
          <w:szCs w:val="24"/>
        </w:rPr>
        <w:t>, fue esto</w:t>
      </w:r>
      <w:r w:rsidR="000C1DA9" w:rsidRPr="00561F25">
        <w:rPr>
          <w:rStyle w:val="Refdenotaalpie"/>
          <w:rFonts w:ascii="Gadugi" w:hAnsi="Gadugi"/>
          <w:spacing w:val="-4"/>
          <w:sz w:val="24"/>
          <w:szCs w:val="24"/>
        </w:rPr>
        <w:footnoteReference w:id="22"/>
      </w:r>
      <w:r w:rsidRPr="00561F25">
        <w:rPr>
          <w:rFonts w:ascii="Gadugi" w:hAnsi="Gadugi"/>
          <w:spacing w:val="-4"/>
          <w:sz w:val="24"/>
          <w:szCs w:val="24"/>
        </w:rPr>
        <w:t xml:space="preserve">: </w:t>
      </w:r>
    </w:p>
    <w:p w14:paraId="667FAD38" w14:textId="1C69A45E" w:rsidR="00725B6F" w:rsidRPr="00561F25" w:rsidRDefault="00725B6F" w:rsidP="00AA4FB9">
      <w:pPr>
        <w:spacing w:after="0" w:line="276" w:lineRule="auto"/>
        <w:jc w:val="both"/>
        <w:rPr>
          <w:rFonts w:ascii="Gadugi" w:hAnsi="Gadugi"/>
          <w:spacing w:val="-4"/>
          <w:sz w:val="24"/>
          <w:szCs w:val="24"/>
        </w:rPr>
      </w:pPr>
    </w:p>
    <w:p w14:paraId="1BD36A70" w14:textId="3A2CCECA" w:rsidR="00725B6F" w:rsidRPr="00561F25" w:rsidRDefault="00725B6F" w:rsidP="00AA4FB9">
      <w:pPr>
        <w:spacing w:after="0" w:line="240" w:lineRule="auto"/>
        <w:ind w:left="426" w:right="420"/>
        <w:jc w:val="both"/>
        <w:rPr>
          <w:rFonts w:ascii="Gadugi" w:hAnsi="Gadugi"/>
          <w:spacing w:val="-4"/>
          <w:szCs w:val="24"/>
        </w:rPr>
      </w:pPr>
      <w:r w:rsidRPr="00561F25">
        <w:rPr>
          <w:rFonts w:ascii="Gadugi" w:hAnsi="Gadugi"/>
          <w:spacing w:val="-4"/>
          <w:szCs w:val="24"/>
        </w:rPr>
        <w:t>PRIMERO: CONDENAR a (…) COLPENSIONES a corregir la historia laboral del señor CÉSAR CARDONA CASTRILLÓN, (…) cargando a la misma los aportes que le hiciera al Instituto de Seguros Sociales, el empleador FERRETERÍA HEGO LTDA, entre el 01 de septiembre de 1976 y el 07 de febrero de 1984 por 2716 días (…).</w:t>
      </w:r>
    </w:p>
    <w:p w14:paraId="141CB52E" w14:textId="2C5F6687" w:rsidR="00725B6F" w:rsidRPr="00561F25" w:rsidRDefault="00725B6F" w:rsidP="00AA4FB9">
      <w:pPr>
        <w:spacing w:after="0" w:line="240" w:lineRule="auto"/>
        <w:ind w:left="426" w:right="420"/>
        <w:jc w:val="both"/>
        <w:rPr>
          <w:rFonts w:ascii="Gadugi" w:hAnsi="Gadugi"/>
          <w:spacing w:val="-4"/>
          <w:szCs w:val="24"/>
        </w:rPr>
      </w:pPr>
    </w:p>
    <w:p w14:paraId="62ED0116" w14:textId="52E0FF4D" w:rsidR="00725B6F" w:rsidRPr="00561F25" w:rsidRDefault="00725B6F" w:rsidP="00AA4FB9">
      <w:pPr>
        <w:spacing w:after="0" w:line="240" w:lineRule="auto"/>
        <w:ind w:left="426" w:right="420"/>
        <w:jc w:val="both"/>
        <w:rPr>
          <w:rFonts w:ascii="Gadugi" w:hAnsi="Gadugi"/>
          <w:spacing w:val="-4"/>
          <w:szCs w:val="24"/>
        </w:rPr>
      </w:pPr>
      <w:r w:rsidRPr="00561F25">
        <w:rPr>
          <w:rFonts w:ascii="Gadugi" w:hAnsi="Gadugi"/>
          <w:spacing w:val="-4"/>
          <w:szCs w:val="24"/>
        </w:rPr>
        <w:t xml:space="preserve">SEGUNDO: DECLARAR que el señor CÉSAR CARDONA CASTRILLÓN, tiene derecho a </w:t>
      </w:r>
      <w:r w:rsidRPr="00561F25">
        <w:rPr>
          <w:rFonts w:ascii="Gadugi" w:hAnsi="Gadugi"/>
          <w:b/>
          <w:spacing w:val="-4"/>
          <w:szCs w:val="24"/>
        </w:rPr>
        <w:t xml:space="preserve">retornar </w:t>
      </w:r>
      <w:r w:rsidRPr="00561F25">
        <w:rPr>
          <w:rFonts w:ascii="Gadugi" w:hAnsi="Gadugi"/>
          <w:spacing w:val="-4"/>
          <w:szCs w:val="24"/>
        </w:rPr>
        <w:t>en cualquier tiempo al régimen de prima media con prestación definida (…).</w:t>
      </w:r>
    </w:p>
    <w:p w14:paraId="1CAF1AE5" w14:textId="04A78894" w:rsidR="00725B6F" w:rsidRPr="00561F25" w:rsidRDefault="00725B6F" w:rsidP="00AA4FB9">
      <w:pPr>
        <w:spacing w:after="0" w:line="240" w:lineRule="auto"/>
        <w:ind w:left="426" w:right="420"/>
        <w:jc w:val="both"/>
        <w:rPr>
          <w:rFonts w:ascii="Gadugi" w:hAnsi="Gadugi"/>
          <w:spacing w:val="-4"/>
          <w:szCs w:val="24"/>
        </w:rPr>
      </w:pPr>
    </w:p>
    <w:p w14:paraId="2A2F50E3" w14:textId="3F224141" w:rsidR="00725B6F" w:rsidRPr="00561F25" w:rsidRDefault="00725B6F" w:rsidP="00AA4FB9">
      <w:pPr>
        <w:spacing w:after="0" w:line="240" w:lineRule="auto"/>
        <w:ind w:left="426" w:right="420"/>
        <w:jc w:val="both"/>
        <w:rPr>
          <w:rFonts w:ascii="Gadugi" w:hAnsi="Gadugi"/>
          <w:spacing w:val="-4"/>
          <w:szCs w:val="24"/>
        </w:rPr>
      </w:pPr>
      <w:r w:rsidRPr="00561F25">
        <w:rPr>
          <w:rFonts w:ascii="Gadugi" w:hAnsi="Gadugi"/>
          <w:spacing w:val="-4"/>
          <w:szCs w:val="24"/>
        </w:rPr>
        <w:t xml:space="preserve">TERCERO: CONDENAR a (…) PROTECCIÓN S.A., a </w:t>
      </w:r>
      <w:r w:rsidRPr="00561F25">
        <w:rPr>
          <w:rFonts w:ascii="Gadugi" w:hAnsi="Gadugi"/>
          <w:b/>
          <w:spacing w:val="-4"/>
          <w:szCs w:val="24"/>
        </w:rPr>
        <w:t xml:space="preserve">trasladar </w:t>
      </w:r>
      <w:r w:rsidRPr="00561F25">
        <w:rPr>
          <w:rFonts w:ascii="Gadugi" w:hAnsi="Gadugi"/>
          <w:spacing w:val="-4"/>
          <w:szCs w:val="24"/>
        </w:rPr>
        <w:t xml:space="preserve">a (…) COLPENSIONES, todos los aportes efectuados a nombre </w:t>
      </w:r>
      <w:r w:rsidR="009E6B1F" w:rsidRPr="00561F25">
        <w:rPr>
          <w:rFonts w:ascii="Gadugi" w:hAnsi="Gadugi"/>
          <w:spacing w:val="-4"/>
          <w:szCs w:val="24"/>
        </w:rPr>
        <w:t xml:space="preserve">del señor CÉSAR CARDONA CASTRILLÓN, dentro del régimen de ahorro individual con solidaridad. </w:t>
      </w:r>
    </w:p>
    <w:p w14:paraId="74A059BA" w14:textId="77777777" w:rsidR="003775B2" w:rsidRPr="00561F25" w:rsidRDefault="003775B2" w:rsidP="00AA4FB9">
      <w:pPr>
        <w:spacing w:after="0" w:line="276" w:lineRule="auto"/>
        <w:jc w:val="both"/>
        <w:rPr>
          <w:rFonts w:ascii="Gadugi" w:hAnsi="Gadugi"/>
          <w:spacing w:val="-4"/>
          <w:sz w:val="24"/>
          <w:szCs w:val="24"/>
        </w:rPr>
      </w:pPr>
    </w:p>
    <w:p w14:paraId="53AC2C2E" w14:textId="0EEFBA0B" w:rsidR="00725B6F" w:rsidRPr="00561F25" w:rsidRDefault="009E6B1F" w:rsidP="00AA4FB9">
      <w:pPr>
        <w:spacing w:after="0" w:line="276" w:lineRule="auto"/>
        <w:jc w:val="both"/>
        <w:rPr>
          <w:rFonts w:ascii="Gadugi" w:hAnsi="Gadugi"/>
          <w:spacing w:val="-4"/>
          <w:sz w:val="24"/>
          <w:szCs w:val="24"/>
        </w:rPr>
      </w:pPr>
      <w:r w:rsidRPr="00561F25">
        <w:rPr>
          <w:rFonts w:ascii="Gadugi" w:hAnsi="Gadugi"/>
          <w:spacing w:val="-4"/>
          <w:sz w:val="24"/>
          <w:szCs w:val="24"/>
        </w:rPr>
        <w:t xml:space="preserve">Como se ve, ese fallo se distingue por ser bastante claro y concreto, además, fue confirmado </w:t>
      </w:r>
      <w:r w:rsidR="00BB65FB" w:rsidRPr="00561F25">
        <w:rPr>
          <w:rFonts w:ascii="Gadugi" w:hAnsi="Gadugi"/>
          <w:spacing w:val="-4"/>
          <w:sz w:val="24"/>
          <w:szCs w:val="24"/>
        </w:rPr>
        <w:t>íntegramente</w:t>
      </w:r>
      <w:r w:rsidRPr="00561F25">
        <w:rPr>
          <w:rFonts w:ascii="Gadugi" w:hAnsi="Gadugi"/>
          <w:spacing w:val="-4"/>
          <w:sz w:val="24"/>
          <w:szCs w:val="24"/>
        </w:rPr>
        <w:t xml:space="preserve"> por la Sala Laboral de este Tribunal, con fallo del 30 de marzo de 2022</w:t>
      </w:r>
      <w:r w:rsidR="000C1DA9" w:rsidRPr="00561F25">
        <w:rPr>
          <w:rStyle w:val="Refdenotaalpie"/>
          <w:rFonts w:ascii="Gadugi" w:hAnsi="Gadugi"/>
          <w:spacing w:val="-4"/>
          <w:sz w:val="24"/>
          <w:szCs w:val="24"/>
        </w:rPr>
        <w:footnoteReference w:id="23"/>
      </w:r>
      <w:r w:rsidRPr="00561F25">
        <w:rPr>
          <w:rFonts w:ascii="Gadugi" w:hAnsi="Gadugi"/>
          <w:spacing w:val="-4"/>
          <w:sz w:val="24"/>
          <w:szCs w:val="24"/>
        </w:rPr>
        <w:t>.</w:t>
      </w:r>
    </w:p>
    <w:p w14:paraId="22924E20" w14:textId="2DA05335" w:rsidR="009E6B1F" w:rsidRPr="00561F25" w:rsidRDefault="009E6B1F" w:rsidP="00AA4FB9">
      <w:pPr>
        <w:spacing w:after="0" w:line="276" w:lineRule="auto"/>
        <w:jc w:val="both"/>
        <w:rPr>
          <w:rFonts w:ascii="Gadugi" w:hAnsi="Gadugi"/>
          <w:spacing w:val="-4"/>
          <w:sz w:val="24"/>
          <w:szCs w:val="24"/>
        </w:rPr>
      </w:pPr>
    </w:p>
    <w:p w14:paraId="7AA4DBE9" w14:textId="3EE2B4D8" w:rsidR="00BB65FB" w:rsidRPr="00561F25" w:rsidRDefault="00BB65FB" w:rsidP="00AA4FB9">
      <w:pPr>
        <w:spacing w:after="0" w:line="276" w:lineRule="auto"/>
        <w:jc w:val="both"/>
        <w:rPr>
          <w:rFonts w:ascii="Gadugi" w:hAnsi="Gadugi"/>
          <w:spacing w:val="-4"/>
          <w:sz w:val="24"/>
          <w:szCs w:val="24"/>
        </w:rPr>
      </w:pPr>
      <w:r w:rsidRPr="00561F25">
        <w:rPr>
          <w:rFonts w:ascii="Gadugi" w:hAnsi="Gadugi"/>
          <w:spacing w:val="-4"/>
          <w:sz w:val="24"/>
          <w:szCs w:val="24"/>
        </w:rPr>
        <w:lastRenderedPageBreak/>
        <w:t>(i</w:t>
      </w:r>
      <w:r w:rsidR="003775B2" w:rsidRPr="00561F25">
        <w:rPr>
          <w:rFonts w:ascii="Gadugi" w:hAnsi="Gadugi"/>
          <w:spacing w:val="-4"/>
          <w:sz w:val="24"/>
          <w:szCs w:val="24"/>
        </w:rPr>
        <w:t>i</w:t>
      </w:r>
      <w:r w:rsidRPr="00561F25">
        <w:rPr>
          <w:rFonts w:ascii="Gadugi" w:hAnsi="Gadugi"/>
          <w:spacing w:val="-4"/>
          <w:sz w:val="24"/>
          <w:szCs w:val="24"/>
        </w:rPr>
        <w:t xml:space="preserve">) </w:t>
      </w:r>
      <w:r w:rsidR="003775B2" w:rsidRPr="00561F25">
        <w:rPr>
          <w:rFonts w:ascii="Gadugi" w:hAnsi="Gadugi"/>
          <w:spacing w:val="-4"/>
          <w:sz w:val="24"/>
          <w:szCs w:val="24"/>
        </w:rPr>
        <w:t>En relación con el cumplimiento</w:t>
      </w:r>
      <w:r w:rsidR="00AE0478" w:rsidRPr="00561F25">
        <w:rPr>
          <w:rFonts w:ascii="Gadugi" w:hAnsi="Gadugi"/>
          <w:spacing w:val="-4"/>
          <w:sz w:val="24"/>
          <w:szCs w:val="24"/>
        </w:rPr>
        <w:t xml:space="preserve"> a ese fallo,</w:t>
      </w:r>
      <w:r w:rsidR="003775B2" w:rsidRPr="00561F25">
        <w:rPr>
          <w:rFonts w:ascii="Gadugi" w:hAnsi="Gadugi"/>
          <w:spacing w:val="-4"/>
          <w:sz w:val="24"/>
          <w:szCs w:val="24"/>
        </w:rPr>
        <w:t xml:space="preserve"> no hay evidencia de alguna gestión por parte ni de Colpensiones ni de Protección S.A.</w:t>
      </w:r>
    </w:p>
    <w:p w14:paraId="20548189" w14:textId="64FA2C40" w:rsidR="003775B2" w:rsidRPr="00561F25" w:rsidRDefault="003775B2" w:rsidP="00AA4FB9">
      <w:pPr>
        <w:spacing w:after="0" w:line="276" w:lineRule="auto"/>
        <w:jc w:val="both"/>
        <w:rPr>
          <w:rFonts w:ascii="Gadugi" w:hAnsi="Gadugi"/>
          <w:spacing w:val="-4"/>
          <w:sz w:val="24"/>
          <w:szCs w:val="24"/>
        </w:rPr>
      </w:pPr>
    </w:p>
    <w:p w14:paraId="6C807807" w14:textId="05C50B7B" w:rsidR="003775B2" w:rsidRPr="00561F25" w:rsidRDefault="003775B2" w:rsidP="00AA4FB9">
      <w:pPr>
        <w:spacing w:after="0" w:line="276" w:lineRule="auto"/>
        <w:jc w:val="both"/>
        <w:rPr>
          <w:rFonts w:ascii="Gadugi" w:hAnsi="Gadugi"/>
          <w:spacing w:val="-4"/>
          <w:sz w:val="24"/>
          <w:szCs w:val="24"/>
        </w:rPr>
      </w:pPr>
      <w:r w:rsidRPr="00561F25">
        <w:rPr>
          <w:rFonts w:ascii="Gadugi" w:hAnsi="Gadugi"/>
          <w:spacing w:val="-4"/>
          <w:sz w:val="24"/>
          <w:szCs w:val="24"/>
        </w:rPr>
        <w:t>(iii) Lo que si hay es una petición del actor, radicada el 25 de agosto de 2022 ante Colpensiones, en la que</w:t>
      </w:r>
      <w:r w:rsidR="0049002E" w:rsidRPr="00561F25">
        <w:rPr>
          <w:rFonts w:ascii="Gadugi" w:hAnsi="Gadugi"/>
          <w:spacing w:val="-4"/>
          <w:sz w:val="24"/>
          <w:szCs w:val="24"/>
        </w:rPr>
        <w:t>, según lo mandado en el aludido juicio laboral,</w:t>
      </w:r>
      <w:r w:rsidRPr="00561F25">
        <w:rPr>
          <w:rFonts w:ascii="Gadugi" w:hAnsi="Gadugi"/>
          <w:spacing w:val="-4"/>
          <w:sz w:val="24"/>
          <w:szCs w:val="24"/>
        </w:rPr>
        <w:t xml:space="preserve"> ruega su </w:t>
      </w:r>
      <w:r w:rsidR="0049002E" w:rsidRPr="00561F25">
        <w:rPr>
          <w:rFonts w:ascii="Gadugi" w:hAnsi="Gadugi"/>
          <w:spacing w:val="-4"/>
          <w:sz w:val="24"/>
          <w:szCs w:val="24"/>
        </w:rPr>
        <w:t>afiliación al RPM y la corrección de historia laboral</w:t>
      </w:r>
      <w:r w:rsidR="000C1DA9" w:rsidRPr="00561F25">
        <w:rPr>
          <w:rStyle w:val="Refdenotaalpie"/>
          <w:rFonts w:ascii="Gadugi" w:hAnsi="Gadugi"/>
          <w:spacing w:val="-4"/>
          <w:sz w:val="24"/>
          <w:szCs w:val="24"/>
        </w:rPr>
        <w:footnoteReference w:id="24"/>
      </w:r>
      <w:r w:rsidR="0049002E" w:rsidRPr="00561F25">
        <w:rPr>
          <w:rFonts w:ascii="Gadugi" w:hAnsi="Gadugi"/>
          <w:spacing w:val="-4"/>
          <w:sz w:val="24"/>
          <w:szCs w:val="24"/>
        </w:rPr>
        <w:t>, sin embargo, ninguna respuesta aparece respecto de ello.</w:t>
      </w:r>
    </w:p>
    <w:p w14:paraId="061CBB26" w14:textId="17445A6D" w:rsidR="0049002E" w:rsidRPr="00561F25" w:rsidRDefault="0049002E" w:rsidP="00AA4FB9">
      <w:pPr>
        <w:spacing w:after="0" w:line="276" w:lineRule="auto"/>
        <w:jc w:val="both"/>
        <w:rPr>
          <w:rFonts w:ascii="Gadugi" w:hAnsi="Gadugi"/>
          <w:spacing w:val="-4"/>
          <w:sz w:val="24"/>
          <w:szCs w:val="24"/>
        </w:rPr>
      </w:pPr>
    </w:p>
    <w:p w14:paraId="344DD539" w14:textId="19433263" w:rsidR="0049002E" w:rsidRPr="00561F25" w:rsidRDefault="0049002E" w:rsidP="00AA4FB9">
      <w:pPr>
        <w:spacing w:after="0" w:line="276" w:lineRule="auto"/>
        <w:jc w:val="both"/>
        <w:rPr>
          <w:rFonts w:ascii="Gadugi" w:hAnsi="Gadugi"/>
          <w:spacing w:val="-4"/>
          <w:sz w:val="24"/>
          <w:szCs w:val="24"/>
        </w:rPr>
      </w:pPr>
      <w:r w:rsidRPr="00561F25">
        <w:rPr>
          <w:rFonts w:ascii="Gadugi" w:hAnsi="Gadugi"/>
          <w:spacing w:val="-4"/>
          <w:sz w:val="24"/>
          <w:szCs w:val="24"/>
        </w:rPr>
        <w:t>(iv) También reposa un formulario que el actor presentó ante Colpensiones el 25 de octubre de 2022, cuyo propósito es que le sea reconocida su pensión de invalidez; en relación con esa solicitud, aparece una respuesta de la entidad de esa misma fecha, en la cual se le informa que su petición es improcedente toda vez que él no está afiliado al RPM.</w:t>
      </w:r>
      <w:r w:rsidR="000C1DA9" w:rsidRPr="00561F25">
        <w:rPr>
          <w:rStyle w:val="Refdenotaalpie"/>
          <w:rFonts w:ascii="Gadugi" w:hAnsi="Gadugi"/>
          <w:spacing w:val="-4"/>
          <w:sz w:val="24"/>
          <w:szCs w:val="24"/>
        </w:rPr>
        <w:footnoteReference w:id="25"/>
      </w:r>
      <w:r w:rsidRPr="00561F25">
        <w:rPr>
          <w:rFonts w:ascii="Gadugi" w:hAnsi="Gadugi"/>
          <w:spacing w:val="-4"/>
          <w:sz w:val="24"/>
          <w:szCs w:val="24"/>
        </w:rPr>
        <w:t xml:space="preserve"> </w:t>
      </w:r>
    </w:p>
    <w:p w14:paraId="338641AB" w14:textId="40920D98" w:rsidR="0049002E" w:rsidRPr="00561F25" w:rsidRDefault="0049002E" w:rsidP="00AA4FB9">
      <w:pPr>
        <w:spacing w:after="0" w:line="276" w:lineRule="auto"/>
        <w:jc w:val="both"/>
        <w:rPr>
          <w:rFonts w:ascii="Gadugi" w:hAnsi="Gadugi"/>
          <w:spacing w:val="-4"/>
          <w:sz w:val="24"/>
          <w:szCs w:val="24"/>
        </w:rPr>
      </w:pPr>
    </w:p>
    <w:p w14:paraId="3E205D35" w14:textId="798255A6" w:rsidR="0049002E" w:rsidRPr="00561F25" w:rsidRDefault="0049002E" w:rsidP="00AA4FB9">
      <w:pPr>
        <w:spacing w:after="0" w:line="276" w:lineRule="auto"/>
        <w:jc w:val="both"/>
        <w:rPr>
          <w:rFonts w:ascii="Gadugi" w:hAnsi="Gadugi"/>
          <w:spacing w:val="-4"/>
          <w:sz w:val="24"/>
          <w:szCs w:val="24"/>
        </w:rPr>
      </w:pPr>
      <w:r w:rsidRPr="00561F25">
        <w:rPr>
          <w:rFonts w:ascii="Gadugi" w:hAnsi="Gadugi"/>
          <w:spacing w:val="-4"/>
          <w:sz w:val="24"/>
          <w:szCs w:val="24"/>
        </w:rPr>
        <w:t xml:space="preserve">(v) Finalmente está comunicado de Protección S.A. del 22 de noviembre de 2022, cuando ya estaba en trámite esta tutela, mediante el cual le informan que es </w:t>
      </w:r>
      <w:r w:rsidR="008E5BE9" w:rsidRPr="00561F25">
        <w:rPr>
          <w:rFonts w:ascii="Gadugi" w:hAnsi="Gadugi"/>
          <w:spacing w:val="-4"/>
          <w:sz w:val="24"/>
          <w:szCs w:val="24"/>
        </w:rPr>
        <w:t xml:space="preserve">inviable el traslado de régimen que se depreca dado que, debido a sus 67 años, se encuentra a menos de 10 años de cumplir la edad para tener derecho a la pensión de vejez, y que, por lo tanto, se iban a iniciar gestiones ante Colpensiones para corregir su historia laboral </w:t>
      </w:r>
      <w:r w:rsidR="008E5BE9" w:rsidRPr="00561F25">
        <w:rPr>
          <w:rFonts w:ascii="Gadugi" w:hAnsi="Gadugi"/>
          <w:i/>
          <w:spacing w:val="-4"/>
          <w:sz w:val="24"/>
          <w:szCs w:val="24"/>
        </w:rPr>
        <w:t>“</w:t>
      </w:r>
      <w:r w:rsidR="008E5BE9" w:rsidRPr="00561F25">
        <w:rPr>
          <w:rFonts w:ascii="Gadugi" w:hAnsi="Gadugi"/>
          <w:i/>
          <w:spacing w:val="-4"/>
          <w:szCs w:val="24"/>
        </w:rPr>
        <w:t>(…) con el fin de reunir las 750 semanas hasta el 1 de abril de 1994</w:t>
      </w:r>
      <w:r w:rsidR="008E5BE9" w:rsidRPr="00561F25">
        <w:rPr>
          <w:rFonts w:ascii="Gadugi" w:hAnsi="Gadugi"/>
          <w:i/>
          <w:spacing w:val="-4"/>
          <w:sz w:val="24"/>
          <w:szCs w:val="24"/>
        </w:rPr>
        <w:t>.”</w:t>
      </w:r>
      <w:r w:rsidR="000C1DA9" w:rsidRPr="00561F25">
        <w:rPr>
          <w:rStyle w:val="Refdenotaalpie"/>
          <w:rFonts w:ascii="Gadugi" w:hAnsi="Gadugi"/>
          <w:i/>
          <w:spacing w:val="-4"/>
          <w:sz w:val="24"/>
          <w:szCs w:val="24"/>
        </w:rPr>
        <w:footnoteReference w:id="26"/>
      </w:r>
      <w:r w:rsidR="008E5BE9" w:rsidRPr="00561F25">
        <w:rPr>
          <w:rFonts w:ascii="Gadugi" w:hAnsi="Gadugi"/>
          <w:spacing w:val="-4"/>
          <w:sz w:val="24"/>
          <w:szCs w:val="24"/>
        </w:rPr>
        <w:t xml:space="preserve"> </w:t>
      </w:r>
      <w:r w:rsidRPr="00561F25">
        <w:rPr>
          <w:rFonts w:ascii="Gadugi" w:hAnsi="Gadugi"/>
          <w:spacing w:val="-4"/>
          <w:sz w:val="24"/>
          <w:szCs w:val="24"/>
        </w:rPr>
        <w:t xml:space="preserve"> </w:t>
      </w:r>
    </w:p>
    <w:p w14:paraId="66199CD4" w14:textId="6397F445" w:rsidR="009E6B1F" w:rsidRPr="00561F25" w:rsidRDefault="009E6B1F" w:rsidP="00AA4FB9">
      <w:pPr>
        <w:spacing w:after="0" w:line="276" w:lineRule="auto"/>
        <w:jc w:val="both"/>
        <w:rPr>
          <w:rFonts w:ascii="Gadugi" w:hAnsi="Gadugi"/>
          <w:spacing w:val="-4"/>
          <w:sz w:val="24"/>
          <w:szCs w:val="24"/>
        </w:rPr>
      </w:pPr>
    </w:p>
    <w:p w14:paraId="5782DEDF" w14:textId="520978F6" w:rsidR="008E5BE9" w:rsidRPr="00561F25" w:rsidRDefault="008E5BE9" w:rsidP="00AA4FB9">
      <w:pPr>
        <w:spacing w:after="0" w:line="276" w:lineRule="auto"/>
        <w:jc w:val="both"/>
        <w:rPr>
          <w:rFonts w:ascii="Gadugi" w:hAnsi="Gadugi"/>
          <w:spacing w:val="-4"/>
          <w:sz w:val="24"/>
          <w:szCs w:val="24"/>
        </w:rPr>
      </w:pPr>
      <w:r w:rsidRPr="00561F25">
        <w:rPr>
          <w:rFonts w:ascii="Gadugi" w:hAnsi="Gadugi"/>
          <w:spacing w:val="-4"/>
          <w:sz w:val="24"/>
          <w:szCs w:val="24"/>
        </w:rPr>
        <w:t xml:space="preserve">(vi) Nada más está demostrado en el expediente.  </w:t>
      </w:r>
    </w:p>
    <w:p w14:paraId="4326DBBC" w14:textId="1A409CD6" w:rsidR="008E5BE9" w:rsidRPr="00561F25" w:rsidRDefault="008E5BE9"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5ECADCCF" w14:textId="5AE34E57" w:rsidR="00AE0478" w:rsidRPr="00561F25" w:rsidRDefault="00AE0478"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561F25">
        <w:rPr>
          <w:rFonts w:ascii="Gadugi" w:eastAsia="Times New Roman" w:hAnsi="Gadugi" w:cs="Times New Roman"/>
          <w:spacing w:val="-4"/>
          <w:sz w:val="24"/>
          <w:szCs w:val="24"/>
          <w:lang w:val="es-ES" w:eastAsia="es-ES"/>
        </w:rPr>
        <w:t xml:space="preserve">De frente a ese derrotero, es criterio de la Sala que la sentencia impugnada debe ser revocada, habida cuenta de que, distinto a la que se consideró en primera instancia, el Tribunal encuentra que </w:t>
      </w:r>
      <w:r w:rsidR="00163529" w:rsidRPr="00561F25">
        <w:rPr>
          <w:rFonts w:ascii="Gadugi" w:eastAsia="Times New Roman" w:hAnsi="Gadugi" w:cs="Times New Roman"/>
          <w:spacing w:val="-4"/>
          <w:sz w:val="24"/>
          <w:szCs w:val="24"/>
          <w:lang w:val="es-ES" w:eastAsia="es-ES"/>
        </w:rPr>
        <w:t>las entidades accionadas están vulnerando el derecho al debido proceso del accionante debido a la demora injustificada en que han incurrido para cumplir que se les ordenó en el mencionado proceso laboral.</w:t>
      </w:r>
      <w:r w:rsidRPr="00561F25">
        <w:rPr>
          <w:rFonts w:ascii="Gadugi" w:eastAsia="Times New Roman" w:hAnsi="Gadugi" w:cs="Times New Roman"/>
          <w:spacing w:val="-4"/>
          <w:sz w:val="24"/>
          <w:szCs w:val="24"/>
          <w:lang w:val="es-ES" w:eastAsia="es-ES"/>
        </w:rPr>
        <w:t xml:space="preserve"> </w:t>
      </w:r>
    </w:p>
    <w:p w14:paraId="2785D408" w14:textId="77777777" w:rsidR="00AE0478" w:rsidRPr="00561F25" w:rsidRDefault="00AE0478"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542400C9" w14:textId="25416E17" w:rsidR="00AE0478" w:rsidRPr="00561F25" w:rsidRDefault="00AE0478"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561F25">
        <w:rPr>
          <w:rFonts w:ascii="Gadugi" w:eastAsia="Times New Roman" w:hAnsi="Gadugi" w:cs="Times New Roman"/>
          <w:spacing w:val="-4"/>
          <w:sz w:val="24"/>
          <w:szCs w:val="24"/>
          <w:lang w:val="es-ES" w:eastAsia="es-ES"/>
        </w:rPr>
        <w:t>En efecto, la sentencia judicial cuyo cumplimiento aún no se ha materializado, fue confirmada por la Sala Laboral de este Tribunal desde el 30 de marzo de 2022, y si bien es cierto que se deben adelantar gestiones interadministrativas para acatar lo que se ordenó, lo cual requiere de cierto tiempo, también lo es que hoy, 31 de enero de 2023, ya han transcurrido más de 11 meses y las encausadas no mostraron evidencias sobre las actuaciones que han desplegado para lograr ese cometido</w:t>
      </w:r>
      <w:r w:rsidR="00163529" w:rsidRPr="00561F25">
        <w:rPr>
          <w:rFonts w:ascii="Gadugi" w:eastAsia="Times New Roman" w:hAnsi="Gadugi" w:cs="Times New Roman"/>
          <w:spacing w:val="-4"/>
          <w:sz w:val="24"/>
          <w:szCs w:val="24"/>
          <w:lang w:val="es-ES" w:eastAsia="es-ES"/>
        </w:rPr>
        <w:t xml:space="preserve">, a todo lo cual debe sumársele que la respuesta de Protección S.A. es incoherente al decirle al actor que su cambio de régimen es inviable dada su edad, cuando lo cierto es que ya la justicia laboral ordenó su traslado al RPM. </w:t>
      </w:r>
    </w:p>
    <w:p w14:paraId="2D6D57BF" w14:textId="77777777" w:rsidR="00163529" w:rsidRPr="00561F25" w:rsidRDefault="00163529"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7F6D9B20" w14:textId="04C1F17F" w:rsidR="00AE0478" w:rsidRPr="00561F25" w:rsidRDefault="00163529"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561F25">
        <w:rPr>
          <w:rFonts w:ascii="Gadugi" w:eastAsia="Times New Roman" w:hAnsi="Gadugi" w:cs="Times New Roman"/>
          <w:spacing w:val="-4"/>
          <w:sz w:val="24"/>
          <w:szCs w:val="24"/>
          <w:lang w:val="es-ES" w:eastAsia="es-ES"/>
        </w:rPr>
        <w:t>Entonces</w:t>
      </w:r>
      <w:r w:rsidR="00AE0478" w:rsidRPr="00561F25">
        <w:rPr>
          <w:rFonts w:ascii="Gadugi" w:eastAsia="Times New Roman" w:hAnsi="Gadugi" w:cs="Times New Roman"/>
          <w:spacing w:val="-4"/>
          <w:sz w:val="24"/>
          <w:szCs w:val="24"/>
          <w:lang w:val="es-ES" w:eastAsia="es-ES"/>
        </w:rPr>
        <w:t xml:space="preserve"> se ha excedido el plazo razonable del que habla la jurisprudencia de la Corte Constitucional, dada la injustificada pasividad de Colpensiones y Protección S.A. para </w:t>
      </w:r>
      <w:r w:rsidR="00AE0478" w:rsidRPr="00561F25">
        <w:rPr>
          <w:rFonts w:ascii="Gadugi" w:eastAsia="Times New Roman" w:hAnsi="Gadugi" w:cs="Times New Roman"/>
          <w:spacing w:val="-4"/>
          <w:sz w:val="24"/>
          <w:szCs w:val="24"/>
          <w:lang w:val="es-ES" w:eastAsia="es-ES"/>
        </w:rPr>
        <w:lastRenderedPageBreak/>
        <w:t>cumplir con lo que se les impuso, y entonces, para lograr la garantía de los derechos fundamentales del accionante, será necesario disponer que acaten con tal mandato de manera perentoria.</w:t>
      </w:r>
    </w:p>
    <w:p w14:paraId="0EA94C42" w14:textId="77777777" w:rsidR="00163529" w:rsidRPr="00561F25" w:rsidRDefault="00163529"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73C1328F" w14:textId="1F804822" w:rsidR="00AE0478" w:rsidRPr="00561F25" w:rsidRDefault="00AE0478"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561F25">
        <w:rPr>
          <w:rFonts w:ascii="Gadugi" w:eastAsia="Times New Roman" w:hAnsi="Gadugi" w:cs="Times New Roman"/>
          <w:spacing w:val="-4"/>
          <w:sz w:val="24"/>
          <w:szCs w:val="24"/>
          <w:lang w:val="es-ES" w:eastAsia="es-ES"/>
        </w:rPr>
        <w:t>Por lo expuesto, se revocará la sentencia impugnada y se les ordenará a la Dirección de Procesos Judiciales y a la Dirección de Ingresos por Aportes de Colpensiones, y al representante legal de Protección S.A., que adelanten de manera coordinada las gestiones tendientes a cumplir lo dispuesto dentro del proceso con radicado 66001310500220190003500, para ese propósito se les concederá el término de 20 días hábiles.</w:t>
      </w:r>
    </w:p>
    <w:p w14:paraId="680B90EC" w14:textId="77777777" w:rsidR="00053A94" w:rsidRPr="00561F25" w:rsidRDefault="00053A94" w:rsidP="00AA4FB9">
      <w:pPr>
        <w:autoSpaceDE w:val="0"/>
        <w:autoSpaceDN w:val="0"/>
        <w:adjustRightInd w:val="0"/>
        <w:spacing w:after="0" w:line="276" w:lineRule="auto"/>
        <w:jc w:val="both"/>
        <w:rPr>
          <w:rFonts w:ascii="Gadugi" w:eastAsia="Times New Roman" w:hAnsi="Gadugi" w:cs="Times New Roman"/>
          <w:b/>
          <w:bCs/>
          <w:spacing w:val="-4"/>
          <w:sz w:val="24"/>
          <w:szCs w:val="24"/>
          <w:lang w:val="es-ES" w:eastAsia="es-ES"/>
        </w:rPr>
      </w:pPr>
    </w:p>
    <w:p w14:paraId="0E2C8F00" w14:textId="381DBDEA" w:rsidR="00756044" w:rsidRPr="00561F25" w:rsidRDefault="007F5F4C" w:rsidP="00AA4FB9">
      <w:pPr>
        <w:autoSpaceDE w:val="0"/>
        <w:autoSpaceDN w:val="0"/>
        <w:adjustRightInd w:val="0"/>
        <w:spacing w:after="0" w:line="276" w:lineRule="auto"/>
        <w:jc w:val="both"/>
        <w:rPr>
          <w:rFonts w:ascii="Gadugi" w:eastAsia="Times New Roman" w:hAnsi="Gadugi" w:cs="Times New Roman"/>
          <w:spacing w:val="-4"/>
          <w:sz w:val="24"/>
          <w:szCs w:val="24"/>
          <w:bdr w:val="none" w:sz="0" w:space="0" w:color="auto" w:frame="1"/>
          <w:lang w:val="es-CO" w:eastAsia="es-ES"/>
        </w:rPr>
      </w:pPr>
      <w:r w:rsidRPr="00561F25">
        <w:rPr>
          <w:rFonts w:ascii="Gadugi" w:eastAsia="Times New Roman" w:hAnsi="Gadugi" w:cs="Times New Roman"/>
          <w:b/>
          <w:bCs/>
          <w:spacing w:val="-4"/>
          <w:sz w:val="24"/>
          <w:szCs w:val="24"/>
          <w:lang w:val="es-ES" w:eastAsia="es-ES"/>
        </w:rPr>
        <w:t xml:space="preserve">3. </w:t>
      </w:r>
      <w:r w:rsidR="00756044" w:rsidRPr="00561F25">
        <w:rPr>
          <w:rFonts w:ascii="Gadugi" w:eastAsia="Times New Roman" w:hAnsi="Gadugi" w:cs="Times New Roman"/>
          <w:b/>
          <w:bCs/>
          <w:spacing w:val="-4"/>
          <w:sz w:val="24"/>
          <w:szCs w:val="24"/>
          <w:lang w:val="es-ES" w:eastAsia="es-ES"/>
        </w:rPr>
        <w:t>DECISIÓN</w:t>
      </w:r>
    </w:p>
    <w:p w14:paraId="093963DB" w14:textId="43082C9D" w:rsidR="00756044" w:rsidRPr="00561F25" w:rsidRDefault="00BF659B"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r w:rsidRPr="00561F25">
        <w:rPr>
          <w:rFonts w:ascii="Gadugi" w:eastAsia="Times New Roman" w:hAnsi="Gadugi" w:cs="Times New Roman"/>
          <w:spacing w:val="-4"/>
          <w:sz w:val="24"/>
          <w:szCs w:val="24"/>
          <w:lang w:val="es-ES" w:eastAsia="es-ES"/>
        </w:rPr>
        <w:tab/>
      </w:r>
      <w:r w:rsidRPr="00561F25">
        <w:rPr>
          <w:rFonts w:ascii="Gadugi" w:eastAsia="Times New Roman" w:hAnsi="Gadugi" w:cs="Times New Roman"/>
          <w:spacing w:val="-4"/>
          <w:sz w:val="24"/>
          <w:szCs w:val="24"/>
          <w:lang w:val="es-ES" w:eastAsia="es-ES"/>
        </w:rPr>
        <w:tab/>
      </w:r>
      <w:r w:rsidRPr="00561F25">
        <w:rPr>
          <w:rFonts w:ascii="Gadugi" w:eastAsia="Times New Roman" w:hAnsi="Gadugi" w:cs="Times New Roman"/>
          <w:spacing w:val="-4"/>
          <w:sz w:val="24"/>
          <w:szCs w:val="24"/>
          <w:lang w:val="es-ES" w:eastAsia="es-ES"/>
        </w:rPr>
        <w:tab/>
      </w:r>
      <w:r w:rsidRPr="00561F25">
        <w:rPr>
          <w:rFonts w:ascii="Gadugi" w:eastAsia="Times New Roman" w:hAnsi="Gadugi" w:cs="Times New Roman"/>
          <w:spacing w:val="-4"/>
          <w:sz w:val="24"/>
          <w:szCs w:val="24"/>
          <w:lang w:val="es-ES" w:eastAsia="es-ES"/>
        </w:rPr>
        <w:tab/>
      </w:r>
    </w:p>
    <w:p w14:paraId="15AB43E5" w14:textId="77777777" w:rsidR="00AE0478" w:rsidRPr="00561F25" w:rsidRDefault="00F43CD2" w:rsidP="00AA4FB9">
      <w:pPr>
        <w:overflowPunct w:val="0"/>
        <w:autoSpaceDE w:val="0"/>
        <w:autoSpaceDN w:val="0"/>
        <w:adjustRightInd w:val="0"/>
        <w:spacing w:after="0" w:line="276" w:lineRule="auto"/>
        <w:jc w:val="both"/>
        <w:textAlignment w:val="baseline"/>
        <w:rPr>
          <w:rFonts w:ascii="Gadugi" w:eastAsia="Times New Roman" w:hAnsi="Gadugi" w:cs="Times New Roman"/>
          <w:b/>
          <w:spacing w:val="-4"/>
          <w:sz w:val="24"/>
          <w:szCs w:val="24"/>
          <w:lang w:val="es-ES" w:eastAsia="es-ES"/>
        </w:rPr>
      </w:pPr>
      <w:r w:rsidRPr="00561F25">
        <w:rPr>
          <w:rFonts w:ascii="Gadugi" w:hAnsi="Gadugi" w:cs="Century Gothic"/>
          <w:spacing w:val="-4"/>
          <w:sz w:val="24"/>
          <w:szCs w:val="24"/>
        </w:rPr>
        <w:t xml:space="preserve">Por lo expuesto, </w:t>
      </w:r>
      <w:r w:rsidRPr="00561F25">
        <w:rPr>
          <w:rFonts w:ascii="Gadugi" w:hAnsi="Gadugi" w:cs="Century Gothic"/>
          <w:b/>
          <w:spacing w:val="-4"/>
          <w:sz w:val="24"/>
          <w:szCs w:val="24"/>
        </w:rPr>
        <w:t xml:space="preserve">la Sala </w:t>
      </w:r>
      <w:r w:rsidR="009315E7" w:rsidRPr="00561F25">
        <w:rPr>
          <w:rFonts w:ascii="Gadugi" w:hAnsi="Gadugi" w:cs="Century Gothic"/>
          <w:b/>
          <w:spacing w:val="-4"/>
          <w:sz w:val="24"/>
          <w:szCs w:val="24"/>
        </w:rPr>
        <w:t xml:space="preserve">de Decisión Civil – Familia </w:t>
      </w:r>
      <w:r w:rsidRPr="00561F25">
        <w:rPr>
          <w:rFonts w:ascii="Gadugi" w:hAnsi="Gadugi" w:cs="Century Gothic"/>
          <w:b/>
          <w:spacing w:val="-4"/>
          <w:sz w:val="24"/>
          <w:szCs w:val="24"/>
        </w:rPr>
        <w:t>del Tribunal Superior de Pereira, Risaralda</w:t>
      </w:r>
      <w:r w:rsidR="00756044" w:rsidRPr="00561F25">
        <w:rPr>
          <w:rFonts w:ascii="Gadugi" w:eastAsia="Times New Roman" w:hAnsi="Gadugi" w:cs="Times New Roman"/>
          <w:spacing w:val="-4"/>
          <w:sz w:val="24"/>
          <w:szCs w:val="24"/>
          <w:lang w:val="es-ES" w:eastAsia="es-ES"/>
        </w:rPr>
        <w:t>, administrando justicia en nombre de la República y por autoridad de la ley, </w:t>
      </w:r>
      <w:r w:rsidR="00AE0478" w:rsidRPr="00561F25">
        <w:rPr>
          <w:rFonts w:ascii="Gadugi" w:eastAsia="Times New Roman" w:hAnsi="Gadugi" w:cs="Times New Roman"/>
          <w:b/>
          <w:spacing w:val="-4"/>
          <w:sz w:val="24"/>
          <w:szCs w:val="24"/>
          <w:lang w:val="es-ES" w:eastAsia="es-ES"/>
        </w:rPr>
        <w:t xml:space="preserve">REVOCA </w:t>
      </w:r>
      <w:r w:rsidR="00AE0478" w:rsidRPr="00561F25">
        <w:rPr>
          <w:rFonts w:ascii="Gadugi" w:eastAsia="Times New Roman" w:hAnsi="Gadugi" w:cs="Times New Roman"/>
          <w:spacing w:val="-4"/>
          <w:sz w:val="24"/>
          <w:szCs w:val="24"/>
          <w:lang w:val="es-ES" w:eastAsia="es-ES"/>
        </w:rPr>
        <w:t>la sentencia impugnada, en su lugar, se</w:t>
      </w:r>
      <w:r w:rsidR="00AE0478" w:rsidRPr="00561F25">
        <w:rPr>
          <w:rFonts w:ascii="Gadugi" w:eastAsia="Times New Roman" w:hAnsi="Gadugi" w:cs="Times New Roman"/>
          <w:b/>
          <w:spacing w:val="-4"/>
          <w:sz w:val="24"/>
          <w:szCs w:val="24"/>
          <w:lang w:val="es-ES" w:eastAsia="es-ES"/>
        </w:rPr>
        <w:t xml:space="preserve"> CONCEDE </w:t>
      </w:r>
      <w:r w:rsidR="00AE0478" w:rsidRPr="00561F25">
        <w:rPr>
          <w:rFonts w:ascii="Gadugi" w:eastAsia="Times New Roman" w:hAnsi="Gadugi" w:cs="Times New Roman"/>
          <w:spacing w:val="-4"/>
          <w:sz w:val="24"/>
          <w:szCs w:val="24"/>
          <w:lang w:val="es-ES" w:eastAsia="es-ES"/>
        </w:rPr>
        <w:t>la protección invocada, y, en consecuencia:</w:t>
      </w:r>
    </w:p>
    <w:p w14:paraId="665859DE" w14:textId="77777777" w:rsidR="00AE0478" w:rsidRPr="00561F25" w:rsidRDefault="00AE0478" w:rsidP="00AA4FB9">
      <w:pPr>
        <w:overflowPunct w:val="0"/>
        <w:autoSpaceDE w:val="0"/>
        <w:autoSpaceDN w:val="0"/>
        <w:adjustRightInd w:val="0"/>
        <w:spacing w:after="0" w:line="276" w:lineRule="auto"/>
        <w:jc w:val="both"/>
        <w:textAlignment w:val="baseline"/>
        <w:rPr>
          <w:rFonts w:ascii="Gadugi" w:eastAsia="Times New Roman" w:hAnsi="Gadugi" w:cs="Times New Roman"/>
          <w:b/>
          <w:spacing w:val="-4"/>
          <w:sz w:val="24"/>
          <w:szCs w:val="24"/>
          <w:lang w:val="es-ES" w:eastAsia="es-ES"/>
        </w:rPr>
      </w:pPr>
    </w:p>
    <w:p w14:paraId="62BFF60B" w14:textId="6AC5E9E1" w:rsidR="003C5B75" w:rsidRPr="00561F25" w:rsidRDefault="00AE0478" w:rsidP="00AA4FB9">
      <w:pPr>
        <w:overflowPunct w:val="0"/>
        <w:autoSpaceDE w:val="0"/>
        <w:autoSpaceDN w:val="0"/>
        <w:adjustRightInd w:val="0"/>
        <w:spacing w:after="0" w:line="276" w:lineRule="auto"/>
        <w:jc w:val="both"/>
        <w:textAlignment w:val="baseline"/>
        <w:rPr>
          <w:rFonts w:ascii="Gadugi" w:eastAsia="Times New Roman" w:hAnsi="Gadugi" w:cs="Times New Roman"/>
          <w:b/>
          <w:spacing w:val="-4"/>
          <w:sz w:val="24"/>
          <w:szCs w:val="24"/>
          <w:lang w:val="es-ES" w:eastAsia="es-ES"/>
        </w:rPr>
      </w:pPr>
      <w:r w:rsidRPr="00561F25">
        <w:rPr>
          <w:rFonts w:ascii="Gadugi" w:eastAsia="Times New Roman" w:hAnsi="Gadugi" w:cs="Times New Roman"/>
          <w:spacing w:val="-4"/>
          <w:sz w:val="24"/>
          <w:szCs w:val="24"/>
          <w:lang w:val="es-ES" w:eastAsia="es-ES"/>
        </w:rPr>
        <w:t>Se le les</w:t>
      </w:r>
      <w:r w:rsidRPr="00561F25">
        <w:rPr>
          <w:rFonts w:ascii="Gadugi" w:eastAsia="Times New Roman" w:hAnsi="Gadugi" w:cs="Times New Roman"/>
          <w:b/>
          <w:spacing w:val="-4"/>
          <w:sz w:val="24"/>
          <w:szCs w:val="24"/>
          <w:lang w:val="es-ES" w:eastAsia="es-ES"/>
        </w:rPr>
        <w:t xml:space="preserve"> ORDENA </w:t>
      </w:r>
      <w:r w:rsidRPr="00561F25">
        <w:rPr>
          <w:rFonts w:ascii="Gadugi" w:eastAsia="Times New Roman" w:hAnsi="Gadugi" w:cs="Times New Roman"/>
          <w:spacing w:val="-4"/>
          <w:sz w:val="24"/>
          <w:szCs w:val="24"/>
          <w:lang w:val="es-ES" w:eastAsia="es-ES"/>
        </w:rPr>
        <w:t xml:space="preserve">a la </w:t>
      </w:r>
      <w:r w:rsidRPr="00561F25">
        <w:rPr>
          <w:rFonts w:ascii="Gadugi" w:eastAsia="Times New Roman" w:hAnsi="Gadugi" w:cs="Times New Roman"/>
          <w:b/>
          <w:spacing w:val="-4"/>
          <w:sz w:val="24"/>
          <w:szCs w:val="24"/>
          <w:lang w:val="es-ES" w:eastAsia="es-ES"/>
        </w:rPr>
        <w:t>Dirección de Procesos Judiciales</w:t>
      </w:r>
      <w:r w:rsidRPr="00561F25">
        <w:rPr>
          <w:rFonts w:ascii="Gadugi" w:eastAsia="Times New Roman" w:hAnsi="Gadugi" w:cs="Times New Roman"/>
          <w:spacing w:val="-4"/>
          <w:sz w:val="24"/>
          <w:szCs w:val="24"/>
          <w:lang w:val="es-ES" w:eastAsia="es-ES"/>
        </w:rPr>
        <w:t xml:space="preserve">, a la </w:t>
      </w:r>
      <w:r w:rsidRPr="00561F25">
        <w:rPr>
          <w:rFonts w:ascii="Gadugi" w:eastAsia="Times New Roman" w:hAnsi="Gadugi" w:cs="Times New Roman"/>
          <w:b/>
          <w:spacing w:val="-4"/>
          <w:sz w:val="24"/>
          <w:szCs w:val="24"/>
          <w:lang w:val="es-ES" w:eastAsia="es-ES"/>
        </w:rPr>
        <w:t>Dirección de Ingresos por Aportes de Colpensiones</w:t>
      </w:r>
      <w:r w:rsidRPr="00561F25">
        <w:rPr>
          <w:rFonts w:ascii="Gadugi" w:eastAsia="Times New Roman" w:hAnsi="Gadugi" w:cs="Times New Roman"/>
          <w:spacing w:val="-4"/>
          <w:sz w:val="24"/>
          <w:szCs w:val="24"/>
          <w:lang w:val="es-ES" w:eastAsia="es-ES"/>
        </w:rPr>
        <w:t xml:space="preserve">, y al </w:t>
      </w:r>
      <w:r w:rsidRPr="00561F25">
        <w:rPr>
          <w:rFonts w:ascii="Gadugi" w:eastAsia="Times New Roman" w:hAnsi="Gadugi" w:cs="Times New Roman"/>
          <w:b/>
          <w:spacing w:val="-4"/>
          <w:sz w:val="24"/>
          <w:szCs w:val="24"/>
          <w:lang w:val="es-ES" w:eastAsia="es-ES"/>
        </w:rPr>
        <w:t>representante legal de Protección S.A.</w:t>
      </w:r>
      <w:r w:rsidRPr="00561F25">
        <w:rPr>
          <w:rFonts w:ascii="Gadugi" w:eastAsia="Times New Roman" w:hAnsi="Gadugi" w:cs="Times New Roman"/>
          <w:spacing w:val="-4"/>
          <w:sz w:val="24"/>
          <w:szCs w:val="24"/>
          <w:lang w:val="es-ES" w:eastAsia="es-ES"/>
        </w:rPr>
        <w:t xml:space="preserve">, que adelanten de manera coordinada las gestiones tendientes a cumplir lo dispuesto dentro del proceso con radicado </w:t>
      </w:r>
      <w:r w:rsidR="00163529" w:rsidRPr="00561F25">
        <w:rPr>
          <w:rFonts w:ascii="Gadugi" w:eastAsia="Times New Roman" w:hAnsi="Gadugi" w:cs="Times New Roman"/>
          <w:spacing w:val="-4"/>
          <w:sz w:val="24"/>
          <w:szCs w:val="24"/>
          <w:lang w:val="es-ES" w:eastAsia="es-ES"/>
        </w:rPr>
        <w:t>66001310500220190003500</w:t>
      </w:r>
      <w:r w:rsidRPr="00561F25">
        <w:rPr>
          <w:rFonts w:ascii="Gadugi" w:eastAsia="Times New Roman" w:hAnsi="Gadugi" w:cs="Times New Roman"/>
          <w:spacing w:val="-4"/>
          <w:sz w:val="24"/>
          <w:szCs w:val="24"/>
          <w:lang w:val="es-ES" w:eastAsia="es-ES"/>
        </w:rPr>
        <w:t xml:space="preserve">, para ese propósito se les concede el término de </w:t>
      </w:r>
      <w:r w:rsidRPr="00561F25">
        <w:rPr>
          <w:rFonts w:ascii="Gadugi" w:eastAsia="Times New Roman" w:hAnsi="Gadugi" w:cs="Times New Roman"/>
          <w:spacing w:val="-4"/>
          <w:sz w:val="24"/>
          <w:szCs w:val="24"/>
          <w:u w:val="single"/>
          <w:lang w:val="es-ES" w:eastAsia="es-ES"/>
        </w:rPr>
        <w:t>20 días hábiles</w:t>
      </w:r>
      <w:r w:rsidRPr="00561F25">
        <w:rPr>
          <w:rFonts w:ascii="Gadugi" w:eastAsia="Times New Roman" w:hAnsi="Gadugi" w:cs="Times New Roman"/>
          <w:spacing w:val="-4"/>
          <w:sz w:val="24"/>
          <w:szCs w:val="24"/>
          <w:lang w:val="es-ES" w:eastAsia="es-ES"/>
        </w:rPr>
        <w:t>.</w:t>
      </w:r>
    </w:p>
    <w:p w14:paraId="32870119" w14:textId="77777777" w:rsidR="00AE0478" w:rsidRPr="00561F25" w:rsidRDefault="00AE0478" w:rsidP="00AA4FB9">
      <w:pPr>
        <w:overflowPunct w:val="0"/>
        <w:autoSpaceDE w:val="0"/>
        <w:autoSpaceDN w:val="0"/>
        <w:adjustRightInd w:val="0"/>
        <w:spacing w:after="0" w:line="276" w:lineRule="auto"/>
        <w:jc w:val="both"/>
        <w:textAlignment w:val="baseline"/>
        <w:rPr>
          <w:rFonts w:ascii="Gadugi" w:eastAsia="Times New Roman" w:hAnsi="Gadugi" w:cs="Times New Roman"/>
          <w:spacing w:val="-4"/>
          <w:sz w:val="24"/>
          <w:szCs w:val="24"/>
          <w:lang w:val="es-ES" w:eastAsia="es-ES"/>
        </w:rPr>
      </w:pPr>
    </w:p>
    <w:p w14:paraId="4C883A1B" w14:textId="379ED0E0" w:rsidR="00756044" w:rsidRPr="00561F25" w:rsidRDefault="00756044" w:rsidP="00AA4FB9">
      <w:pPr>
        <w:overflowPunct w:val="0"/>
        <w:autoSpaceDE w:val="0"/>
        <w:autoSpaceDN w:val="0"/>
        <w:adjustRightInd w:val="0"/>
        <w:spacing w:after="0" w:line="276" w:lineRule="auto"/>
        <w:jc w:val="both"/>
        <w:textAlignment w:val="baseline"/>
        <w:rPr>
          <w:rFonts w:ascii="Gadugi" w:eastAsia="Times New Roman" w:hAnsi="Gadugi" w:cs="Times New Roman"/>
          <w:bCs/>
          <w:spacing w:val="-4"/>
          <w:sz w:val="24"/>
          <w:szCs w:val="24"/>
          <w:lang w:val="es-419" w:eastAsia="es-ES"/>
        </w:rPr>
      </w:pPr>
      <w:r w:rsidRPr="00561F25">
        <w:rPr>
          <w:rFonts w:ascii="Gadugi" w:eastAsia="Times New Roman" w:hAnsi="Gadugi" w:cs="Times New Roman"/>
          <w:spacing w:val="-4"/>
          <w:sz w:val="24"/>
          <w:szCs w:val="24"/>
          <w:lang w:val="es-ES" w:eastAsia="es-ES"/>
        </w:rPr>
        <w:t xml:space="preserve">Notifíquese esta decisión a las partes y demás interesados, en la forma prevista en el artículo 5º del Decreto 306 de 1992; oportunamente remítase el expediente a la Corte Constitucional para su eventual revisión. </w:t>
      </w:r>
      <w:r w:rsidRPr="00561F25">
        <w:rPr>
          <w:rFonts w:ascii="Gadugi" w:eastAsia="Times New Roman" w:hAnsi="Gadugi" w:cs="Times New Roman"/>
          <w:bCs/>
          <w:spacing w:val="-4"/>
          <w:sz w:val="24"/>
          <w:szCs w:val="24"/>
          <w:lang w:val="es-419" w:eastAsia="es-ES"/>
        </w:rPr>
        <w:t>A su regreso, archívese.</w:t>
      </w:r>
    </w:p>
    <w:p w14:paraId="2B85574B" w14:textId="77777777" w:rsidR="00AA4FB9" w:rsidRPr="00AA4FB9" w:rsidRDefault="00AA4FB9" w:rsidP="00AA4FB9">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3572AB45" w14:textId="77777777" w:rsidR="00AA4FB9" w:rsidRPr="00AA4FB9" w:rsidRDefault="00AA4FB9" w:rsidP="00AA4FB9">
      <w:pPr>
        <w:tabs>
          <w:tab w:val="left" w:pos="1701"/>
          <w:tab w:val="left" w:pos="2127"/>
          <w:tab w:val="left" w:pos="2977"/>
        </w:tabs>
        <w:spacing w:after="0" w:line="276" w:lineRule="auto"/>
        <w:jc w:val="both"/>
        <w:rPr>
          <w:rFonts w:ascii="Gadugi" w:eastAsia="Malgun Gothic" w:hAnsi="Gadugi" w:cs="Estrangelo Edessa"/>
          <w:sz w:val="24"/>
          <w:szCs w:val="24"/>
          <w:lang w:val="es-CO"/>
        </w:rPr>
      </w:pPr>
      <w:r w:rsidRPr="00AA4FB9">
        <w:rPr>
          <w:rFonts w:ascii="Gadugi" w:eastAsia="Malgun Gothic" w:hAnsi="Gadugi" w:cs="Estrangelo Edessa"/>
          <w:sz w:val="24"/>
          <w:szCs w:val="24"/>
          <w:lang w:val="es-CO"/>
        </w:rPr>
        <w:tab/>
        <w:t xml:space="preserve">Los Magistrados, </w:t>
      </w:r>
    </w:p>
    <w:p w14:paraId="0B213370" w14:textId="77777777" w:rsidR="00AA4FB9" w:rsidRPr="00AA4FB9" w:rsidRDefault="00AA4FB9" w:rsidP="00AA4FB9">
      <w:pPr>
        <w:tabs>
          <w:tab w:val="left" w:pos="1701"/>
          <w:tab w:val="left" w:pos="2127"/>
          <w:tab w:val="left" w:pos="2977"/>
        </w:tabs>
        <w:spacing w:after="0" w:line="276" w:lineRule="auto"/>
        <w:jc w:val="both"/>
        <w:rPr>
          <w:rFonts w:ascii="Gadugi" w:eastAsia="Malgun Gothic" w:hAnsi="Gadugi" w:cs="Estrangelo Edessa"/>
          <w:sz w:val="24"/>
          <w:szCs w:val="24"/>
          <w:lang w:val="es-CO"/>
        </w:rPr>
      </w:pPr>
    </w:p>
    <w:p w14:paraId="13BEFA1A" w14:textId="77777777" w:rsidR="00AA4FB9" w:rsidRPr="00AA4FB9" w:rsidRDefault="00AA4FB9" w:rsidP="00AA4FB9">
      <w:pPr>
        <w:tabs>
          <w:tab w:val="left" w:pos="1701"/>
          <w:tab w:val="left" w:pos="2127"/>
          <w:tab w:val="left" w:pos="2977"/>
        </w:tabs>
        <w:spacing w:after="0" w:line="276" w:lineRule="auto"/>
        <w:jc w:val="both"/>
        <w:rPr>
          <w:rFonts w:ascii="Gadugi" w:eastAsia="Malgun Gothic" w:hAnsi="Gadugi" w:cs="Estrangelo Edessa"/>
          <w:b/>
          <w:sz w:val="24"/>
          <w:szCs w:val="24"/>
          <w:lang w:val="es-CO"/>
        </w:rPr>
      </w:pPr>
    </w:p>
    <w:p w14:paraId="208D6395" w14:textId="77777777" w:rsidR="00AA4FB9" w:rsidRPr="00AA4FB9" w:rsidRDefault="00AA4FB9" w:rsidP="00AA4FB9">
      <w:pPr>
        <w:spacing w:after="0" w:line="276" w:lineRule="auto"/>
        <w:ind w:left="993" w:firstLine="708"/>
        <w:jc w:val="both"/>
        <w:rPr>
          <w:rFonts w:ascii="Gadugi" w:eastAsia="Malgun Gothic" w:hAnsi="Gadugi" w:cs="Estrangelo Edessa"/>
          <w:b/>
          <w:bCs/>
          <w:sz w:val="24"/>
          <w:szCs w:val="24"/>
          <w:lang w:val="es-CO"/>
        </w:rPr>
      </w:pPr>
      <w:r w:rsidRPr="00AA4FB9">
        <w:rPr>
          <w:rFonts w:ascii="Gadugi" w:eastAsia="Malgun Gothic" w:hAnsi="Gadugi" w:cs="Estrangelo Edessa"/>
          <w:b/>
          <w:bCs/>
          <w:sz w:val="24"/>
          <w:szCs w:val="24"/>
          <w:lang w:val="es-CO"/>
        </w:rPr>
        <w:t>JAIME ALBERTO SARAZA NARANJO</w:t>
      </w:r>
    </w:p>
    <w:p w14:paraId="6B31FE14" w14:textId="77777777" w:rsidR="00AA4FB9" w:rsidRPr="00AA4FB9" w:rsidRDefault="00AA4FB9" w:rsidP="00AA4FB9">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77ED32E2" w14:textId="77777777" w:rsidR="00AA4FB9" w:rsidRPr="00AA4FB9" w:rsidRDefault="00AA4FB9" w:rsidP="00AA4FB9">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61C5FE69" w14:textId="77777777" w:rsidR="00AA4FB9" w:rsidRPr="00AA4FB9" w:rsidRDefault="00AA4FB9" w:rsidP="00AA4FB9">
      <w:pPr>
        <w:spacing w:after="0" w:line="276" w:lineRule="auto"/>
        <w:ind w:left="993" w:firstLine="708"/>
        <w:jc w:val="both"/>
        <w:rPr>
          <w:rFonts w:ascii="Gadugi" w:eastAsia="Malgun Gothic" w:hAnsi="Gadugi" w:cs="Estrangelo Edessa"/>
          <w:b/>
          <w:bCs/>
          <w:sz w:val="24"/>
          <w:szCs w:val="24"/>
          <w:lang w:val="es-CO"/>
        </w:rPr>
      </w:pPr>
      <w:r w:rsidRPr="00AA4FB9">
        <w:rPr>
          <w:rFonts w:ascii="Gadugi" w:eastAsia="Malgun Gothic" w:hAnsi="Gadugi" w:cs="Estrangelo Edessa"/>
          <w:b/>
          <w:bCs/>
          <w:sz w:val="24"/>
          <w:szCs w:val="24"/>
          <w:lang w:val="es-CO"/>
        </w:rPr>
        <w:t>CARLOS MAURICIO GARCÍA BARAJAS</w:t>
      </w:r>
    </w:p>
    <w:p w14:paraId="03BDFB28" w14:textId="77777777" w:rsidR="00AA4FB9" w:rsidRPr="00AA4FB9" w:rsidRDefault="00AA4FB9" w:rsidP="00AA4FB9">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2A58EE6C" w14:textId="77777777" w:rsidR="00AA4FB9" w:rsidRPr="00AA4FB9" w:rsidRDefault="00AA4FB9" w:rsidP="00AA4FB9">
      <w:pPr>
        <w:tabs>
          <w:tab w:val="left" w:pos="1701"/>
          <w:tab w:val="left" w:pos="2127"/>
          <w:tab w:val="left" w:pos="2977"/>
        </w:tabs>
        <w:spacing w:after="0" w:line="276" w:lineRule="auto"/>
        <w:ind w:firstLine="1701"/>
        <w:jc w:val="both"/>
        <w:rPr>
          <w:rFonts w:ascii="Gadugi" w:eastAsia="Malgun Gothic" w:hAnsi="Gadugi" w:cs="Estrangelo Edessa"/>
          <w:b/>
          <w:sz w:val="24"/>
          <w:szCs w:val="24"/>
          <w:lang w:val="es-CO"/>
        </w:rPr>
      </w:pPr>
    </w:p>
    <w:p w14:paraId="4460AFC5" w14:textId="3975BBE0" w:rsidR="00BF659B" w:rsidRPr="00AA4FB9" w:rsidRDefault="00AA4FB9" w:rsidP="00AA4FB9">
      <w:pPr>
        <w:spacing w:after="0" w:line="276" w:lineRule="auto"/>
        <w:ind w:left="993" w:firstLine="708"/>
        <w:jc w:val="both"/>
        <w:rPr>
          <w:rFonts w:ascii="Gadugi" w:eastAsia="Malgun Gothic" w:hAnsi="Gadugi" w:cs="Estrangelo Edessa"/>
          <w:bCs/>
          <w:sz w:val="24"/>
          <w:szCs w:val="24"/>
          <w:lang w:val="es-CO"/>
        </w:rPr>
      </w:pPr>
      <w:r w:rsidRPr="00AA4FB9">
        <w:rPr>
          <w:rFonts w:ascii="Gadugi" w:eastAsia="Malgun Gothic" w:hAnsi="Gadugi" w:cs="Estrangelo Edessa"/>
          <w:b/>
          <w:bCs/>
          <w:sz w:val="24"/>
          <w:szCs w:val="24"/>
          <w:lang w:val="es-CO"/>
        </w:rPr>
        <w:t>DUBERNEY GRISALES HERRERA</w:t>
      </w:r>
    </w:p>
    <w:sectPr w:rsidR="00BF659B" w:rsidRPr="00AA4FB9" w:rsidSect="00561F25">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582673" w16cex:dateUtc="2022-11-11T14:59:11.626Z"/>
  <w16cex:commentExtensible w16cex:durableId="673AAFFD" w16cex:dateUtc="2022-11-11T15:05:44.972Z"/>
  <w16cex:commentExtensible w16cex:durableId="05EF02D0" w16cex:dateUtc="2022-11-11T18:46:17.038Z"/>
  <w16cex:commentExtensible w16cex:durableId="11B305F0" w16cex:dateUtc="2022-12-02T18:59:17.671Z"/>
  <w16cex:commentExtensible w16cex:durableId="1C7AA2F4" w16cex:dateUtc="2022-12-02T19:49:37.393Z"/>
  <w16cex:commentExtensible w16cex:durableId="2392E43F" w16cex:dateUtc="2023-01-30T19:58:29.344Z"/>
  <w16cex:commentExtensible w16cex:durableId="7B06AA9C" w16cex:dateUtc="2023-01-30T20:20:58.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E5606" w14:textId="77777777" w:rsidR="0029662D" w:rsidRDefault="0029662D" w:rsidP="00756044">
      <w:pPr>
        <w:spacing w:after="0" w:line="240" w:lineRule="auto"/>
      </w:pPr>
      <w:r>
        <w:separator/>
      </w:r>
    </w:p>
  </w:endnote>
  <w:endnote w:type="continuationSeparator" w:id="0">
    <w:p w14:paraId="7674E2EC" w14:textId="77777777" w:rsidR="0029662D" w:rsidRDefault="0029662D" w:rsidP="0075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282619"/>
      <w:docPartObj>
        <w:docPartGallery w:val="Page Numbers (Bottom of Page)"/>
        <w:docPartUnique/>
      </w:docPartObj>
    </w:sdtPr>
    <w:sdtEndPr/>
    <w:sdtContent>
      <w:p w14:paraId="579BC6A0" w14:textId="77777777" w:rsidR="00467445" w:rsidRDefault="00467445">
        <w:pPr>
          <w:pStyle w:val="Piedepgina"/>
          <w:jc w:val="right"/>
        </w:pPr>
        <w:r>
          <w:fldChar w:fldCharType="begin"/>
        </w:r>
        <w:r>
          <w:instrText>PAGE   \* MERGEFORMAT</w:instrText>
        </w:r>
        <w:r>
          <w:fldChar w:fldCharType="separate"/>
        </w:r>
        <w:r w:rsidR="00422311" w:rsidRPr="00422311">
          <w:rPr>
            <w:noProof/>
            <w:lang w:val="es-ES"/>
          </w:rPr>
          <w:t>9</w:t>
        </w:r>
        <w:r>
          <w:fldChar w:fldCharType="end"/>
        </w:r>
      </w:p>
    </w:sdtContent>
  </w:sdt>
  <w:p w14:paraId="0E1FD30D" w14:textId="77777777" w:rsidR="00467445" w:rsidRDefault="004674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3E470" w14:textId="77777777" w:rsidR="0029662D" w:rsidRDefault="0029662D" w:rsidP="00756044">
      <w:pPr>
        <w:spacing w:after="0" w:line="240" w:lineRule="auto"/>
      </w:pPr>
      <w:r>
        <w:separator/>
      </w:r>
    </w:p>
  </w:footnote>
  <w:footnote w:type="continuationSeparator" w:id="0">
    <w:p w14:paraId="3F169DFC" w14:textId="77777777" w:rsidR="0029662D" w:rsidRDefault="0029662D" w:rsidP="00756044">
      <w:pPr>
        <w:spacing w:after="0" w:line="240" w:lineRule="auto"/>
      </w:pPr>
      <w:r>
        <w:continuationSeparator/>
      </w:r>
    </w:p>
  </w:footnote>
  <w:footnote w:id="1">
    <w:p w14:paraId="4929C1A0" w14:textId="3680E0DE"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Documento 02., C. 1.</w:t>
      </w:r>
    </w:p>
  </w:footnote>
  <w:footnote w:id="2">
    <w:p w14:paraId="6D058C73" w14:textId="4398F6E3"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Documento 03., C. 1.</w:t>
      </w:r>
    </w:p>
  </w:footnote>
  <w:footnote w:id="3">
    <w:p w14:paraId="78494AD8" w14:textId="1D8D4991"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Documento 05., C. 1.</w:t>
      </w:r>
    </w:p>
  </w:footnote>
  <w:footnote w:id="4">
    <w:p w14:paraId="116D7AC9" w14:textId="17F2379F"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Documento 08., C. 1.</w:t>
      </w:r>
    </w:p>
  </w:footnote>
  <w:footnote w:id="5">
    <w:p w14:paraId="2B16B62E" w14:textId="0F849673"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Documento 07., C. 1.</w:t>
      </w:r>
    </w:p>
  </w:footnote>
  <w:footnote w:id="6">
    <w:p w14:paraId="0C35CF73" w14:textId="7F0D3170"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Documento 11., C. 1.</w:t>
      </w:r>
    </w:p>
  </w:footnote>
  <w:footnote w:id="7">
    <w:p w14:paraId="6B9B5BC8" w14:textId="4B0AC1FC"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Documento 13., C. 1.</w:t>
      </w:r>
    </w:p>
  </w:footnote>
  <w:footnote w:id="8">
    <w:p w14:paraId="5C4DA788" w14:textId="4CE5B0D7"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Documento 15., C. 1.</w:t>
      </w:r>
    </w:p>
  </w:footnote>
  <w:footnote w:id="9">
    <w:p w14:paraId="6FBF02AD" w14:textId="20BB9D7D"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w:t>
      </w:r>
      <w:r w:rsidRPr="00AA4FB9">
        <w:rPr>
          <w:rFonts w:ascii="Arial" w:hAnsi="Arial" w:cs="Arial"/>
          <w:sz w:val="18"/>
          <w:szCs w:val="18"/>
          <w:lang w:val="es-CO"/>
        </w:rPr>
        <w:t>Pág. 27, Documento 02., C. 1.</w:t>
      </w:r>
    </w:p>
  </w:footnote>
  <w:footnote w:id="10">
    <w:p w14:paraId="0746367F" w14:textId="77777777"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ACUERDO 131 DE 2018 de la Junta Directiva de Colpensiones. </w:t>
      </w:r>
    </w:p>
  </w:footnote>
  <w:footnote w:id="11">
    <w:p w14:paraId="676FB9AA" w14:textId="26FDAC5C"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TSP.ST2-0032-2022</w:t>
      </w:r>
      <w:r w:rsidR="000C1DA9" w:rsidRPr="00AA4FB9">
        <w:rPr>
          <w:rFonts w:ascii="Arial" w:hAnsi="Arial" w:cs="Arial"/>
          <w:sz w:val="18"/>
          <w:szCs w:val="18"/>
        </w:rPr>
        <w:t xml:space="preserve"> y ST2-103-2022.</w:t>
      </w:r>
    </w:p>
  </w:footnote>
  <w:footnote w:id="12">
    <w:p w14:paraId="443295F0" w14:textId="77777777" w:rsidR="00C0289E" w:rsidRPr="00AA4FB9" w:rsidRDefault="00C0289E" w:rsidP="00AA4FB9">
      <w:pPr>
        <w:pStyle w:val="Textonotapie"/>
        <w:jc w:val="both"/>
        <w:rPr>
          <w:rFonts w:ascii="Arial" w:hAnsi="Arial" w:cs="Arial"/>
          <w:sz w:val="18"/>
          <w:szCs w:val="18"/>
        </w:rPr>
      </w:pPr>
      <w:r w:rsidRPr="00AA4FB9">
        <w:rPr>
          <w:rStyle w:val="Refdenotaalpie"/>
          <w:rFonts w:ascii="Arial" w:hAnsi="Arial" w:cs="Arial"/>
          <w:sz w:val="18"/>
          <w:szCs w:val="18"/>
        </w:rPr>
        <w:footnoteRef/>
      </w:r>
      <w:r w:rsidRPr="00AA4FB9">
        <w:rPr>
          <w:rFonts w:ascii="Arial" w:hAnsi="Arial" w:cs="Arial"/>
          <w:sz w:val="18"/>
          <w:szCs w:val="18"/>
        </w:rPr>
        <w:t xml:space="preserve"> CC. T-261 de 2018 y T-048 de 2019.</w:t>
      </w:r>
    </w:p>
  </w:footnote>
  <w:footnote w:id="13">
    <w:p w14:paraId="7AC8BE40" w14:textId="72B5B3BB"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Pág. 6, </w:t>
      </w:r>
      <w:r w:rsidRPr="00AA4FB9">
        <w:rPr>
          <w:rFonts w:ascii="Arial" w:hAnsi="Arial" w:cs="Arial"/>
          <w:sz w:val="18"/>
          <w:szCs w:val="18"/>
          <w:lang w:val="es-CO"/>
        </w:rPr>
        <w:t>Documento 10., C. 1.</w:t>
      </w:r>
    </w:p>
  </w:footnote>
  <w:footnote w:id="14">
    <w:p w14:paraId="63AEE73C" w14:textId="6CCA143E"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Sentencia T-048/19</w:t>
      </w:r>
      <w:r w:rsidR="000C1DA9" w:rsidRPr="00AA4FB9">
        <w:rPr>
          <w:rFonts w:ascii="Arial" w:hAnsi="Arial" w:cs="Arial"/>
          <w:sz w:val="18"/>
          <w:szCs w:val="18"/>
        </w:rPr>
        <w:t>.</w:t>
      </w:r>
    </w:p>
  </w:footnote>
  <w:footnote w:id="15">
    <w:p w14:paraId="47E9DAD6" w14:textId="77777777"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Cfr. Sentencia T-371 de 2016.</w:t>
      </w:r>
    </w:p>
  </w:footnote>
  <w:footnote w:id="16">
    <w:p w14:paraId="717D2F1D" w14:textId="77777777"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Cfr. Sentencias C-980 de 2010 y T-371 de 2016.</w:t>
      </w:r>
    </w:p>
  </w:footnote>
  <w:footnote w:id="17">
    <w:p w14:paraId="6A855089" w14:textId="77777777"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M.P. María Victoria Calle Correa.</w:t>
      </w:r>
    </w:p>
  </w:footnote>
  <w:footnote w:id="18">
    <w:p w14:paraId="176F9248" w14:textId="77777777"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Cfr. Sentencia T-554 de 1992. </w:t>
      </w:r>
    </w:p>
  </w:footnote>
  <w:footnote w:id="19">
    <w:p w14:paraId="2E4B86F6" w14:textId="77777777"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Cfr. Sentencia T-554 de 1992, reiterada y analizada en la sentencia T-371 de 2016.</w:t>
      </w:r>
    </w:p>
  </w:footnote>
  <w:footnote w:id="20">
    <w:p w14:paraId="228544B1" w14:textId="77777777"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Sentencia T-553 de 1995, reiterada en la sentencia T-371 de 2016.</w:t>
      </w:r>
    </w:p>
  </w:footnote>
  <w:footnote w:id="21">
    <w:p w14:paraId="6DA8EC0D" w14:textId="77777777" w:rsidR="00C0289E" w:rsidRPr="00AA4FB9" w:rsidRDefault="00C0289E"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Sentencia T-553 de 1995, reiterada en la sentencia T-371 de 2016.</w:t>
      </w:r>
    </w:p>
  </w:footnote>
  <w:footnote w:id="22">
    <w:p w14:paraId="51E1B291" w14:textId="0511978D"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Pág. 6, Documento 10., C. 1.</w:t>
      </w:r>
    </w:p>
  </w:footnote>
  <w:footnote w:id="23">
    <w:p w14:paraId="1DC0E5DB" w14:textId="252B360B"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Pág. 8, </w:t>
      </w:r>
      <w:r w:rsidRPr="00AA4FB9">
        <w:rPr>
          <w:rFonts w:ascii="Arial" w:hAnsi="Arial" w:cs="Arial"/>
          <w:sz w:val="18"/>
          <w:szCs w:val="18"/>
          <w:lang w:val="es-CO"/>
        </w:rPr>
        <w:t>Documento 10., C. 1.</w:t>
      </w:r>
    </w:p>
  </w:footnote>
  <w:footnote w:id="24">
    <w:p w14:paraId="73562C19" w14:textId="3D665121"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Pág. 12, </w:t>
      </w:r>
      <w:r w:rsidRPr="00AA4FB9">
        <w:rPr>
          <w:rFonts w:ascii="Arial" w:hAnsi="Arial" w:cs="Arial"/>
          <w:sz w:val="18"/>
          <w:szCs w:val="18"/>
          <w:lang w:val="es-CO"/>
        </w:rPr>
        <w:t>Documento 02., C. 1.</w:t>
      </w:r>
    </w:p>
  </w:footnote>
  <w:footnote w:id="25">
    <w:p w14:paraId="41F0B9CF" w14:textId="38D5B4B5"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Pág. 27, </w:t>
      </w:r>
      <w:r w:rsidRPr="00AA4FB9">
        <w:rPr>
          <w:rFonts w:ascii="Arial" w:hAnsi="Arial" w:cs="Arial"/>
          <w:sz w:val="18"/>
          <w:szCs w:val="18"/>
          <w:lang w:val="es-CO"/>
        </w:rPr>
        <w:t>Documento 02., C. 1.</w:t>
      </w:r>
    </w:p>
  </w:footnote>
  <w:footnote w:id="26">
    <w:p w14:paraId="181CAF9A" w14:textId="15F519E9" w:rsidR="000C1DA9" w:rsidRPr="00AA4FB9" w:rsidRDefault="000C1DA9" w:rsidP="00AA4FB9">
      <w:pPr>
        <w:pStyle w:val="Textonotapie"/>
        <w:jc w:val="both"/>
        <w:rPr>
          <w:rFonts w:ascii="Arial" w:hAnsi="Arial" w:cs="Arial"/>
          <w:sz w:val="18"/>
          <w:szCs w:val="18"/>
          <w:lang w:val="es-CO"/>
        </w:rPr>
      </w:pPr>
      <w:r w:rsidRPr="00AA4FB9">
        <w:rPr>
          <w:rStyle w:val="Refdenotaalpie"/>
          <w:rFonts w:ascii="Arial" w:hAnsi="Arial" w:cs="Arial"/>
          <w:sz w:val="18"/>
          <w:szCs w:val="18"/>
        </w:rPr>
        <w:footnoteRef/>
      </w:r>
      <w:r w:rsidRPr="00AA4FB9">
        <w:rPr>
          <w:rFonts w:ascii="Arial" w:hAnsi="Arial" w:cs="Arial"/>
          <w:sz w:val="18"/>
          <w:szCs w:val="18"/>
        </w:rPr>
        <w:t xml:space="preserve"> Pág. </w:t>
      </w:r>
      <w:r w:rsidR="00163529" w:rsidRPr="00AA4FB9">
        <w:rPr>
          <w:rFonts w:ascii="Arial" w:hAnsi="Arial" w:cs="Arial"/>
          <w:sz w:val="18"/>
          <w:szCs w:val="18"/>
        </w:rPr>
        <w:t>8</w:t>
      </w:r>
      <w:r w:rsidRPr="00AA4FB9">
        <w:rPr>
          <w:rFonts w:ascii="Arial" w:hAnsi="Arial" w:cs="Arial"/>
          <w:sz w:val="18"/>
          <w:szCs w:val="18"/>
        </w:rPr>
        <w:t xml:space="preserve">, </w:t>
      </w:r>
      <w:r w:rsidRPr="00AA4FB9">
        <w:rPr>
          <w:rFonts w:ascii="Arial" w:hAnsi="Arial" w:cs="Arial"/>
          <w:sz w:val="18"/>
          <w:szCs w:val="18"/>
          <w:lang w:val="es-CO"/>
        </w:rPr>
        <w:t>Documento 1</w:t>
      </w:r>
      <w:r w:rsidR="00163529" w:rsidRPr="00AA4FB9">
        <w:rPr>
          <w:rFonts w:ascii="Arial" w:hAnsi="Arial" w:cs="Arial"/>
          <w:sz w:val="18"/>
          <w:szCs w:val="18"/>
          <w:lang w:val="es-CO"/>
        </w:rPr>
        <w:t>1</w:t>
      </w:r>
      <w:r w:rsidRPr="00AA4FB9">
        <w:rPr>
          <w:rFonts w:ascii="Arial" w:hAnsi="Arial" w:cs="Arial"/>
          <w:sz w:val="18"/>
          <w:szCs w:val="18"/>
          <w:lang w:val="es-CO"/>
        </w:rPr>
        <w:t>., C.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14833"/>
    <w:multiLevelType w:val="hybridMultilevel"/>
    <w:tmpl w:val="39049CA8"/>
    <w:lvl w:ilvl="0" w:tplc="E3CA80E4">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1" w15:restartNumberingAfterBreak="0">
    <w:nsid w:val="637D7D8F"/>
    <w:multiLevelType w:val="hybridMultilevel"/>
    <w:tmpl w:val="2EBC28D0"/>
    <w:lvl w:ilvl="0" w:tplc="2340D22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2" w15:restartNumberingAfterBreak="0">
    <w:nsid w:val="6F39396A"/>
    <w:multiLevelType w:val="hybridMultilevel"/>
    <w:tmpl w:val="C6F68538"/>
    <w:lvl w:ilvl="0" w:tplc="90CA109E">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ES" w:vendorID="64" w:dllVersion="4096" w:nlCheck="1" w:checkStyle="0"/>
  <w:activeWritingStyle w:appName="MSWord" w:lang="es-419"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44"/>
    <w:rsid w:val="0000161A"/>
    <w:rsid w:val="00003BCD"/>
    <w:rsid w:val="00006D3D"/>
    <w:rsid w:val="00013A46"/>
    <w:rsid w:val="00020299"/>
    <w:rsid w:val="00027F07"/>
    <w:rsid w:val="00032126"/>
    <w:rsid w:val="000326A6"/>
    <w:rsid w:val="00032AEA"/>
    <w:rsid w:val="00033FD2"/>
    <w:rsid w:val="00034ED7"/>
    <w:rsid w:val="000431C0"/>
    <w:rsid w:val="0004483B"/>
    <w:rsid w:val="00053A94"/>
    <w:rsid w:val="00053F48"/>
    <w:rsid w:val="00055409"/>
    <w:rsid w:val="00055776"/>
    <w:rsid w:val="00061292"/>
    <w:rsid w:val="00074430"/>
    <w:rsid w:val="00074557"/>
    <w:rsid w:val="00075C47"/>
    <w:rsid w:val="00077766"/>
    <w:rsid w:val="00077A5D"/>
    <w:rsid w:val="00080818"/>
    <w:rsid w:val="00092FAD"/>
    <w:rsid w:val="000964A8"/>
    <w:rsid w:val="000966FF"/>
    <w:rsid w:val="000A618F"/>
    <w:rsid w:val="000C1DA9"/>
    <w:rsid w:val="000D0588"/>
    <w:rsid w:val="000D3BE8"/>
    <w:rsid w:val="000D63B6"/>
    <w:rsid w:val="000E068E"/>
    <w:rsid w:val="000F3535"/>
    <w:rsid w:val="0010181D"/>
    <w:rsid w:val="001170B4"/>
    <w:rsid w:val="001228A7"/>
    <w:rsid w:val="001421A1"/>
    <w:rsid w:val="00146068"/>
    <w:rsid w:val="0015705D"/>
    <w:rsid w:val="00163529"/>
    <w:rsid w:val="00170829"/>
    <w:rsid w:val="00181964"/>
    <w:rsid w:val="001824F8"/>
    <w:rsid w:val="001865F5"/>
    <w:rsid w:val="0019325F"/>
    <w:rsid w:val="001A279D"/>
    <w:rsid w:val="001C02F7"/>
    <w:rsid w:val="001C0F55"/>
    <w:rsid w:val="001E3579"/>
    <w:rsid w:val="00211F61"/>
    <w:rsid w:val="00216770"/>
    <w:rsid w:val="0022039C"/>
    <w:rsid w:val="00253C72"/>
    <w:rsid w:val="00271C50"/>
    <w:rsid w:val="0027557E"/>
    <w:rsid w:val="00276F73"/>
    <w:rsid w:val="00281A52"/>
    <w:rsid w:val="00282427"/>
    <w:rsid w:val="00291AE7"/>
    <w:rsid w:val="00293295"/>
    <w:rsid w:val="00293D42"/>
    <w:rsid w:val="0029662D"/>
    <w:rsid w:val="002A56CC"/>
    <w:rsid w:val="002A7D18"/>
    <w:rsid w:val="002B111A"/>
    <w:rsid w:val="002C1162"/>
    <w:rsid w:val="002C46EF"/>
    <w:rsid w:val="002D6937"/>
    <w:rsid w:val="002E0084"/>
    <w:rsid w:val="002E0B28"/>
    <w:rsid w:val="002E3065"/>
    <w:rsid w:val="002F2707"/>
    <w:rsid w:val="00302A66"/>
    <w:rsid w:val="003069A3"/>
    <w:rsid w:val="00314901"/>
    <w:rsid w:val="003154B1"/>
    <w:rsid w:val="00315A48"/>
    <w:rsid w:val="00317613"/>
    <w:rsid w:val="00323F66"/>
    <w:rsid w:val="00351F19"/>
    <w:rsid w:val="00352CBA"/>
    <w:rsid w:val="003559F5"/>
    <w:rsid w:val="00365E39"/>
    <w:rsid w:val="003679D3"/>
    <w:rsid w:val="00370465"/>
    <w:rsid w:val="00372A14"/>
    <w:rsid w:val="00376BDE"/>
    <w:rsid w:val="003775B2"/>
    <w:rsid w:val="00386AE9"/>
    <w:rsid w:val="00390FCD"/>
    <w:rsid w:val="00394D24"/>
    <w:rsid w:val="00396446"/>
    <w:rsid w:val="003A0F8D"/>
    <w:rsid w:val="003A3639"/>
    <w:rsid w:val="003A3903"/>
    <w:rsid w:val="003A7E25"/>
    <w:rsid w:val="003B539C"/>
    <w:rsid w:val="003B6768"/>
    <w:rsid w:val="003C2BC4"/>
    <w:rsid w:val="003C5B75"/>
    <w:rsid w:val="003E54BB"/>
    <w:rsid w:val="003F5520"/>
    <w:rsid w:val="0040103B"/>
    <w:rsid w:val="00405E18"/>
    <w:rsid w:val="00406E26"/>
    <w:rsid w:val="0040704B"/>
    <w:rsid w:val="0042006D"/>
    <w:rsid w:val="00422311"/>
    <w:rsid w:val="00426DA0"/>
    <w:rsid w:val="0043090A"/>
    <w:rsid w:val="00430A05"/>
    <w:rsid w:val="0043250B"/>
    <w:rsid w:val="00435DC4"/>
    <w:rsid w:val="004372BC"/>
    <w:rsid w:val="00452AF6"/>
    <w:rsid w:val="00462FE7"/>
    <w:rsid w:val="00467445"/>
    <w:rsid w:val="00477CB4"/>
    <w:rsid w:val="004803AE"/>
    <w:rsid w:val="0049002E"/>
    <w:rsid w:val="00496348"/>
    <w:rsid w:val="004A5595"/>
    <w:rsid w:val="004B14D4"/>
    <w:rsid w:val="004C1AE9"/>
    <w:rsid w:val="004C2C15"/>
    <w:rsid w:val="004C62CA"/>
    <w:rsid w:val="004D53C1"/>
    <w:rsid w:val="004E0C3B"/>
    <w:rsid w:val="004E4A9F"/>
    <w:rsid w:val="004F0D1F"/>
    <w:rsid w:val="004F7764"/>
    <w:rsid w:val="00502D34"/>
    <w:rsid w:val="0050586C"/>
    <w:rsid w:val="00513F83"/>
    <w:rsid w:val="00517F08"/>
    <w:rsid w:val="0052280F"/>
    <w:rsid w:val="00534A58"/>
    <w:rsid w:val="0055213F"/>
    <w:rsid w:val="00561F25"/>
    <w:rsid w:val="005672A5"/>
    <w:rsid w:val="0056791D"/>
    <w:rsid w:val="00570DA5"/>
    <w:rsid w:val="0057202D"/>
    <w:rsid w:val="005756BE"/>
    <w:rsid w:val="005A042C"/>
    <w:rsid w:val="005B6F1C"/>
    <w:rsid w:val="005B7535"/>
    <w:rsid w:val="005C000E"/>
    <w:rsid w:val="005C314D"/>
    <w:rsid w:val="005D5D35"/>
    <w:rsid w:val="005D653A"/>
    <w:rsid w:val="005E666C"/>
    <w:rsid w:val="005E7F81"/>
    <w:rsid w:val="005F3E08"/>
    <w:rsid w:val="005F6F58"/>
    <w:rsid w:val="005F7FDF"/>
    <w:rsid w:val="00607281"/>
    <w:rsid w:val="0061104F"/>
    <w:rsid w:val="0061438F"/>
    <w:rsid w:val="00616474"/>
    <w:rsid w:val="00620F63"/>
    <w:rsid w:val="00621A3C"/>
    <w:rsid w:val="006230BC"/>
    <w:rsid w:val="006253DE"/>
    <w:rsid w:val="006278C7"/>
    <w:rsid w:val="00643EBF"/>
    <w:rsid w:val="00656403"/>
    <w:rsid w:val="00657454"/>
    <w:rsid w:val="00662A05"/>
    <w:rsid w:val="00665342"/>
    <w:rsid w:val="00674A22"/>
    <w:rsid w:val="0067794B"/>
    <w:rsid w:val="006844C0"/>
    <w:rsid w:val="006849A6"/>
    <w:rsid w:val="00693B8A"/>
    <w:rsid w:val="00695D52"/>
    <w:rsid w:val="006979C1"/>
    <w:rsid w:val="006A5728"/>
    <w:rsid w:val="006B0A03"/>
    <w:rsid w:val="006B1E9D"/>
    <w:rsid w:val="006D4518"/>
    <w:rsid w:val="006D5D3E"/>
    <w:rsid w:val="006D7F5E"/>
    <w:rsid w:val="006E3819"/>
    <w:rsid w:val="006E4909"/>
    <w:rsid w:val="006E6D69"/>
    <w:rsid w:val="006E7FCC"/>
    <w:rsid w:val="006F5C2C"/>
    <w:rsid w:val="006F5C6F"/>
    <w:rsid w:val="0070049D"/>
    <w:rsid w:val="00703448"/>
    <w:rsid w:val="007045BE"/>
    <w:rsid w:val="00711431"/>
    <w:rsid w:val="00712825"/>
    <w:rsid w:val="00714B45"/>
    <w:rsid w:val="00715900"/>
    <w:rsid w:val="00717477"/>
    <w:rsid w:val="00725B6F"/>
    <w:rsid w:val="00734D95"/>
    <w:rsid w:val="0074085B"/>
    <w:rsid w:val="00740AC8"/>
    <w:rsid w:val="00742586"/>
    <w:rsid w:val="00745CBD"/>
    <w:rsid w:val="00756044"/>
    <w:rsid w:val="00771673"/>
    <w:rsid w:val="00772BEE"/>
    <w:rsid w:val="0077532A"/>
    <w:rsid w:val="00784E3A"/>
    <w:rsid w:val="00796976"/>
    <w:rsid w:val="007A519B"/>
    <w:rsid w:val="007A7676"/>
    <w:rsid w:val="007C069B"/>
    <w:rsid w:val="007D29D6"/>
    <w:rsid w:val="007D4C6D"/>
    <w:rsid w:val="007D622D"/>
    <w:rsid w:val="007E2470"/>
    <w:rsid w:val="007F5F4C"/>
    <w:rsid w:val="007F5FE5"/>
    <w:rsid w:val="00824CA0"/>
    <w:rsid w:val="0083048C"/>
    <w:rsid w:val="008329FC"/>
    <w:rsid w:val="00832A1A"/>
    <w:rsid w:val="00843149"/>
    <w:rsid w:val="008530FA"/>
    <w:rsid w:val="0085452A"/>
    <w:rsid w:val="0086500E"/>
    <w:rsid w:val="0087422E"/>
    <w:rsid w:val="00877521"/>
    <w:rsid w:val="0088709E"/>
    <w:rsid w:val="00891E39"/>
    <w:rsid w:val="0089363A"/>
    <w:rsid w:val="00894320"/>
    <w:rsid w:val="00896291"/>
    <w:rsid w:val="00896C50"/>
    <w:rsid w:val="008A1CF9"/>
    <w:rsid w:val="008A42CD"/>
    <w:rsid w:val="008A723B"/>
    <w:rsid w:val="008B4181"/>
    <w:rsid w:val="008B5947"/>
    <w:rsid w:val="008B6F83"/>
    <w:rsid w:val="008C5727"/>
    <w:rsid w:val="008C7948"/>
    <w:rsid w:val="008D11CB"/>
    <w:rsid w:val="008D27F3"/>
    <w:rsid w:val="008E3ED6"/>
    <w:rsid w:val="008E58CD"/>
    <w:rsid w:val="008E5BE9"/>
    <w:rsid w:val="008E60FB"/>
    <w:rsid w:val="008F0C90"/>
    <w:rsid w:val="008F18E2"/>
    <w:rsid w:val="008F5463"/>
    <w:rsid w:val="008F6DE3"/>
    <w:rsid w:val="0090236C"/>
    <w:rsid w:val="009033CA"/>
    <w:rsid w:val="00907DCF"/>
    <w:rsid w:val="009106CF"/>
    <w:rsid w:val="009150EF"/>
    <w:rsid w:val="009174B5"/>
    <w:rsid w:val="009202A9"/>
    <w:rsid w:val="00923230"/>
    <w:rsid w:val="009315E7"/>
    <w:rsid w:val="0093530C"/>
    <w:rsid w:val="009430BD"/>
    <w:rsid w:val="00944011"/>
    <w:rsid w:val="00960110"/>
    <w:rsid w:val="0096221B"/>
    <w:rsid w:val="00965D52"/>
    <w:rsid w:val="0098467A"/>
    <w:rsid w:val="00985707"/>
    <w:rsid w:val="009A199B"/>
    <w:rsid w:val="009A3ACA"/>
    <w:rsid w:val="009C0A55"/>
    <w:rsid w:val="009D089D"/>
    <w:rsid w:val="009D66D5"/>
    <w:rsid w:val="009E6B1F"/>
    <w:rsid w:val="00A10B35"/>
    <w:rsid w:val="00A12467"/>
    <w:rsid w:val="00A22B0F"/>
    <w:rsid w:val="00A254BE"/>
    <w:rsid w:val="00A30819"/>
    <w:rsid w:val="00A30955"/>
    <w:rsid w:val="00A50A5E"/>
    <w:rsid w:val="00A51860"/>
    <w:rsid w:val="00A625BE"/>
    <w:rsid w:val="00A64ADF"/>
    <w:rsid w:val="00A64F54"/>
    <w:rsid w:val="00A92999"/>
    <w:rsid w:val="00A97441"/>
    <w:rsid w:val="00AA4FB9"/>
    <w:rsid w:val="00AB0C0C"/>
    <w:rsid w:val="00AB191D"/>
    <w:rsid w:val="00AB43A1"/>
    <w:rsid w:val="00AD35F0"/>
    <w:rsid w:val="00AD6B4D"/>
    <w:rsid w:val="00AE0224"/>
    <w:rsid w:val="00AE0478"/>
    <w:rsid w:val="00AE1ABD"/>
    <w:rsid w:val="00AE22A2"/>
    <w:rsid w:val="00AE2539"/>
    <w:rsid w:val="00B07E8B"/>
    <w:rsid w:val="00B10C83"/>
    <w:rsid w:val="00B25FD8"/>
    <w:rsid w:val="00B26579"/>
    <w:rsid w:val="00B27688"/>
    <w:rsid w:val="00B42DBA"/>
    <w:rsid w:val="00B700DF"/>
    <w:rsid w:val="00B71930"/>
    <w:rsid w:val="00B71BD7"/>
    <w:rsid w:val="00B844BD"/>
    <w:rsid w:val="00B92F45"/>
    <w:rsid w:val="00B96208"/>
    <w:rsid w:val="00BA7014"/>
    <w:rsid w:val="00BB04E6"/>
    <w:rsid w:val="00BB65FB"/>
    <w:rsid w:val="00BC2599"/>
    <w:rsid w:val="00BC45E3"/>
    <w:rsid w:val="00BC5313"/>
    <w:rsid w:val="00BC6F09"/>
    <w:rsid w:val="00BD3B94"/>
    <w:rsid w:val="00BD4EA8"/>
    <w:rsid w:val="00BF3C77"/>
    <w:rsid w:val="00BF5426"/>
    <w:rsid w:val="00BF659B"/>
    <w:rsid w:val="00BF7977"/>
    <w:rsid w:val="00C0289E"/>
    <w:rsid w:val="00C1558F"/>
    <w:rsid w:val="00C21A0F"/>
    <w:rsid w:val="00C21E67"/>
    <w:rsid w:val="00C26230"/>
    <w:rsid w:val="00C26446"/>
    <w:rsid w:val="00C32BD3"/>
    <w:rsid w:val="00C443F1"/>
    <w:rsid w:val="00C444FE"/>
    <w:rsid w:val="00C47BF7"/>
    <w:rsid w:val="00C70616"/>
    <w:rsid w:val="00C82605"/>
    <w:rsid w:val="00C858C6"/>
    <w:rsid w:val="00CA072C"/>
    <w:rsid w:val="00CA12A2"/>
    <w:rsid w:val="00CC5651"/>
    <w:rsid w:val="00CC619F"/>
    <w:rsid w:val="00CD180E"/>
    <w:rsid w:val="00CD219C"/>
    <w:rsid w:val="00CE05C3"/>
    <w:rsid w:val="00CE05FF"/>
    <w:rsid w:val="00CE7104"/>
    <w:rsid w:val="00D11CCF"/>
    <w:rsid w:val="00D161D8"/>
    <w:rsid w:val="00D22B0C"/>
    <w:rsid w:val="00D25908"/>
    <w:rsid w:val="00D33CE9"/>
    <w:rsid w:val="00D3694C"/>
    <w:rsid w:val="00D37C6E"/>
    <w:rsid w:val="00D42F2B"/>
    <w:rsid w:val="00D42FD2"/>
    <w:rsid w:val="00D4369D"/>
    <w:rsid w:val="00D44763"/>
    <w:rsid w:val="00D44EE3"/>
    <w:rsid w:val="00D524DF"/>
    <w:rsid w:val="00D648B7"/>
    <w:rsid w:val="00D8236D"/>
    <w:rsid w:val="00D97BAB"/>
    <w:rsid w:val="00DA53C5"/>
    <w:rsid w:val="00DA7561"/>
    <w:rsid w:val="00DB330D"/>
    <w:rsid w:val="00DD00B4"/>
    <w:rsid w:val="00DD4215"/>
    <w:rsid w:val="00DE2030"/>
    <w:rsid w:val="00DE40D1"/>
    <w:rsid w:val="00E01B05"/>
    <w:rsid w:val="00E03BD2"/>
    <w:rsid w:val="00E07CA6"/>
    <w:rsid w:val="00E106AD"/>
    <w:rsid w:val="00E1400D"/>
    <w:rsid w:val="00E17509"/>
    <w:rsid w:val="00E24C1E"/>
    <w:rsid w:val="00E25653"/>
    <w:rsid w:val="00E434E7"/>
    <w:rsid w:val="00E44B84"/>
    <w:rsid w:val="00E45260"/>
    <w:rsid w:val="00E503E6"/>
    <w:rsid w:val="00E50FD0"/>
    <w:rsid w:val="00E518DA"/>
    <w:rsid w:val="00E5413A"/>
    <w:rsid w:val="00E7322A"/>
    <w:rsid w:val="00E80335"/>
    <w:rsid w:val="00E87CCB"/>
    <w:rsid w:val="00E91CEE"/>
    <w:rsid w:val="00EA2D67"/>
    <w:rsid w:val="00EA3E59"/>
    <w:rsid w:val="00EA3F8D"/>
    <w:rsid w:val="00EB45CC"/>
    <w:rsid w:val="00EC1754"/>
    <w:rsid w:val="00EC38FC"/>
    <w:rsid w:val="00ED5812"/>
    <w:rsid w:val="00ED5877"/>
    <w:rsid w:val="00EE49EA"/>
    <w:rsid w:val="00F0575B"/>
    <w:rsid w:val="00F0648E"/>
    <w:rsid w:val="00F16627"/>
    <w:rsid w:val="00F20C45"/>
    <w:rsid w:val="00F25C6C"/>
    <w:rsid w:val="00F264F0"/>
    <w:rsid w:val="00F30225"/>
    <w:rsid w:val="00F3068A"/>
    <w:rsid w:val="00F3183F"/>
    <w:rsid w:val="00F43B9E"/>
    <w:rsid w:val="00F43CD2"/>
    <w:rsid w:val="00F44B78"/>
    <w:rsid w:val="00F46E71"/>
    <w:rsid w:val="00F57F77"/>
    <w:rsid w:val="00F7166B"/>
    <w:rsid w:val="00F758E2"/>
    <w:rsid w:val="00F84347"/>
    <w:rsid w:val="00FA2B3E"/>
    <w:rsid w:val="00FA3142"/>
    <w:rsid w:val="00FA63DC"/>
    <w:rsid w:val="00FB69AE"/>
    <w:rsid w:val="00FC2DC7"/>
    <w:rsid w:val="00FC3953"/>
    <w:rsid w:val="00FD3D0E"/>
    <w:rsid w:val="00FD4DBD"/>
    <w:rsid w:val="00FD617E"/>
    <w:rsid w:val="00FE20DE"/>
    <w:rsid w:val="00FE5F8A"/>
    <w:rsid w:val="00FF14C8"/>
    <w:rsid w:val="00FF31BE"/>
    <w:rsid w:val="00FF3C20"/>
    <w:rsid w:val="00FF5B8E"/>
    <w:rsid w:val="00FF6728"/>
    <w:rsid w:val="066F6A3C"/>
    <w:rsid w:val="0CA6611D"/>
    <w:rsid w:val="12A4A059"/>
    <w:rsid w:val="15C7D7B6"/>
    <w:rsid w:val="1A78F8BC"/>
    <w:rsid w:val="1EA8301F"/>
    <w:rsid w:val="20C22928"/>
    <w:rsid w:val="21E0AEB1"/>
    <w:rsid w:val="248C65AA"/>
    <w:rsid w:val="24A1FEAF"/>
    <w:rsid w:val="2537E002"/>
    <w:rsid w:val="2C2ED517"/>
    <w:rsid w:val="2D971937"/>
    <w:rsid w:val="30D45F3E"/>
    <w:rsid w:val="30E23AED"/>
    <w:rsid w:val="39394483"/>
    <w:rsid w:val="3BB59A28"/>
    <w:rsid w:val="3D76F797"/>
    <w:rsid w:val="3F2CB672"/>
    <w:rsid w:val="4090823F"/>
    <w:rsid w:val="424A2708"/>
    <w:rsid w:val="42912840"/>
    <w:rsid w:val="431A8C22"/>
    <w:rsid w:val="44AB5B19"/>
    <w:rsid w:val="4A4A9552"/>
    <w:rsid w:val="53D5750F"/>
    <w:rsid w:val="591592C1"/>
    <w:rsid w:val="59A1AA03"/>
    <w:rsid w:val="5DA7CDFB"/>
    <w:rsid w:val="5E15EB94"/>
    <w:rsid w:val="5F282C3A"/>
    <w:rsid w:val="61E65D3F"/>
    <w:rsid w:val="67449240"/>
    <w:rsid w:val="6A4977C3"/>
    <w:rsid w:val="6F59F34A"/>
    <w:rsid w:val="711338D8"/>
    <w:rsid w:val="7359C6DA"/>
    <w:rsid w:val="74F3857E"/>
    <w:rsid w:val="77D3E02E"/>
    <w:rsid w:val="787C0B51"/>
    <w:rsid w:val="7C47F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1958"/>
  <w15:chartTrackingRefBased/>
  <w15:docId w15:val="{4B850A1C-3ECE-4A31-A72B-773C7BB6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6979C1"/>
    <w:pPr>
      <w:spacing w:before="100" w:beforeAutospacing="1" w:after="100" w:afterAutospacing="1" w:line="240" w:lineRule="auto"/>
      <w:outlineLvl w:val="1"/>
    </w:pPr>
    <w:rPr>
      <w:rFonts w:ascii="Times New Roman" w:eastAsia="Times New Roman" w:hAnsi="Times New Roman" w:cs="Times New Roman"/>
      <w:b/>
      <w:bCs/>
      <w:sz w:val="36"/>
      <w:szCs w:val="36"/>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7560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s refss Car,Appel note de bas de page Car,Ref. de nota al pie 2 Car,referencia nota al pie Car,Nota de pie Car,Texto nota al pie Car,Footnote number Car,4_G Car,16 Point Car"/>
    <w:basedOn w:val="Fuentedeprrafopredeter"/>
    <w:uiPriority w:val="99"/>
    <w:rsid w:val="00756044"/>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link w:val="4GChar"/>
    <w:uiPriority w:val="99"/>
    <w:qFormat/>
    <w:rsid w:val="00756044"/>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qFormat/>
    <w:locked/>
    <w:rsid w:val="00756044"/>
    <w:rPr>
      <w:rFonts w:ascii="Times New Roman" w:eastAsia="Times New Roman" w:hAnsi="Times New Roman" w:cs="Times New Roman"/>
      <w:sz w:val="20"/>
      <w:szCs w:val="20"/>
      <w:lang w:val="es-ES" w:eastAsia="es-ES"/>
    </w:rPr>
  </w:style>
  <w:style w:type="paragraph" w:styleId="Prrafodelista">
    <w:name w:val="List Paragraph"/>
    <w:aliases w:val="Colorful List - Accent 11,Ha,List Paragraph1,lp1"/>
    <w:basedOn w:val="Normal"/>
    <w:link w:val="PrrafodelistaCar"/>
    <w:uiPriority w:val="34"/>
    <w:qFormat/>
    <w:rsid w:val="00DE2030"/>
    <w:pPr>
      <w:spacing w:after="0" w:line="240" w:lineRule="auto"/>
      <w:ind w:left="720"/>
    </w:pPr>
    <w:rPr>
      <w:rFonts w:ascii="Times New Roman" w:eastAsia="Times New Roman" w:hAnsi="Times New Roman" w:cs="Times New Roman"/>
      <w:sz w:val="28"/>
      <w:szCs w:val="20"/>
      <w:lang w:val="es-CO" w:eastAsia="es-ES"/>
    </w:rPr>
  </w:style>
  <w:style w:type="character" w:customStyle="1" w:styleId="PrrafodelistaCar">
    <w:name w:val="Párrafo de lista Car"/>
    <w:aliases w:val="Colorful List - Accent 11 Car,Ha Car,List Paragraph1 Car,lp1 Car"/>
    <w:link w:val="Prrafodelista"/>
    <w:uiPriority w:val="34"/>
    <w:locked/>
    <w:rsid w:val="00DE2030"/>
    <w:rPr>
      <w:rFonts w:ascii="Times New Roman" w:eastAsia="Times New Roman" w:hAnsi="Times New Roman" w:cs="Times New Roman"/>
      <w:sz w:val="28"/>
      <w:szCs w:val="20"/>
      <w:lang w:val="es-CO" w:eastAsia="es-ES"/>
    </w:rPr>
  </w:style>
  <w:style w:type="paragraph" w:styleId="Textodeglobo">
    <w:name w:val="Balloon Text"/>
    <w:basedOn w:val="Normal"/>
    <w:link w:val="TextodegloboCar"/>
    <w:uiPriority w:val="99"/>
    <w:semiHidden/>
    <w:unhideWhenUsed/>
    <w:rsid w:val="008F5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63"/>
    <w:rPr>
      <w:rFonts w:ascii="Segoe UI" w:hAnsi="Segoe UI" w:cs="Segoe UI"/>
      <w:sz w:val="18"/>
      <w:szCs w:val="18"/>
    </w:rPr>
  </w:style>
  <w:style w:type="paragraph" w:styleId="Encabezado">
    <w:name w:val="header"/>
    <w:basedOn w:val="Normal"/>
    <w:link w:val="EncabezadoCar"/>
    <w:uiPriority w:val="99"/>
    <w:unhideWhenUsed/>
    <w:rsid w:val="001708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0829"/>
  </w:style>
  <w:style w:type="paragraph" w:styleId="Piedepgina">
    <w:name w:val="footer"/>
    <w:basedOn w:val="Normal"/>
    <w:link w:val="PiedepginaCar"/>
    <w:uiPriority w:val="99"/>
    <w:unhideWhenUsed/>
    <w:rsid w:val="001708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0829"/>
  </w:style>
  <w:style w:type="character" w:styleId="Hipervnculo">
    <w:name w:val="Hyperlink"/>
    <w:basedOn w:val="Fuentedeprrafopredeter"/>
    <w:uiPriority w:val="99"/>
    <w:unhideWhenUsed/>
    <w:rsid w:val="00F3183F"/>
    <w:rPr>
      <w:color w:val="0000FF"/>
      <w:u w:val="single"/>
    </w:rPr>
  </w:style>
  <w:style w:type="paragraph" w:styleId="Textoindependiente">
    <w:name w:val="Body Text"/>
    <w:aliases w:val="Car"/>
    <w:basedOn w:val="Normal"/>
    <w:link w:val="TextoindependienteCar"/>
    <w:uiPriority w:val="99"/>
    <w:rsid w:val="00AD6B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288" w:lineRule="atLeast"/>
      <w:jc w:val="both"/>
      <w:textAlignment w:val="baseline"/>
    </w:pPr>
    <w:rPr>
      <w:rFonts w:ascii="Verdana" w:eastAsia="Times New Roman" w:hAnsi="Verdana" w:cs="Times New Roman"/>
      <w:spacing w:val="-3"/>
      <w:sz w:val="20"/>
      <w:szCs w:val="20"/>
      <w:lang w:val="es-ES_tradnl" w:eastAsia="es-ES"/>
    </w:rPr>
  </w:style>
  <w:style w:type="character" w:customStyle="1" w:styleId="TextoindependienteCar">
    <w:name w:val="Texto independiente Car"/>
    <w:aliases w:val="Car Car"/>
    <w:basedOn w:val="Fuentedeprrafopredeter"/>
    <w:link w:val="Textoindependiente"/>
    <w:uiPriority w:val="99"/>
    <w:rsid w:val="00AD6B4D"/>
    <w:rPr>
      <w:rFonts w:ascii="Verdana" w:eastAsia="Times New Roman" w:hAnsi="Verdana" w:cs="Times New Roman"/>
      <w:spacing w:val="-3"/>
      <w:sz w:val="20"/>
      <w:szCs w:val="20"/>
      <w:lang w:val="es-ES_tradnl" w:eastAsia="es-ES"/>
    </w:rPr>
  </w:style>
  <w:style w:type="character" w:styleId="Nmerodepgina">
    <w:name w:val="page number"/>
    <w:uiPriority w:val="99"/>
    <w:rsid w:val="00665342"/>
    <w:rPr>
      <w:rFonts w:cs="Times New Roman"/>
    </w:rPr>
  </w:style>
  <w:style w:type="paragraph" w:customStyle="1" w:styleId="Body">
    <w:name w:val="Body"/>
    <w:rsid w:val="00665342"/>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Arial Unicode MS" w:hAnsi="Times New Roman" w:cs="Times New Roman"/>
      <w:color w:val="000000"/>
      <w:sz w:val="28"/>
      <w:szCs w:val="28"/>
      <w:u w:color="000000"/>
      <w:lang w:val="es-ES" w:eastAsia="es-ES"/>
    </w:rPr>
  </w:style>
  <w:style w:type="paragraph" w:styleId="NormalWeb">
    <w:name w:val="Normal (Web)"/>
    <w:basedOn w:val="Normal"/>
    <w:uiPriority w:val="99"/>
    <w:semiHidden/>
    <w:unhideWhenUsed/>
    <w:rsid w:val="00F84347"/>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customStyle="1" w:styleId="Ttulo2Car">
    <w:name w:val="Título 2 Car"/>
    <w:basedOn w:val="Fuentedeprrafopredeter"/>
    <w:link w:val="Ttulo2"/>
    <w:uiPriority w:val="9"/>
    <w:rsid w:val="006979C1"/>
    <w:rPr>
      <w:rFonts w:ascii="Times New Roman" w:eastAsia="Times New Roman" w:hAnsi="Times New Roman" w:cs="Times New Roman"/>
      <w:b/>
      <w:bCs/>
      <w:sz w:val="36"/>
      <w:szCs w:val="36"/>
      <w:lang w:val="es-CO" w:eastAsia="es-CO"/>
    </w:rPr>
  </w:style>
  <w:style w:type="paragraph" w:styleId="Textoindependiente3">
    <w:name w:val="Body Text 3"/>
    <w:basedOn w:val="Normal"/>
    <w:link w:val="Textoindependiente3Car"/>
    <w:semiHidden/>
    <w:unhideWhenUsed/>
    <w:rsid w:val="00A30955"/>
    <w:pPr>
      <w:overflowPunct w:val="0"/>
      <w:autoSpaceDE w:val="0"/>
      <w:autoSpaceDN w:val="0"/>
      <w:adjustRightInd w:val="0"/>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semiHidden/>
    <w:rsid w:val="00A30955"/>
    <w:rPr>
      <w:rFonts w:ascii="Times New Roman" w:eastAsia="Times New Roman" w:hAnsi="Times New Roman" w:cs="Times New Roman"/>
      <w:sz w:val="16"/>
      <w:szCs w:val="16"/>
      <w:lang w:val="es-ES_tradnl" w:eastAsia="es-ES"/>
    </w:rPr>
  </w:style>
  <w:style w:type="paragraph" w:customStyle="1" w:styleId="Textoindependiente21">
    <w:name w:val="Texto independiente 21"/>
    <w:basedOn w:val="Normal"/>
    <w:rsid w:val="001C0F55"/>
    <w:pPr>
      <w:overflowPunct w:val="0"/>
      <w:autoSpaceDE w:val="0"/>
      <w:autoSpaceDN w:val="0"/>
      <w:adjustRightInd w:val="0"/>
      <w:spacing w:after="0" w:line="360" w:lineRule="auto"/>
      <w:ind w:firstLine="2835"/>
      <w:jc w:val="both"/>
    </w:pPr>
    <w:rPr>
      <w:rFonts w:ascii="Verdana" w:eastAsia="Times New Roman" w:hAnsi="Verdana" w:cs="Times New Roman"/>
      <w:sz w:val="24"/>
      <w:szCs w:val="20"/>
      <w:lang w:val="es-ES" w:eastAsia="es-ES"/>
    </w:rPr>
  </w:style>
  <w:style w:type="character" w:styleId="Mencinsinresolver">
    <w:name w:val="Unresolved Mention"/>
    <w:basedOn w:val="Fuentedeprrafopredeter"/>
    <w:uiPriority w:val="99"/>
    <w:semiHidden/>
    <w:unhideWhenUsed/>
    <w:rsid w:val="008D11CB"/>
    <w:rPr>
      <w:color w:val="605E5C"/>
      <w:shd w:val="clear" w:color="auto" w:fill="E1DFDD"/>
    </w:rPr>
  </w:style>
  <w:style w:type="paragraph" w:styleId="Sangra2detindependiente">
    <w:name w:val="Body Text Indent 2"/>
    <w:basedOn w:val="Normal"/>
    <w:link w:val="Sangra2detindependienteCar"/>
    <w:rsid w:val="00C0289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C0289E"/>
    <w:rPr>
      <w:rFonts w:ascii="Times New Roman" w:eastAsia="Times New Roman" w:hAnsi="Times New Roman" w:cs="Times New Roman"/>
      <w:sz w:val="20"/>
      <w:szCs w:val="20"/>
      <w:lang w:val="es-E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0289E"/>
    <w:pPr>
      <w:spacing w:after="0" w:line="240" w:lineRule="auto"/>
      <w:jc w:val="both"/>
    </w:pPr>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9293">
      <w:bodyDiv w:val="1"/>
      <w:marLeft w:val="0"/>
      <w:marRight w:val="0"/>
      <w:marTop w:val="0"/>
      <w:marBottom w:val="0"/>
      <w:divBdr>
        <w:top w:val="none" w:sz="0" w:space="0" w:color="auto"/>
        <w:left w:val="none" w:sz="0" w:space="0" w:color="auto"/>
        <w:bottom w:val="none" w:sz="0" w:space="0" w:color="auto"/>
        <w:right w:val="none" w:sz="0" w:space="0" w:color="auto"/>
      </w:divBdr>
    </w:div>
    <w:div w:id="322776816">
      <w:bodyDiv w:val="1"/>
      <w:marLeft w:val="0"/>
      <w:marRight w:val="0"/>
      <w:marTop w:val="0"/>
      <w:marBottom w:val="0"/>
      <w:divBdr>
        <w:top w:val="none" w:sz="0" w:space="0" w:color="auto"/>
        <w:left w:val="none" w:sz="0" w:space="0" w:color="auto"/>
        <w:bottom w:val="none" w:sz="0" w:space="0" w:color="auto"/>
        <w:right w:val="none" w:sz="0" w:space="0" w:color="auto"/>
      </w:divBdr>
    </w:div>
    <w:div w:id="768738170">
      <w:bodyDiv w:val="1"/>
      <w:marLeft w:val="0"/>
      <w:marRight w:val="0"/>
      <w:marTop w:val="0"/>
      <w:marBottom w:val="0"/>
      <w:divBdr>
        <w:top w:val="none" w:sz="0" w:space="0" w:color="auto"/>
        <w:left w:val="none" w:sz="0" w:space="0" w:color="auto"/>
        <w:bottom w:val="none" w:sz="0" w:space="0" w:color="auto"/>
        <w:right w:val="none" w:sz="0" w:space="0" w:color="auto"/>
      </w:divBdr>
    </w:div>
    <w:div w:id="832834835">
      <w:bodyDiv w:val="1"/>
      <w:marLeft w:val="0"/>
      <w:marRight w:val="0"/>
      <w:marTop w:val="0"/>
      <w:marBottom w:val="0"/>
      <w:divBdr>
        <w:top w:val="none" w:sz="0" w:space="0" w:color="auto"/>
        <w:left w:val="none" w:sz="0" w:space="0" w:color="auto"/>
        <w:bottom w:val="none" w:sz="0" w:space="0" w:color="auto"/>
        <w:right w:val="none" w:sz="0" w:space="0" w:color="auto"/>
      </w:divBdr>
    </w:div>
    <w:div w:id="889923327">
      <w:bodyDiv w:val="1"/>
      <w:marLeft w:val="0"/>
      <w:marRight w:val="0"/>
      <w:marTop w:val="0"/>
      <w:marBottom w:val="0"/>
      <w:divBdr>
        <w:top w:val="none" w:sz="0" w:space="0" w:color="auto"/>
        <w:left w:val="none" w:sz="0" w:space="0" w:color="auto"/>
        <w:bottom w:val="none" w:sz="0" w:space="0" w:color="auto"/>
        <w:right w:val="none" w:sz="0" w:space="0" w:color="auto"/>
      </w:divBdr>
    </w:div>
    <w:div w:id="909462897">
      <w:bodyDiv w:val="1"/>
      <w:marLeft w:val="0"/>
      <w:marRight w:val="0"/>
      <w:marTop w:val="0"/>
      <w:marBottom w:val="0"/>
      <w:divBdr>
        <w:top w:val="none" w:sz="0" w:space="0" w:color="auto"/>
        <w:left w:val="none" w:sz="0" w:space="0" w:color="auto"/>
        <w:bottom w:val="none" w:sz="0" w:space="0" w:color="auto"/>
        <w:right w:val="none" w:sz="0" w:space="0" w:color="auto"/>
      </w:divBdr>
    </w:div>
    <w:div w:id="970207024">
      <w:bodyDiv w:val="1"/>
      <w:marLeft w:val="0"/>
      <w:marRight w:val="0"/>
      <w:marTop w:val="0"/>
      <w:marBottom w:val="0"/>
      <w:divBdr>
        <w:top w:val="none" w:sz="0" w:space="0" w:color="auto"/>
        <w:left w:val="none" w:sz="0" w:space="0" w:color="auto"/>
        <w:bottom w:val="none" w:sz="0" w:space="0" w:color="auto"/>
        <w:right w:val="none" w:sz="0" w:space="0" w:color="auto"/>
      </w:divBdr>
    </w:div>
    <w:div w:id="1541015333">
      <w:bodyDiv w:val="1"/>
      <w:marLeft w:val="0"/>
      <w:marRight w:val="0"/>
      <w:marTop w:val="0"/>
      <w:marBottom w:val="0"/>
      <w:divBdr>
        <w:top w:val="none" w:sz="0" w:space="0" w:color="auto"/>
        <w:left w:val="none" w:sz="0" w:space="0" w:color="auto"/>
        <w:bottom w:val="none" w:sz="0" w:space="0" w:color="auto"/>
        <w:right w:val="none" w:sz="0" w:space="0" w:color="auto"/>
      </w:divBdr>
    </w:div>
    <w:div w:id="1760560319">
      <w:bodyDiv w:val="1"/>
      <w:marLeft w:val="0"/>
      <w:marRight w:val="0"/>
      <w:marTop w:val="0"/>
      <w:marBottom w:val="0"/>
      <w:divBdr>
        <w:top w:val="none" w:sz="0" w:space="0" w:color="auto"/>
        <w:left w:val="none" w:sz="0" w:space="0" w:color="auto"/>
        <w:bottom w:val="none" w:sz="0" w:space="0" w:color="auto"/>
        <w:right w:val="none" w:sz="0" w:space="0" w:color="auto"/>
      </w:divBdr>
    </w:div>
    <w:div w:id="21149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5fbbd3452b4d4a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082C-12BB-49F6-9BF3-0D62CDEE512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DEE78257-F62F-418A-AA7D-AEDF9D6DA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A6980-D705-4E8A-A798-84BFFE1461A2}">
  <ds:schemaRefs>
    <ds:schemaRef ds:uri="http://schemas.microsoft.com/sharepoint/v3/contenttype/forms"/>
  </ds:schemaRefs>
</ds:datastoreItem>
</file>

<file path=customXml/itemProps4.xml><?xml version="1.0" encoding="utf-8"?>
<ds:datastoreItem xmlns:ds="http://schemas.openxmlformats.org/officeDocument/2006/customXml" ds:itemID="{20691082-6972-45A5-B59A-692CEFC5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2726</Words>
  <Characters>14995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Hermides Alonso Gaviria Ocampo</cp:lastModifiedBy>
  <cp:revision>5</cp:revision>
  <cp:lastPrinted>2019-04-25T12:29:00Z</cp:lastPrinted>
  <dcterms:created xsi:type="dcterms:W3CDTF">2023-01-31T18:28:00Z</dcterms:created>
  <dcterms:modified xsi:type="dcterms:W3CDTF">2023-05-23T20:05:00Z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