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902E2" w14:textId="77777777" w:rsidR="00B9543D" w:rsidRPr="00B9543D" w:rsidRDefault="00B9543D" w:rsidP="00B9543D">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bookmarkStart w:id="0" w:name="_Hlk135725360"/>
      <w:r w:rsidRPr="00B9543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D707C5A" w14:textId="77777777" w:rsidR="00B9543D" w:rsidRPr="00B9543D" w:rsidRDefault="00B9543D" w:rsidP="00B9543D">
      <w:pPr>
        <w:jc w:val="both"/>
        <w:rPr>
          <w:rFonts w:ascii="Arial" w:eastAsia="Times New Roman" w:hAnsi="Arial" w:cs="Arial"/>
          <w:sz w:val="20"/>
          <w:szCs w:val="20"/>
          <w:lang w:val="es-419" w:eastAsia="es-ES"/>
        </w:rPr>
      </w:pPr>
    </w:p>
    <w:p w14:paraId="3831EA1F" w14:textId="46E27CE7" w:rsidR="00B9543D" w:rsidRPr="00B9543D" w:rsidRDefault="00B9543D" w:rsidP="00B9543D">
      <w:pPr>
        <w:jc w:val="both"/>
        <w:rPr>
          <w:rFonts w:ascii="Arial" w:eastAsia="Times New Roman" w:hAnsi="Arial" w:cs="Arial"/>
          <w:sz w:val="20"/>
          <w:szCs w:val="20"/>
          <w:lang w:val="es-419" w:eastAsia="es-ES"/>
        </w:rPr>
      </w:pPr>
      <w:r w:rsidRPr="00B9543D">
        <w:rPr>
          <w:rFonts w:ascii="Arial" w:eastAsia="Times New Roman" w:hAnsi="Arial" w:cs="Arial"/>
          <w:sz w:val="20"/>
          <w:szCs w:val="20"/>
          <w:lang w:val="es-419" w:eastAsia="es-ES"/>
        </w:rPr>
        <w:t>Radicado:</w:t>
      </w:r>
      <w:r>
        <w:rPr>
          <w:rFonts w:ascii="Arial" w:eastAsia="Times New Roman" w:hAnsi="Arial" w:cs="Arial"/>
          <w:sz w:val="20"/>
          <w:szCs w:val="20"/>
          <w:lang w:val="es-419" w:eastAsia="es-ES"/>
        </w:rPr>
        <w:tab/>
      </w:r>
      <w:r w:rsidRPr="00B9543D">
        <w:rPr>
          <w:rFonts w:ascii="Arial" w:eastAsia="Times New Roman" w:hAnsi="Arial" w:cs="Arial"/>
          <w:sz w:val="20"/>
          <w:szCs w:val="20"/>
          <w:lang w:val="es-419" w:eastAsia="es-ES"/>
        </w:rPr>
        <w:t>66001</w:t>
      </w:r>
      <w:r w:rsidR="00485A92">
        <w:rPr>
          <w:rFonts w:ascii="Arial" w:eastAsia="Times New Roman" w:hAnsi="Arial" w:cs="Arial"/>
          <w:sz w:val="20"/>
          <w:szCs w:val="20"/>
          <w:lang w:val="es-419" w:eastAsia="es-ES"/>
        </w:rPr>
        <w:t>-</w:t>
      </w:r>
      <w:r w:rsidRPr="00B9543D">
        <w:rPr>
          <w:rFonts w:ascii="Arial" w:eastAsia="Times New Roman" w:hAnsi="Arial" w:cs="Arial"/>
          <w:sz w:val="20"/>
          <w:szCs w:val="20"/>
          <w:lang w:val="es-419" w:eastAsia="es-ES"/>
        </w:rPr>
        <w:t>31</w:t>
      </w:r>
      <w:r w:rsidR="00485A92">
        <w:rPr>
          <w:rFonts w:ascii="Arial" w:eastAsia="Times New Roman" w:hAnsi="Arial" w:cs="Arial"/>
          <w:sz w:val="20"/>
          <w:szCs w:val="20"/>
          <w:lang w:val="es-419" w:eastAsia="es-ES"/>
        </w:rPr>
        <w:t>-</w:t>
      </w:r>
      <w:r w:rsidRPr="00B9543D">
        <w:rPr>
          <w:rFonts w:ascii="Arial" w:eastAsia="Times New Roman" w:hAnsi="Arial" w:cs="Arial"/>
          <w:sz w:val="20"/>
          <w:szCs w:val="20"/>
          <w:lang w:val="es-419" w:eastAsia="es-ES"/>
        </w:rPr>
        <w:t>03</w:t>
      </w:r>
      <w:r w:rsidR="00485A92">
        <w:rPr>
          <w:rFonts w:ascii="Arial" w:eastAsia="Times New Roman" w:hAnsi="Arial" w:cs="Arial"/>
          <w:sz w:val="20"/>
          <w:szCs w:val="20"/>
          <w:lang w:val="es-419" w:eastAsia="es-ES"/>
        </w:rPr>
        <w:t>-</w:t>
      </w:r>
      <w:r w:rsidRPr="00B9543D">
        <w:rPr>
          <w:rFonts w:ascii="Arial" w:eastAsia="Times New Roman" w:hAnsi="Arial" w:cs="Arial"/>
          <w:sz w:val="20"/>
          <w:szCs w:val="20"/>
          <w:lang w:val="es-419" w:eastAsia="es-ES"/>
        </w:rPr>
        <w:t>002</w:t>
      </w:r>
      <w:r w:rsidR="00485A92">
        <w:rPr>
          <w:rFonts w:ascii="Arial" w:eastAsia="Times New Roman" w:hAnsi="Arial" w:cs="Arial"/>
          <w:sz w:val="20"/>
          <w:szCs w:val="20"/>
          <w:lang w:val="es-419" w:eastAsia="es-ES"/>
        </w:rPr>
        <w:t>-</w:t>
      </w:r>
      <w:r w:rsidRPr="00B9543D">
        <w:rPr>
          <w:rFonts w:ascii="Arial" w:eastAsia="Times New Roman" w:hAnsi="Arial" w:cs="Arial"/>
          <w:sz w:val="20"/>
          <w:szCs w:val="20"/>
          <w:lang w:val="es-419" w:eastAsia="es-ES"/>
        </w:rPr>
        <w:t>2016</w:t>
      </w:r>
      <w:r w:rsidR="00485A92">
        <w:rPr>
          <w:rFonts w:ascii="Arial" w:eastAsia="Times New Roman" w:hAnsi="Arial" w:cs="Arial"/>
          <w:sz w:val="20"/>
          <w:szCs w:val="20"/>
          <w:lang w:val="es-419" w:eastAsia="es-ES"/>
        </w:rPr>
        <w:t>-</w:t>
      </w:r>
      <w:r w:rsidRPr="00B9543D">
        <w:rPr>
          <w:rFonts w:ascii="Arial" w:eastAsia="Times New Roman" w:hAnsi="Arial" w:cs="Arial"/>
          <w:sz w:val="20"/>
          <w:szCs w:val="20"/>
          <w:lang w:val="es-419" w:eastAsia="es-ES"/>
        </w:rPr>
        <w:t>00042</w:t>
      </w:r>
      <w:r w:rsidR="00485A92">
        <w:rPr>
          <w:rFonts w:ascii="Arial" w:eastAsia="Times New Roman" w:hAnsi="Arial" w:cs="Arial"/>
          <w:sz w:val="20"/>
          <w:szCs w:val="20"/>
          <w:lang w:val="es-419" w:eastAsia="es-ES"/>
        </w:rPr>
        <w:t>-</w:t>
      </w:r>
      <w:bookmarkStart w:id="1" w:name="_GoBack"/>
      <w:bookmarkEnd w:id="1"/>
      <w:r w:rsidRPr="00B9543D">
        <w:rPr>
          <w:rFonts w:ascii="Arial" w:eastAsia="Times New Roman" w:hAnsi="Arial" w:cs="Arial"/>
          <w:sz w:val="20"/>
          <w:szCs w:val="20"/>
          <w:lang w:val="es-419" w:eastAsia="es-ES"/>
        </w:rPr>
        <w:t>02</w:t>
      </w:r>
    </w:p>
    <w:p w14:paraId="157E138C" w14:textId="0888DA92" w:rsidR="00B9543D" w:rsidRPr="00B9543D" w:rsidRDefault="00B9543D" w:rsidP="00B9543D">
      <w:pPr>
        <w:jc w:val="both"/>
        <w:rPr>
          <w:rFonts w:ascii="Arial" w:eastAsia="Times New Roman" w:hAnsi="Arial" w:cs="Arial"/>
          <w:sz w:val="20"/>
          <w:szCs w:val="20"/>
          <w:lang w:val="es-419" w:eastAsia="es-ES"/>
        </w:rPr>
      </w:pPr>
      <w:r w:rsidRPr="00B9543D">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sidRPr="00B9543D">
        <w:rPr>
          <w:rFonts w:ascii="Arial" w:eastAsia="Times New Roman" w:hAnsi="Arial" w:cs="Arial"/>
          <w:sz w:val="20"/>
          <w:szCs w:val="20"/>
          <w:lang w:val="es-419" w:eastAsia="es-ES"/>
        </w:rPr>
        <w:t>Hernán Mejía Velásquez</w:t>
      </w:r>
    </w:p>
    <w:p w14:paraId="20C098EF" w14:textId="060766A2" w:rsidR="00B9543D" w:rsidRPr="00B9543D" w:rsidRDefault="00B9543D" w:rsidP="00B9543D">
      <w:pPr>
        <w:jc w:val="both"/>
        <w:rPr>
          <w:rFonts w:ascii="Arial" w:eastAsia="Times New Roman" w:hAnsi="Arial" w:cs="Arial"/>
          <w:sz w:val="20"/>
          <w:szCs w:val="20"/>
          <w:lang w:val="es-419" w:eastAsia="es-ES"/>
        </w:rPr>
      </w:pPr>
      <w:r w:rsidRPr="00B9543D">
        <w:rPr>
          <w:rFonts w:ascii="Arial" w:eastAsia="Times New Roman" w:hAnsi="Arial" w:cs="Arial"/>
          <w:sz w:val="20"/>
          <w:szCs w:val="20"/>
          <w:lang w:val="es-419" w:eastAsia="es-ES"/>
        </w:rPr>
        <w:t>Acumulado</w:t>
      </w:r>
      <w:r>
        <w:rPr>
          <w:rFonts w:ascii="Arial" w:eastAsia="Times New Roman" w:hAnsi="Arial" w:cs="Arial"/>
          <w:sz w:val="20"/>
          <w:szCs w:val="20"/>
          <w:lang w:val="es-419" w:eastAsia="es-ES"/>
        </w:rPr>
        <w:t>:</w:t>
      </w:r>
      <w:r>
        <w:rPr>
          <w:rFonts w:ascii="Arial" w:eastAsia="Times New Roman" w:hAnsi="Arial" w:cs="Arial"/>
          <w:sz w:val="20"/>
          <w:szCs w:val="20"/>
          <w:lang w:val="es-419" w:eastAsia="es-ES"/>
        </w:rPr>
        <w:tab/>
      </w:r>
      <w:r w:rsidRPr="00B9543D">
        <w:rPr>
          <w:rFonts w:ascii="Arial" w:eastAsia="Times New Roman" w:hAnsi="Arial" w:cs="Arial"/>
          <w:sz w:val="20"/>
          <w:szCs w:val="20"/>
          <w:lang w:val="es-419" w:eastAsia="es-ES"/>
        </w:rPr>
        <w:t xml:space="preserve">Matilde Posada de </w:t>
      </w:r>
      <w:proofErr w:type="spellStart"/>
      <w:r w:rsidRPr="00B9543D">
        <w:rPr>
          <w:rFonts w:ascii="Arial" w:eastAsia="Times New Roman" w:hAnsi="Arial" w:cs="Arial"/>
          <w:sz w:val="20"/>
          <w:szCs w:val="20"/>
          <w:lang w:val="es-419" w:eastAsia="es-ES"/>
        </w:rPr>
        <w:t>Mercuri</w:t>
      </w:r>
      <w:proofErr w:type="spellEnd"/>
    </w:p>
    <w:p w14:paraId="17B7CFB6" w14:textId="508808F7" w:rsidR="00B9543D" w:rsidRPr="00B9543D" w:rsidRDefault="00B9543D" w:rsidP="00B9543D">
      <w:pPr>
        <w:jc w:val="both"/>
        <w:rPr>
          <w:rFonts w:ascii="Arial" w:eastAsia="Times New Roman" w:hAnsi="Arial" w:cs="Arial"/>
          <w:sz w:val="20"/>
          <w:szCs w:val="20"/>
          <w:lang w:val="es-419" w:eastAsia="es-ES"/>
        </w:rPr>
      </w:pPr>
      <w:r w:rsidRPr="00B9543D">
        <w:rPr>
          <w:rFonts w:ascii="Arial" w:eastAsia="Times New Roman" w:hAnsi="Arial" w:cs="Arial"/>
          <w:sz w:val="20"/>
          <w:szCs w:val="20"/>
          <w:lang w:val="es-419" w:eastAsia="es-ES"/>
        </w:rPr>
        <w:t>Demandados:</w:t>
      </w:r>
      <w:r w:rsidRPr="00B9543D">
        <w:rPr>
          <w:rFonts w:ascii="Arial" w:eastAsia="Times New Roman" w:hAnsi="Arial" w:cs="Arial"/>
          <w:sz w:val="20"/>
          <w:szCs w:val="20"/>
          <w:lang w:val="es-419" w:eastAsia="es-ES"/>
        </w:rPr>
        <w:tab/>
        <w:t xml:space="preserve">Rosa del Carmen </w:t>
      </w:r>
      <w:proofErr w:type="spellStart"/>
      <w:r w:rsidRPr="00B9543D">
        <w:rPr>
          <w:rFonts w:ascii="Arial" w:eastAsia="Times New Roman" w:hAnsi="Arial" w:cs="Arial"/>
          <w:sz w:val="20"/>
          <w:szCs w:val="20"/>
          <w:lang w:val="es-419" w:eastAsia="es-ES"/>
        </w:rPr>
        <w:t>Cagueñas</w:t>
      </w:r>
      <w:proofErr w:type="spellEnd"/>
      <w:r w:rsidRPr="00B9543D">
        <w:rPr>
          <w:rFonts w:ascii="Arial" w:eastAsia="Times New Roman" w:hAnsi="Arial" w:cs="Arial"/>
          <w:sz w:val="20"/>
          <w:szCs w:val="20"/>
          <w:lang w:val="es-419" w:eastAsia="es-ES"/>
        </w:rPr>
        <w:t xml:space="preserve"> Morales</w:t>
      </w:r>
    </w:p>
    <w:p w14:paraId="13CD460B" w14:textId="40D8F66D" w:rsidR="00B9543D" w:rsidRPr="00B9543D" w:rsidRDefault="00B9543D" w:rsidP="00B9543D">
      <w:pPr>
        <w:jc w:val="both"/>
        <w:rPr>
          <w:rFonts w:ascii="Arial" w:eastAsia="Times New Roman" w:hAnsi="Arial" w:cs="Arial"/>
          <w:sz w:val="20"/>
          <w:szCs w:val="20"/>
          <w:lang w:val="es-419" w:eastAsia="es-ES"/>
        </w:rPr>
      </w:pPr>
      <w:r w:rsidRPr="00B9543D">
        <w:rPr>
          <w:rFonts w:ascii="Arial" w:eastAsia="Times New Roman" w:hAnsi="Arial" w:cs="Arial"/>
          <w:sz w:val="20"/>
          <w:szCs w:val="20"/>
          <w:lang w:val="es-419" w:eastAsia="es-ES"/>
        </w:rPr>
        <w:t>Proceso:</w:t>
      </w:r>
      <w:r w:rsidRPr="00B9543D">
        <w:rPr>
          <w:rFonts w:ascii="Arial" w:eastAsia="Times New Roman" w:hAnsi="Arial" w:cs="Arial"/>
          <w:sz w:val="20"/>
          <w:szCs w:val="20"/>
          <w:lang w:val="es-419" w:eastAsia="es-ES"/>
        </w:rPr>
        <w:tab/>
        <w:t xml:space="preserve">Ejecutivo - </w:t>
      </w:r>
      <w:r w:rsidR="00956909">
        <w:rPr>
          <w:rFonts w:ascii="Arial" w:eastAsia="Times New Roman" w:hAnsi="Arial" w:cs="Arial"/>
          <w:sz w:val="20"/>
          <w:szCs w:val="20"/>
          <w:lang w:val="es-419" w:eastAsia="es-ES"/>
        </w:rPr>
        <w:t>A</w:t>
      </w:r>
      <w:r w:rsidRPr="00B9543D">
        <w:rPr>
          <w:rFonts w:ascii="Arial" w:eastAsia="Times New Roman" w:hAnsi="Arial" w:cs="Arial"/>
          <w:sz w:val="20"/>
          <w:szCs w:val="20"/>
          <w:lang w:val="es-419" w:eastAsia="es-ES"/>
        </w:rPr>
        <w:t>cumulado</w:t>
      </w:r>
    </w:p>
    <w:p w14:paraId="4504C00E" w14:textId="77777777" w:rsidR="00B9543D" w:rsidRPr="00B9543D" w:rsidRDefault="00B9543D" w:rsidP="00B9543D">
      <w:pPr>
        <w:jc w:val="both"/>
        <w:rPr>
          <w:rFonts w:ascii="Arial" w:eastAsia="Times New Roman" w:hAnsi="Arial" w:cs="Arial"/>
          <w:sz w:val="20"/>
          <w:szCs w:val="20"/>
          <w:lang w:val="es-419" w:eastAsia="es-ES"/>
        </w:rPr>
      </w:pPr>
    </w:p>
    <w:p w14:paraId="6248AB6E" w14:textId="7D2DC7FE" w:rsidR="00B9543D" w:rsidRPr="00B9543D" w:rsidRDefault="00A43E86" w:rsidP="00B9543D">
      <w:pPr>
        <w:jc w:val="both"/>
        <w:rPr>
          <w:rFonts w:ascii="Arial" w:eastAsia="Times New Roman" w:hAnsi="Arial" w:cs="Arial"/>
          <w:sz w:val="20"/>
          <w:szCs w:val="20"/>
          <w:lang w:val="es-419" w:eastAsia="es-ES"/>
        </w:rPr>
      </w:pPr>
      <w:r w:rsidRPr="00B9543D">
        <w:rPr>
          <w:rFonts w:ascii="Arial" w:eastAsia="Times New Roman" w:hAnsi="Arial" w:cs="Arial"/>
          <w:b/>
          <w:bCs/>
          <w:iCs/>
          <w:sz w:val="20"/>
          <w:szCs w:val="20"/>
          <w:u w:val="single"/>
          <w:lang w:val="es-419" w:eastAsia="fr-FR"/>
        </w:rPr>
        <w:t>TEMAS:</w:t>
      </w:r>
      <w:r w:rsidRPr="00B9543D">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PROCESO EJECUTIVO / </w:t>
      </w:r>
      <w:r w:rsidRPr="00B9543D">
        <w:rPr>
          <w:rFonts w:ascii="Arial" w:eastAsia="Times New Roman" w:hAnsi="Arial" w:cs="Arial"/>
          <w:b/>
          <w:bCs/>
          <w:iCs/>
          <w:sz w:val="20"/>
          <w:szCs w:val="20"/>
          <w:lang w:val="es-419" w:eastAsia="fr-FR"/>
        </w:rPr>
        <w:t xml:space="preserve">DESISTIMIENTO TÁCITO </w:t>
      </w:r>
      <w:r>
        <w:rPr>
          <w:rFonts w:ascii="Arial" w:eastAsia="Times New Roman" w:hAnsi="Arial" w:cs="Arial"/>
          <w:b/>
          <w:bCs/>
          <w:iCs/>
          <w:sz w:val="20"/>
          <w:szCs w:val="20"/>
          <w:lang w:val="es-419" w:eastAsia="fr-FR"/>
        </w:rPr>
        <w:t>/ FINALIDAD / RE</w:t>
      </w:r>
      <w:r w:rsidRPr="00B9543D">
        <w:rPr>
          <w:rFonts w:ascii="Arial" w:eastAsia="Times New Roman" w:hAnsi="Arial" w:cs="Arial"/>
          <w:b/>
          <w:bCs/>
          <w:iCs/>
          <w:sz w:val="20"/>
          <w:szCs w:val="20"/>
          <w:lang w:val="es-419" w:eastAsia="fr-FR"/>
        </w:rPr>
        <w:t>QUERIMIENTO</w:t>
      </w:r>
      <w:r>
        <w:rPr>
          <w:rFonts w:ascii="Arial" w:eastAsia="Times New Roman" w:hAnsi="Arial" w:cs="Arial"/>
          <w:b/>
          <w:bCs/>
          <w:iCs/>
          <w:sz w:val="20"/>
          <w:szCs w:val="20"/>
          <w:lang w:val="es-419" w:eastAsia="fr-FR"/>
        </w:rPr>
        <w:t xml:space="preserve"> PARA EL CUMPLIMIENTO DE UNA CARGA PROCESAL / ALLEGAR CERTIFICADO DE AVALÚO CATASTRAL / TÉRMINO, 30 DÍAS HÁBILES / CÓMPUTO DEL MISMO.</w:t>
      </w:r>
    </w:p>
    <w:p w14:paraId="18E58CB4" w14:textId="77777777" w:rsidR="00B9543D" w:rsidRPr="00B9543D" w:rsidRDefault="00B9543D" w:rsidP="00B9543D">
      <w:pPr>
        <w:jc w:val="both"/>
        <w:rPr>
          <w:rFonts w:ascii="Arial" w:eastAsia="Times New Roman" w:hAnsi="Arial" w:cs="Arial"/>
          <w:sz w:val="20"/>
          <w:szCs w:val="20"/>
          <w:lang w:eastAsia="es-ES"/>
        </w:rPr>
      </w:pPr>
    </w:p>
    <w:p w14:paraId="3953A4E4" w14:textId="240782AA" w:rsidR="00B9543D" w:rsidRPr="00B9543D" w:rsidRDefault="00C27055" w:rsidP="00B9543D">
      <w:pPr>
        <w:jc w:val="both"/>
        <w:rPr>
          <w:rFonts w:ascii="Arial" w:eastAsia="Times New Roman" w:hAnsi="Arial" w:cs="Arial"/>
          <w:sz w:val="20"/>
          <w:szCs w:val="20"/>
          <w:lang w:eastAsia="es-ES"/>
        </w:rPr>
      </w:pPr>
      <w:r w:rsidRPr="00C27055">
        <w:rPr>
          <w:rFonts w:ascii="Arial" w:eastAsia="Times New Roman" w:hAnsi="Arial" w:cs="Arial"/>
          <w:sz w:val="20"/>
          <w:szCs w:val="20"/>
          <w:lang w:eastAsia="es-ES"/>
        </w:rPr>
        <w:t>El problema que debe afrontar la Sala es si confirma la providencia que negó la aplicación del desistimiento tácito, pues según la tesis del juzgado, el término concedido a la parte ejecutante para realizar una gestión, no se superó</w:t>
      </w:r>
      <w:r>
        <w:rPr>
          <w:rFonts w:ascii="Arial" w:eastAsia="Times New Roman" w:hAnsi="Arial" w:cs="Arial"/>
          <w:sz w:val="20"/>
          <w:szCs w:val="20"/>
          <w:lang w:eastAsia="es-ES"/>
        </w:rPr>
        <w:t>…</w:t>
      </w:r>
    </w:p>
    <w:p w14:paraId="58E98DF4" w14:textId="77777777" w:rsidR="00B9543D" w:rsidRPr="00B9543D" w:rsidRDefault="00B9543D" w:rsidP="00B9543D">
      <w:pPr>
        <w:jc w:val="both"/>
        <w:rPr>
          <w:rFonts w:ascii="Arial" w:eastAsia="Times New Roman" w:hAnsi="Arial" w:cs="Arial"/>
          <w:sz w:val="20"/>
          <w:szCs w:val="20"/>
          <w:lang w:eastAsia="es-ES"/>
        </w:rPr>
      </w:pPr>
    </w:p>
    <w:p w14:paraId="3B69C355" w14:textId="2DA2731F" w:rsidR="00C1470E" w:rsidRPr="00C1470E" w:rsidRDefault="00C1470E" w:rsidP="00C1470E">
      <w:pPr>
        <w:jc w:val="both"/>
        <w:rPr>
          <w:rFonts w:ascii="Arial" w:eastAsia="Times New Roman" w:hAnsi="Arial" w:cs="Arial"/>
          <w:sz w:val="20"/>
          <w:szCs w:val="20"/>
          <w:lang w:eastAsia="es-ES"/>
        </w:rPr>
      </w:pPr>
      <w:r w:rsidRPr="00C1470E">
        <w:rPr>
          <w:rFonts w:ascii="Arial" w:eastAsia="Times New Roman" w:hAnsi="Arial" w:cs="Arial"/>
          <w:sz w:val="20"/>
          <w:szCs w:val="20"/>
          <w:lang w:eastAsia="es-ES"/>
        </w:rPr>
        <w:t>Sobre esta figura, tiene dicho esta Sala, que se traduce en una especie de sanción a cargo de la parte que actúa con desidia en el proceso. Y ha sido diseñado en el CGP desde dos aristas</w:t>
      </w:r>
      <w:r>
        <w:rPr>
          <w:rFonts w:ascii="Arial" w:eastAsia="Times New Roman" w:hAnsi="Arial" w:cs="Arial"/>
          <w:sz w:val="20"/>
          <w:szCs w:val="20"/>
          <w:lang w:eastAsia="es-ES"/>
        </w:rPr>
        <w:t>…</w:t>
      </w:r>
    </w:p>
    <w:p w14:paraId="6377719D" w14:textId="77777777" w:rsidR="00C1470E" w:rsidRPr="00C1470E" w:rsidRDefault="00C1470E" w:rsidP="00C1470E">
      <w:pPr>
        <w:jc w:val="both"/>
        <w:rPr>
          <w:rFonts w:ascii="Arial" w:eastAsia="Times New Roman" w:hAnsi="Arial" w:cs="Arial"/>
          <w:sz w:val="20"/>
          <w:szCs w:val="20"/>
          <w:lang w:eastAsia="es-ES"/>
        </w:rPr>
      </w:pPr>
    </w:p>
    <w:p w14:paraId="784E76CA" w14:textId="4A61AE97" w:rsidR="00C1470E" w:rsidRPr="00C1470E" w:rsidRDefault="00C1470E" w:rsidP="00C1470E">
      <w:pPr>
        <w:jc w:val="both"/>
        <w:rPr>
          <w:rFonts w:ascii="Arial" w:eastAsia="Times New Roman" w:hAnsi="Arial" w:cs="Arial"/>
          <w:sz w:val="20"/>
          <w:szCs w:val="20"/>
          <w:lang w:eastAsia="es-ES"/>
        </w:rPr>
      </w:pPr>
      <w:r w:rsidRPr="00C1470E">
        <w:rPr>
          <w:rFonts w:ascii="Arial" w:eastAsia="Times New Roman" w:hAnsi="Arial" w:cs="Arial"/>
          <w:sz w:val="20"/>
          <w:szCs w:val="20"/>
          <w:lang w:eastAsia="es-ES"/>
        </w:rPr>
        <w:t>La primera forma</w:t>
      </w:r>
      <w:r>
        <w:rPr>
          <w:rFonts w:ascii="Arial" w:eastAsia="Times New Roman" w:hAnsi="Arial" w:cs="Arial"/>
          <w:sz w:val="20"/>
          <w:szCs w:val="20"/>
          <w:lang w:eastAsia="es-ES"/>
        </w:rPr>
        <w:t>…</w:t>
      </w:r>
      <w:r w:rsidRPr="00C1470E">
        <w:rPr>
          <w:rFonts w:ascii="Arial" w:eastAsia="Times New Roman" w:hAnsi="Arial" w:cs="Arial"/>
          <w:sz w:val="20"/>
          <w:szCs w:val="20"/>
          <w:lang w:eastAsia="es-ES"/>
        </w:rPr>
        <w:t xml:space="preserve"> está prevista en el primer numeral del artículo 317 del CGP, en virtud del cual: </w:t>
      </w:r>
    </w:p>
    <w:p w14:paraId="75300CA7" w14:textId="77777777" w:rsidR="00C1470E" w:rsidRPr="00C1470E" w:rsidRDefault="00C1470E" w:rsidP="00C1470E">
      <w:pPr>
        <w:jc w:val="both"/>
        <w:rPr>
          <w:rFonts w:ascii="Arial" w:eastAsia="Times New Roman" w:hAnsi="Arial" w:cs="Arial"/>
          <w:sz w:val="20"/>
          <w:szCs w:val="20"/>
          <w:lang w:eastAsia="es-ES"/>
        </w:rPr>
      </w:pPr>
    </w:p>
    <w:p w14:paraId="12F79C4A" w14:textId="295AB502" w:rsidR="00B9543D" w:rsidRPr="00B9543D" w:rsidRDefault="00C1470E" w:rsidP="00C1470E">
      <w:pPr>
        <w:jc w:val="both"/>
        <w:rPr>
          <w:rFonts w:ascii="Arial" w:eastAsia="Times New Roman" w:hAnsi="Arial" w:cs="Arial"/>
          <w:sz w:val="20"/>
          <w:szCs w:val="20"/>
          <w:lang w:eastAsia="es-ES"/>
        </w:rPr>
      </w:pPr>
      <w:r>
        <w:rPr>
          <w:rFonts w:ascii="Arial" w:eastAsia="Times New Roman" w:hAnsi="Arial" w:cs="Arial"/>
          <w:sz w:val="20"/>
          <w:szCs w:val="20"/>
          <w:lang w:eastAsia="es-ES"/>
        </w:rPr>
        <w:t>“</w:t>
      </w:r>
      <w:r w:rsidRPr="00C1470E">
        <w:rPr>
          <w:rFonts w:ascii="Arial" w:eastAsia="Times New Roman" w:hAnsi="Arial" w:cs="Arial"/>
          <w:sz w:val="20"/>
          <w:szCs w:val="20"/>
          <w:lang w:eastAsia="es-ES"/>
        </w:rPr>
        <w:t>1. Cuando para continuar el trámite de la demanda</w:t>
      </w:r>
      <w:r>
        <w:rPr>
          <w:rFonts w:ascii="Arial" w:eastAsia="Times New Roman" w:hAnsi="Arial" w:cs="Arial"/>
          <w:sz w:val="20"/>
          <w:szCs w:val="20"/>
          <w:lang w:eastAsia="es-ES"/>
        </w:rPr>
        <w:t>…</w:t>
      </w:r>
      <w:r w:rsidRPr="00C1470E">
        <w:rPr>
          <w:rFonts w:ascii="Arial" w:eastAsia="Times New Roman" w:hAnsi="Arial" w:cs="Arial"/>
          <w:sz w:val="20"/>
          <w:szCs w:val="20"/>
          <w:lang w:eastAsia="es-ES"/>
        </w:rPr>
        <w:t xml:space="preserve"> se requiera el cumplimiento de una carga procesal o de un acto de la parte que haya formulado aquella o promovido estos, el juez le ordenará cumplirlo dentro de los treinta (30) días siguientes mediante providencia que se notificará por estado</w:t>
      </w:r>
      <w:r w:rsidR="00075B2F">
        <w:rPr>
          <w:rFonts w:ascii="Arial" w:eastAsia="Times New Roman" w:hAnsi="Arial" w:cs="Arial"/>
          <w:sz w:val="20"/>
          <w:szCs w:val="20"/>
          <w:lang w:eastAsia="es-ES"/>
        </w:rPr>
        <w:t>…”</w:t>
      </w:r>
    </w:p>
    <w:p w14:paraId="403383C5" w14:textId="77777777" w:rsidR="00B9543D" w:rsidRPr="00B9543D" w:rsidRDefault="00B9543D" w:rsidP="00B9543D">
      <w:pPr>
        <w:jc w:val="both"/>
        <w:rPr>
          <w:rFonts w:ascii="Arial" w:eastAsia="Times New Roman" w:hAnsi="Arial" w:cs="Arial"/>
          <w:sz w:val="20"/>
          <w:szCs w:val="20"/>
          <w:lang w:eastAsia="es-ES"/>
        </w:rPr>
      </w:pPr>
    </w:p>
    <w:p w14:paraId="135301F3" w14:textId="0960309D" w:rsidR="00B9543D" w:rsidRPr="00B9543D" w:rsidRDefault="00075B2F" w:rsidP="00B9543D">
      <w:pPr>
        <w:jc w:val="both"/>
        <w:rPr>
          <w:rFonts w:ascii="Arial" w:eastAsia="Times New Roman" w:hAnsi="Arial" w:cs="Arial"/>
          <w:sz w:val="20"/>
          <w:szCs w:val="20"/>
          <w:lang w:eastAsia="es-ES"/>
        </w:rPr>
      </w:pPr>
      <w:r w:rsidRPr="00075B2F">
        <w:rPr>
          <w:rFonts w:ascii="Arial" w:eastAsia="Times New Roman" w:hAnsi="Arial" w:cs="Arial"/>
          <w:sz w:val="20"/>
          <w:szCs w:val="20"/>
          <w:lang w:eastAsia="es-ES"/>
        </w:rPr>
        <w:t>Como el término es de días, se cuentan hábiles, de acuerdo con lo que regula el inciso final del artículo 118 del CGP. Entonces, aunque en el auto atacado el juzgado no lo dijo, pero sí lo incluyó en el que resolvió la reposición, es claro que el término de los 30 días no se alcanzó a completar, por la evidente razón de que el mismo vencía el 11 de mayo de 2022 (ya que en ese lapso corrió la Semana Santa), en tanto que la información requerida en el auto del 22 de marzo arribó al Juzgado el 6 de mayo, es decir, a tiempo.</w:t>
      </w:r>
    </w:p>
    <w:p w14:paraId="727E7189" w14:textId="77777777" w:rsidR="00B9543D" w:rsidRPr="00B9543D" w:rsidRDefault="00B9543D" w:rsidP="00B9543D">
      <w:pPr>
        <w:jc w:val="both"/>
        <w:rPr>
          <w:rFonts w:ascii="Arial" w:eastAsia="Times New Roman" w:hAnsi="Arial" w:cs="Arial"/>
          <w:sz w:val="20"/>
          <w:szCs w:val="20"/>
          <w:lang w:eastAsia="es-ES"/>
        </w:rPr>
      </w:pPr>
    </w:p>
    <w:p w14:paraId="77D67FB0" w14:textId="77777777" w:rsidR="00B9543D" w:rsidRPr="00B9543D" w:rsidRDefault="00B9543D" w:rsidP="00B9543D">
      <w:pPr>
        <w:jc w:val="both"/>
        <w:rPr>
          <w:rFonts w:ascii="Arial" w:eastAsia="Times New Roman" w:hAnsi="Arial" w:cs="Arial"/>
          <w:sz w:val="20"/>
          <w:szCs w:val="20"/>
          <w:lang w:eastAsia="es-ES"/>
        </w:rPr>
      </w:pPr>
    </w:p>
    <w:p w14:paraId="7AED8AEE" w14:textId="77777777" w:rsidR="00B9543D" w:rsidRPr="00B9543D" w:rsidRDefault="00B9543D" w:rsidP="00B9543D">
      <w:pPr>
        <w:jc w:val="both"/>
        <w:rPr>
          <w:rFonts w:ascii="Arial" w:eastAsia="Times New Roman" w:hAnsi="Arial" w:cs="Arial"/>
          <w:sz w:val="20"/>
          <w:szCs w:val="20"/>
          <w:lang w:eastAsia="es-ES"/>
        </w:rPr>
      </w:pPr>
    </w:p>
    <w:p w14:paraId="0C9BFCB8" w14:textId="77777777" w:rsidR="00B9543D" w:rsidRPr="00B9543D" w:rsidRDefault="00B9543D" w:rsidP="00B9543D">
      <w:pPr>
        <w:widowControl/>
        <w:autoSpaceDE/>
        <w:autoSpaceDN/>
        <w:jc w:val="center"/>
        <w:rPr>
          <w:rFonts w:ascii="Bookman Old Style" w:eastAsia="Calibri" w:hAnsi="Bookman Old Style" w:cs="Times New Roman"/>
          <w:b/>
          <w:noProof/>
          <w:lang w:val="es-CO"/>
        </w:rPr>
      </w:pPr>
      <w:r w:rsidRPr="00B9543D">
        <w:rPr>
          <w:rFonts w:ascii="Calibri" w:eastAsia="Calibri" w:hAnsi="Calibri" w:cs="Times New Roman"/>
          <w:noProof/>
          <w:lang w:val="en-US"/>
        </w:rPr>
        <w:drawing>
          <wp:inline distT="0" distB="0" distL="0" distR="0" wp14:anchorId="4376661E" wp14:editId="3038616B">
            <wp:extent cx="116205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590550"/>
                    </a:xfrm>
                    <a:prstGeom prst="rect">
                      <a:avLst/>
                    </a:prstGeom>
                    <a:noFill/>
                    <a:ln>
                      <a:noFill/>
                    </a:ln>
                  </pic:spPr>
                </pic:pic>
              </a:graphicData>
            </a:graphic>
          </wp:inline>
        </w:drawing>
      </w:r>
    </w:p>
    <w:p w14:paraId="573ACA27" w14:textId="77777777" w:rsidR="00B9543D" w:rsidRPr="00B9543D" w:rsidRDefault="00B9543D" w:rsidP="00B9543D">
      <w:pPr>
        <w:widowControl/>
        <w:tabs>
          <w:tab w:val="center" w:pos="4419"/>
          <w:tab w:val="right" w:pos="8838"/>
        </w:tabs>
        <w:autoSpaceDE/>
        <w:autoSpaceDN/>
        <w:spacing w:line="276" w:lineRule="auto"/>
        <w:jc w:val="center"/>
        <w:rPr>
          <w:rFonts w:eastAsia="Calibri" w:cs="Times New Roman"/>
          <w:b/>
          <w:noProof/>
          <w:sz w:val="24"/>
          <w:szCs w:val="24"/>
          <w:lang w:val="es-CO"/>
        </w:rPr>
      </w:pPr>
      <w:r w:rsidRPr="00B9543D">
        <w:rPr>
          <w:rFonts w:eastAsia="Calibri" w:cs="Times New Roman"/>
          <w:b/>
          <w:noProof/>
          <w:sz w:val="24"/>
          <w:szCs w:val="24"/>
          <w:lang w:val="es-CO"/>
        </w:rPr>
        <w:t>TRIBUNAL SUPERIOR DEL DISTRITO JUDICIAL</w:t>
      </w:r>
    </w:p>
    <w:p w14:paraId="056A1390" w14:textId="77777777" w:rsidR="00B9543D" w:rsidRPr="00B9543D" w:rsidRDefault="00B9543D" w:rsidP="00B9543D">
      <w:pPr>
        <w:widowControl/>
        <w:tabs>
          <w:tab w:val="center" w:pos="4419"/>
          <w:tab w:val="right" w:pos="8838"/>
        </w:tabs>
        <w:autoSpaceDE/>
        <w:autoSpaceDN/>
        <w:spacing w:line="276" w:lineRule="auto"/>
        <w:jc w:val="center"/>
        <w:rPr>
          <w:rFonts w:eastAsia="Calibri" w:cs="Times New Roman"/>
          <w:b/>
          <w:sz w:val="24"/>
          <w:szCs w:val="24"/>
          <w:lang w:val="es-CO"/>
        </w:rPr>
      </w:pPr>
      <w:r w:rsidRPr="00B9543D">
        <w:rPr>
          <w:rFonts w:eastAsia="Calibri" w:cs="Times New Roman"/>
          <w:b/>
          <w:sz w:val="24"/>
          <w:szCs w:val="24"/>
          <w:lang w:val="es-CO"/>
        </w:rPr>
        <w:t>PEREIRA</w:t>
      </w:r>
    </w:p>
    <w:p w14:paraId="517D232C" w14:textId="77777777" w:rsidR="00B9543D" w:rsidRPr="00B9543D" w:rsidRDefault="00B9543D" w:rsidP="00B9543D">
      <w:pPr>
        <w:widowControl/>
        <w:tabs>
          <w:tab w:val="center" w:pos="4419"/>
          <w:tab w:val="right" w:pos="8838"/>
        </w:tabs>
        <w:autoSpaceDE/>
        <w:autoSpaceDN/>
        <w:spacing w:line="276" w:lineRule="auto"/>
        <w:jc w:val="center"/>
        <w:rPr>
          <w:rFonts w:eastAsia="Calibri" w:cs="Times New Roman"/>
          <w:b/>
          <w:sz w:val="24"/>
          <w:szCs w:val="24"/>
          <w:lang w:val="es-CO"/>
        </w:rPr>
      </w:pPr>
      <w:r w:rsidRPr="00B9543D">
        <w:rPr>
          <w:rFonts w:eastAsia="Calibri" w:cs="Times New Roman"/>
          <w:b/>
          <w:sz w:val="24"/>
          <w:szCs w:val="24"/>
          <w:lang w:val="es-CO"/>
        </w:rPr>
        <w:t>SALA CIVIL-FAMILIA</w:t>
      </w:r>
    </w:p>
    <w:p w14:paraId="48BB411A" w14:textId="77777777" w:rsidR="00B9543D" w:rsidRPr="00B9543D" w:rsidRDefault="00B9543D" w:rsidP="00B9543D">
      <w:pPr>
        <w:widowControl/>
        <w:tabs>
          <w:tab w:val="center" w:pos="4419"/>
          <w:tab w:val="right" w:pos="8838"/>
        </w:tabs>
        <w:autoSpaceDE/>
        <w:autoSpaceDN/>
        <w:spacing w:line="276" w:lineRule="auto"/>
        <w:rPr>
          <w:rFonts w:eastAsia="Calibri" w:cs="Times New Roman"/>
          <w:sz w:val="24"/>
          <w:szCs w:val="24"/>
          <w:lang w:val="es-CO"/>
        </w:rPr>
      </w:pPr>
    </w:p>
    <w:p w14:paraId="52BD4E6C" w14:textId="77777777" w:rsidR="00B9543D" w:rsidRPr="00B9543D" w:rsidRDefault="00B9543D" w:rsidP="00B9543D">
      <w:pPr>
        <w:widowControl/>
        <w:autoSpaceDE/>
        <w:autoSpaceDN/>
        <w:spacing w:line="276" w:lineRule="auto"/>
        <w:rPr>
          <w:rFonts w:eastAsia="Malgun Gothic" w:cs="Estrangelo Edessa"/>
          <w:bCs/>
          <w:sz w:val="24"/>
          <w:szCs w:val="24"/>
          <w:lang w:val="es-419"/>
        </w:rPr>
      </w:pPr>
    </w:p>
    <w:bookmarkEnd w:id="0"/>
    <w:p w14:paraId="6334DEC8" w14:textId="77777777" w:rsidR="00621DC1" w:rsidRPr="00B9543D" w:rsidRDefault="00143BB8" w:rsidP="00B9543D">
      <w:pPr>
        <w:pStyle w:val="Textoindependiente"/>
        <w:tabs>
          <w:tab w:val="left" w:pos="3930"/>
          <w:tab w:val="right" w:pos="8076"/>
        </w:tabs>
        <w:spacing w:line="276" w:lineRule="auto"/>
        <w:ind w:left="1701" w:right="-91"/>
        <w:rPr>
          <w:rFonts w:ascii="Gadugi" w:hAnsi="Gadugi"/>
          <w:spacing w:val="1"/>
          <w:sz w:val="24"/>
          <w:szCs w:val="24"/>
        </w:rPr>
      </w:pPr>
      <w:r w:rsidRPr="00B9543D">
        <w:rPr>
          <w:rFonts w:ascii="Gadugi" w:hAnsi="Gadugi"/>
          <w:sz w:val="24"/>
          <w:szCs w:val="24"/>
        </w:rPr>
        <w:t>Magistrado:</w:t>
      </w:r>
      <w:r w:rsidRPr="00B9543D">
        <w:rPr>
          <w:rFonts w:ascii="Gadugi" w:hAnsi="Gadugi"/>
          <w:sz w:val="24"/>
          <w:szCs w:val="24"/>
        </w:rPr>
        <w:tab/>
      </w:r>
      <w:r w:rsidRPr="003738E5">
        <w:rPr>
          <w:rFonts w:ascii="Gadugi" w:hAnsi="Gadugi"/>
          <w:b/>
          <w:sz w:val="24"/>
          <w:szCs w:val="24"/>
        </w:rPr>
        <w:t>Jaime</w:t>
      </w:r>
      <w:r w:rsidRPr="003738E5">
        <w:rPr>
          <w:rFonts w:ascii="Gadugi" w:hAnsi="Gadugi"/>
          <w:b/>
          <w:spacing w:val="18"/>
          <w:sz w:val="24"/>
          <w:szCs w:val="24"/>
        </w:rPr>
        <w:t xml:space="preserve"> </w:t>
      </w:r>
      <w:r w:rsidRPr="003738E5">
        <w:rPr>
          <w:rFonts w:ascii="Gadugi" w:hAnsi="Gadugi"/>
          <w:b/>
          <w:sz w:val="24"/>
          <w:szCs w:val="24"/>
        </w:rPr>
        <w:t>Alberto</w:t>
      </w:r>
      <w:r w:rsidRPr="003738E5">
        <w:rPr>
          <w:rFonts w:ascii="Gadugi" w:hAnsi="Gadugi"/>
          <w:b/>
          <w:spacing w:val="19"/>
          <w:sz w:val="24"/>
          <w:szCs w:val="24"/>
        </w:rPr>
        <w:t xml:space="preserve"> </w:t>
      </w:r>
      <w:r w:rsidRPr="003738E5">
        <w:rPr>
          <w:rFonts w:ascii="Gadugi" w:hAnsi="Gadugi"/>
          <w:b/>
          <w:sz w:val="24"/>
          <w:szCs w:val="24"/>
        </w:rPr>
        <w:t>Saraza</w:t>
      </w:r>
      <w:r w:rsidRPr="003738E5">
        <w:rPr>
          <w:rFonts w:ascii="Gadugi" w:hAnsi="Gadugi"/>
          <w:b/>
          <w:spacing w:val="19"/>
          <w:sz w:val="24"/>
          <w:szCs w:val="24"/>
        </w:rPr>
        <w:t xml:space="preserve"> </w:t>
      </w:r>
      <w:r w:rsidRPr="003738E5">
        <w:rPr>
          <w:rFonts w:ascii="Gadugi" w:hAnsi="Gadugi"/>
          <w:b/>
          <w:sz w:val="24"/>
          <w:szCs w:val="24"/>
        </w:rPr>
        <w:t>Naranjo</w:t>
      </w:r>
      <w:r w:rsidRPr="00B9543D">
        <w:rPr>
          <w:rFonts w:ascii="Gadugi" w:hAnsi="Gadugi"/>
          <w:spacing w:val="1"/>
          <w:sz w:val="24"/>
          <w:szCs w:val="24"/>
        </w:rPr>
        <w:t xml:space="preserve"> </w:t>
      </w:r>
    </w:p>
    <w:p w14:paraId="7E8AC33A" w14:textId="5D83E34F" w:rsidR="00C34631" w:rsidRPr="00B9543D" w:rsidRDefault="00143BB8" w:rsidP="00B9543D">
      <w:pPr>
        <w:pStyle w:val="Textoindependiente"/>
        <w:tabs>
          <w:tab w:val="left" w:pos="3930"/>
          <w:tab w:val="right" w:pos="8076"/>
        </w:tabs>
        <w:spacing w:line="276" w:lineRule="auto"/>
        <w:ind w:left="1701" w:right="-91"/>
        <w:rPr>
          <w:rFonts w:ascii="Gadugi" w:hAnsi="Gadugi"/>
          <w:sz w:val="24"/>
          <w:szCs w:val="24"/>
        </w:rPr>
      </w:pPr>
      <w:r w:rsidRPr="00B9543D">
        <w:rPr>
          <w:rFonts w:ascii="Gadugi" w:hAnsi="Gadugi"/>
          <w:sz w:val="24"/>
          <w:szCs w:val="24"/>
        </w:rPr>
        <w:t>Pereira,</w:t>
      </w:r>
      <w:r w:rsidRPr="00B9543D">
        <w:rPr>
          <w:rFonts w:ascii="Gadugi" w:hAnsi="Gadugi"/>
          <w:sz w:val="24"/>
          <w:szCs w:val="24"/>
        </w:rPr>
        <w:tab/>
      </w:r>
      <w:r w:rsidR="00BF4055" w:rsidRPr="00B9543D">
        <w:rPr>
          <w:rFonts w:ascii="Gadugi" w:hAnsi="Gadugi"/>
          <w:sz w:val="24"/>
          <w:szCs w:val="24"/>
        </w:rPr>
        <w:t>Marzo tres de dos mil veintitrés</w:t>
      </w:r>
      <w:r w:rsidR="004F3C6F" w:rsidRPr="00B9543D">
        <w:rPr>
          <w:rFonts w:ascii="Gadugi" w:hAnsi="Gadugi"/>
          <w:sz w:val="24"/>
          <w:szCs w:val="24"/>
        </w:rPr>
        <w:t xml:space="preserve"> </w:t>
      </w:r>
    </w:p>
    <w:p w14:paraId="48EF4A19" w14:textId="488943DC" w:rsidR="00FD0FCD" w:rsidRPr="00B9543D" w:rsidRDefault="00143BB8" w:rsidP="00B9543D">
      <w:pPr>
        <w:pStyle w:val="Textoindependiente"/>
        <w:tabs>
          <w:tab w:val="left" w:pos="3930"/>
          <w:tab w:val="right" w:pos="8076"/>
        </w:tabs>
        <w:spacing w:line="276" w:lineRule="auto"/>
        <w:ind w:right="-91" w:firstLine="1701"/>
        <w:rPr>
          <w:rFonts w:ascii="Gadugi" w:hAnsi="Gadugi"/>
          <w:sz w:val="24"/>
          <w:szCs w:val="24"/>
        </w:rPr>
      </w:pPr>
      <w:r w:rsidRPr="00B9543D">
        <w:rPr>
          <w:rFonts w:ascii="Gadugi" w:hAnsi="Gadugi"/>
          <w:spacing w:val="-74"/>
          <w:sz w:val="24"/>
          <w:szCs w:val="24"/>
        </w:rPr>
        <w:t xml:space="preserve"> </w:t>
      </w:r>
      <w:r w:rsidRPr="00B9543D">
        <w:rPr>
          <w:rFonts w:ascii="Gadugi" w:hAnsi="Gadugi"/>
          <w:sz w:val="24"/>
          <w:szCs w:val="24"/>
        </w:rPr>
        <w:t>Auto:</w:t>
      </w:r>
      <w:r w:rsidRPr="00B9543D">
        <w:rPr>
          <w:rFonts w:ascii="Gadugi" w:hAnsi="Gadugi"/>
          <w:sz w:val="24"/>
          <w:szCs w:val="24"/>
        </w:rPr>
        <w:tab/>
      </w:r>
      <w:r w:rsidR="00BF4055" w:rsidRPr="00B9543D">
        <w:rPr>
          <w:rFonts w:ascii="Gadugi" w:hAnsi="Gadugi"/>
          <w:sz w:val="24"/>
          <w:szCs w:val="24"/>
        </w:rPr>
        <w:t>AC-0029-2023</w:t>
      </w:r>
    </w:p>
    <w:p w14:paraId="1EFA7F1F" w14:textId="4AFEE82C" w:rsidR="00FD0FCD" w:rsidRPr="00B9543D" w:rsidRDefault="00FD0FCD" w:rsidP="00B9543D">
      <w:pPr>
        <w:spacing w:line="276" w:lineRule="auto"/>
        <w:ind w:firstLine="1701"/>
        <w:rPr>
          <w:sz w:val="24"/>
          <w:szCs w:val="24"/>
        </w:rPr>
      </w:pPr>
    </w:p>
    <w:p w14:paraId="301DCC8F" w14:textId="28C9B75C" w:rsidR="00DE75C0" w:rsidRPr="00B9543D" w:rsidRDefault="00DE75C0" w:rsidP="00B9543D">
      <w:pPr>
        <w:spacing w:line="276" w:lineRule="auto"/>
        <w:ind w:firstLine="1701"/>
        <w:rPr>
          <w:sz w:val="24"/>
          <w:szCs w:val="24"/>
        </w:rPr>
      </w:pPr>
    </w:p>
    <w:p w14:paraId="37B15AC0" w14:textId="216B5F68" w:rsidR="00EF4EDC" w:rsidRPr="00B9543D" w:rsidRDefault="00143BB8" w:rsidP="00B9543D">
      <w:pPr>
        <w:spacing w:line="276" w:lineRule="auto"/>
        <w:ind w:right="113"/>
        <w:jc w:val="both"/>
        <w:rPr>
          <w:spacing w:val="-4"/>
          <w:sz w:val="24"/>
          <w:szCs w:val="24"/>
        </w:rPr>
      </w:pPr>
      <w:r w:rsidRPr="00B9543D">
        <w:rPr>
          <w:sz w:val="24"/>
          <w:szCs w:val="24"/>
        </w:rPr>
        <w:t>Procede</w:t>
      </w:r>
      <w:r w:rsidRPr="00B9543D">
        <w:rPr>
          <w:spacing w:val="1"/>
          <w:sz w:val="24"/>
          <w:szCs w:val="24"/>
        </w:rPr>
        <w:t xml:space="preserve"> </w:t>
      </w:r>
      <w:r w:rsidRPr="00B9543D">
        <w:rPr>
          <w:sz w:val="24"/>
          <w:szCs w:val="24"/>
        </w:rPr>
        <w:t>la</w:t>
      </w:r>
      <w:r w:rsidRPr="00B9543D">
        <w:rPr>
          <w:spacing w:val="1"/>
          <w:sz w:val="24"/>
          <w:szCs w:val="24"/>
        </w:rPr>
        <w:t xml:space="preserve"> </w:t>
      </w:r>
      <w:r w:rsidRPr="00B9543D">
        <w:rPr>
          <w:sz w:val="24"/>
          <w:szCs w:val="24"/>
        </w:rPr>
        <w:t>Sala</w:t>
      </w:r>
      <w:r w:rsidRPr="00B9543D">
        <w:rPr>
          <w:spacing w:val="1"/>
          <w:sz w:val="24"/>
          <w:szCs w:val="24"/>
        </w:rPr>
        <w:t xml:space="preserve"> </w:t>
      </w:r>
      <w:r w:rsidRPr="00B9543D">
        <w:rPr>
          <w:sz w:val="24"/>
          <w:szCs w:val="24"/>
        </w:rPr>
        <w:t>a</w:t>
      </w:r>
      <w:r w:rsidRPr="00B9543D">
        <w:rPr>
          <w:spacing w:val="1"/>
          <w:sz w:val="24"/>
          <w:szCs w:val="24"/>
        </w:rPr>
        <w:t xml:space="preserve"> </w:t>
      </w:r>
      <w:r w:rsidRPr="00B9543D">
        <w:rPr>
          <w:sz w:val="24"/>
          <w:szCs w:val="24"/>
        </w:rPr>
        <w:t>resolver</w:t>
      </w:r>
      <w:r w:rsidRPr="00B9543D">
        <w:rPr>
          <w:spacing w:val="1"/>
          <w:sz w:val="24"/>
          <w:szCs w:val="24"/>
        </w:rPr>
        <w:t xml:space="preserve"> </w:t>
      </w:r>
      <w:r w:rsidRPr="00B9543D">
        <w:rPr>
          <w:sz w:val="24"/>
          <w:szCs w:val="24"/>
        </w:rPr>
        <w:t>el</w:t>
      </w:r>
      <w:r w:rsidRPr="00B9543D">
        <w:rPr>
          <w:spacing w:val="1"/>
          <w:sz w:val="24"/>
          <w:szCs w:val="24"/>
        </w:rPr>
        <w:t xml:space="preserve"> </w:t>
      </w:r>
      <w:r w:rsidRPr="00B9543D">
        <w:rPr>
          <w:sz w:val="24"/>
          <w:szCs w:val="24"/>
        </w:rPr>
        <w:t>recurso</w:t>
      </w:r>
      <w:r w:rsidRPr="00B9543D">
        <w:rPr>
          <w:spacing w:val="1"/>
          <w:sz w:val="24"/>
          <w:szCs w:val="24"/>
        </w:rPr>
        <w:t xml:space="preserve"> </w:t>
      </w:r>
      <w:r w:rsidRPr="00B9543D">
        <w:rPr>
          <w:sz w:val="24"/>
          <w:szCs w:val="24"/>
        </w:rPr>
        <w:t>de</w:t>
      </w:r>
      <w:r w:rsidRPr="00B9543D">
        <w:rPr>
          <w:spacing w:val="1"/>
          <w:sz w:val="24"/>
          <w:szCs w:val="24"/>
        </w:rPr>
        <w:t xml:space="preserve"> </w:t>
      </w:r>
      <w:r w:rsidRPr="00B9543D">
        <w:rPr>
          <w:sz w:val="24"/>
          <w:szCs w:val="24"/>
        </w:rPr>
        <w:t>apelación</w:t>
      </w:r>
      <w:r w:rsidRPr="00B9543D">
        <w:rPr>
          <w:spacing w:val="1"/>
          <w:sz w:val="24"/>
          <w:szCs w:val="24"/>
        </w:rPr>
        <w:t xml:space="preserve"> </w:t>
      </w:r>
      <w:r w:rsidRPr="00B9543D">
        <w:rPr>
          <w:spacing w:val="-1"/>
          <w:sz w:val="24"/>
          <w:szCs w:val="24"/>
        </w:rPr>
        <w:t>interpuesto</w:t>
      </w:r>
      <w:r w:rsidRPr="00B9543D">
        <w:rPr>
          <w:spacing w:val="-16"/>
          <w:sz w:val="24"/>
          <w:szCs w:val="24"/>
        </w:rPr>
        <w:t xml:space="preserve"> </w:t>
      </w:r>
      <w:r w:rsidRPr="00B9543D">
        <w:rPr>
          <w:spacing w:val="-1"/>
          <w:sz w:val="24"/>
          <w:szCs w:val="24"/>
        </w:rPr>
        <w:t>por</w:t>
      </w:r>
      <w:r w:rsidRPr="00B9543D">
        <w:rPr>
          <w:spacing w:val="-16"/>
          <w:sz w:val="24"/>
          <w:szCs w:val="24"/>
        </w:rPr>
        <w:t xml:space="preserve"> </w:t>
      </w:r>
      <w:r w:rsidR="00082B95" w:rsidRPr="00B9543D">
        <w:rPr>
          <w:spacing w:val="-16"/>
          <w:sz w:val="24"/>
          <w:szCs w:val="24"/>
        </w:rPr>
        <w:t xml:space="preserve">la parte </w:t>
      </w:r>
      <w:r w:rsidR="00621DC1" w:rsidRPr="00B9543D">
        <w:rPr>
          <w:spacing w:val="-16"/>
          <w:sz w:val="24"/>
          <w:szCs w:val="24"/>
        </w:rPr>
        <w:t>ejecutada</w:t>
      </w:r>
      <w:r w:rsidR="00EF5031" w:rsidRPr="00B9543D">
        <w:rPr>
          <w:spacing w:val="-16"/>
          <w:sz w:val="24"/>
          <w:szCs w:val="24"/>
        </w:rPr>
        <w:t xml:space="preserve"> </w:t>
      </w:r>
      <w:r w:rsidR="00082B95" w:rsidRPr="00B9543D">
        <w:rPr>
          <w:spacing w:val="-16"/>
          <w:sz w:val="24"/>
          <w:szCs w:val="24"/>
        </w:rPr>
        <w:t>contra el a</w:t>
      </w:r>
      <w:r w:rsidR="00EF4EDC" w:rsidRPr="00B9543D">
        <w:rPr>
          <w:spacing w:val="-16"/>
          <w:sz w:val="24"/>
          <w:szCs w:val="24"/>
        </w:rPr>
        <w:t>u</w:t>
      </w:r>
      <w:r w:rsidR="00082B95" w:rsidRPr="00B9543D">
        <w:rPr>
          <w:spacing w:val="-16"/>
          <w:sz w:val="24"/>
          <w:szCs w:val="24"/>
        </w:rPr>
        <w:t xml:space="preserve">to del </w:t>
      </w:r>
      <w:r w:rsidR="00621DC1" w:rsidRPr="00B9543D">
        <w:rPr>
          <w:spacing w:val="-16"/>
          <w:sz w:val="24"/>
          <w:szCs w:val="24"/>
        </w:rPr>
        <w:t xml:space="preserve">16 de junio de </w:t>
      </w:r>
      <w:r w:rsidR="00690E7C" w:rsidRPr="00B9543D">
        <w:rPr>
          <w:spacing w:val="-16"/>
          <w:sz w:val="24"/>
          <w:szCs w:val="24"/>
        </w:rPr>
        <w:t>2022,</w:t>
      </w:r>
      <w:r w:rsidR="00082B95" w:rsidRPr="00B9543D">
        <w:rPr>
          <w:spacing w:val="-16"/>
          <w:sz w:val="24"/>
          <w:szCs w:val="24"/>
        </w:rPr>
        <w:t xml:space="preserve"> proferido por el Juzgado </w:t>
      </w:r>
      <w:r w:rsidR="00EF4EDC" w:rsidRPr="00B9543D">
        <w:rPr>
          <w:spacing w:val="-16"/>
          <w:sz w:val="24"/>
          <w:szCs w:val="24"/>
        </w:rPr>
        <w:t xml:space="preserve">Segundo </w:t>
      </w:r>
      <w:r w:rsidRPr="00B9543D">
        <w:rPr>
          <w:sz w:val="24"/>
          <w:szCs w:val="24"/>
        </w:rPr>
        <w:t>Civil</w:t>
      </w:r>
      <w:r w:rsidRPr="00B9543D">
        <w:rPr>
          <w:spacing w:val="-7"/>
          <w:sz w:val="24"/>
          <w:szCs w:val="24"/>
        </w:rPr>
        <w:t xml:space="preserve"> </w:t>
      </w:r>
      <w:r w:rsidRPr="00B9543D">
        <w:rPr>
          <w:sz w:val="24"/>
          <w:szCs w:val="24"/>
        </w:rPr>
        <w:t>del</w:t>
      </w:r>
      <w:r w:rsidRPr="00B9543D">
        <w:rPr>
          <w:spacing w:val="-6"/>
          <w:sz w:val="24"/>
          <w:szCs w:val="24"/>
        </w:rPr>
        <w:t xml:space="preserve"> </w:t>
      </w:r>
      <w:r w:rsidRPr="00B9543D">
        <w:rPr>
          <w:sz w:val="24"/>
          <w:szCs w:val="24"/>
        </w:rPr>
        <w:t>Circuito</w:t>
      </w:r>
      <w:r w:rsidRPr="00B9543D">
        <w:rPr>
          <w:spacing w:val="-5"/>
          <w:sz w:val="24"/>
          <w:szCs w:val="24"/>
        </w:rPr>
        <w:t xml:space="preserve"> </w:t>
      </w:r>
      <w:r w:rsidRPr="00B9543D">
        <w:rPr>
          <w:sz w:val="24"/>
          <w:szCs w:val="24"/>
        </w:rPr>
        <w:t>de</w:t>
      </w:r>
      <w:r w:rsidRPr="00B9543D">
        <w:rPr>
          <w:spacing w:val="-8"/>
          <w:sz w:val="24"/>
          <w:szCs w:val="24"/>
        </w:rPr>
        <w:t xml:space="preserve"> </w:t>
      </w:r>
      <w:r w:rsidRPr="00B9543D">
        <w:rPr>
          <w:sz w:val="24"/>
          <w:szCs w:val="24"/>
        </w:rPr>
        <w:t>Pereira</w:t>
      </w:r>
      <w:r w:rsidRPr="00B9543D">
        <w:rPr>
          <w:spacing w:val="-6"/>
          <w:sz w:val="24"/>
          <w:szCs w:val="24"/>
        </w:rPr>
        <w:t xml:space="preserve"> </w:t>
      </w:r>
      <w:r w:rsidRPr="00B9543D">
        <w:rPr>
          <w:sz w:val="24"/>
          <w:szCs w:val="24"/>
        </w:rPr>
        <w:t>en</w:t>
      </w:r>
      <w:r w:rsidRPr="00B9543D">
        <w:rPr>
          <w:spacing w:val="-7"/>
          <w:sz w:val="24"/>
          <w:szCs w:val="24"/>
        </w:rPr>
        <w:t xml:space="preserve"> </w:t>
      </w:r>
      <w:r w:rsidRPr="00B9543D">
        <w:rPr>
          <w:sz w:val="24"/>
          <w:szCs w:val="24"/>
        </w:rPr>
        <w:t>este</w:t>
      </w:r>
      <w:r w:rsidRPr="00B9543D">
        <w:rPr>
          <w:spacing w:val="-6"/>
          <w:sz w:val="24"/>
          <w:szCs w:val="24"/>
        </w:rPr>
        <w:t xml:space="preserve"> </w:t>
      </w:r>
      <w:r w:rsidRPr="00B9543D">
        <w:rPr>
          <w:sz w:val="24"/>
          <w:szCs w:val="24"/>
        </w:rPr>
        <w:t>proceso</w:t>
      </w:r>
      <w:r w:rsidRPr="00B9543D">
        <w:rPr>
          <w:spacing w:val="-4"/>
          <w:sz w:val="24"/>
          <w:szCs w:val="24"/>
        </w:rPr>
        <w:t xml:space="preserve"> </w:t>
      </w:r>
      <w:r w:rsidR="00690E7C" w:rsidRPr="00B9543D">
        <w:rPr>
          <w:b/>
          <w:spacing w:val="-4"/>
          <w:sz w:val="24"/>
          <w:szCs w:val="24"/>
        </w:rPr>
        <w:t>ejecutivo</w:t>
      </w:r>
      <w:r w:rsidR="00690E7C" w:rsidRPr="00B9543D">
        <w:rPr>
          <w:spacing w:val="-4"/>
          <w:sz w:val="24"/>
          <w:szCs w:val="24"/>
        </w:rPr>
        <w:t xml:space="preserve"> </w:t>
      </w:r>
      <w:r w:rsidR="0033577C" w:rsidRPr="00B9543D">
        <w:rPr>
          <w:spacing w:val="-4"/>
          <w:sz w:val="24"/>
          <w:szCs w:val="24"/>
        </w:rPr>
        <w:t xml:space="preserve">iniciado por </w:t>
      </w:r>
      <w:r w:rsidR="0033577C" w:rsidRPr="00B9543D">
        <w:rPr>
          <w:b/>
          <w:bCs/>
          <w:spacing w:val="-4"/>
          <w:sz w:val="24"/>
          <w:szCs w:val="24"/>
        </w:rPr>
        <w:t>Hernán Mejía Velásquez</w:t>
      </w:r>
      <w:r w:rsidR="0033577C" w:rsidRPr="00B9543D">
        <w:rPr>
          <w:spacing w:val="-4"/>
          <w:sz w:val="24"/>
          <w:szCs w:val="24"/>
        </w:rPr>
        <w:t xml:space="preserve">, al que fue acumulado el de </w:t>
      </w:r>
      <w:r w:rsidR="00621DC1" w:rsidRPr="00B9543D">
        <w:rPr>
          <w:b/>
          <w:bCs/>
          <w:spacing w:val="-4"/>
          <w:sz w:val="24"/>
          <w:szCs w:val="24"/>
        </w:rPr>
        <w:t xml:space="preserve">Matilde Posada de </w:t>
      </w:r>
      <w:proofErr w:type="spellStart"/>
      <w:r w:rsidR="00621DC1" w:rsidRPr="00B9543D">
        <w:rPr>
          <w:b/>
          <w:bCs/>
          <w:spacing w:val="-4"/>
          <w:sz w:val="24"/>
          <w:szCs w:val="24"/>
        </w:rPr>
        <w:t>Mercuri</w:t>
      </w:r>
      <w:proofErr w:type="spellEnd"/>
      <w:r w:rsidR="00621DC1" w:rsidRPr="00B9543D">
        <w:rPr>
          <w:b/>
          <w:bCs/>
          <w:spacing w:val="-4"/>
          <w:sz w:val="24"/>
          <w:szCs w:val="24"/>
        </w:rPr>
        <w:t xml:space="preserve"> </w:t>
      </w:r>
      <w:r w:rsidR="00EF4EDC" w:rsidRPr="00B9543D">
        <w:rPr>
          <w:spacing w:val="-4"/>
          <w:sz w:val="24"/>
          <w:szCs w:val="24"/>
        </w:rPr>
        <w:t xml:space="preserve">frente a </w:t>
      </w:r>
      <w:r w:rsidR="0033577C" w:rsidRPr="00B9543D">
        <w:rPr>
          <w:b/>
          <w:bCs/>
          <w:spacing w:val="-4"/>
          <w:sz w:val="24"/>
          <w:szCs w:val="24"/>
        </w:rPr>
        <w:t xml:space="preserve">Rosa del Carmen </w:t>
      </w:r>
      <w:proofErr w:type="spellStart"/>
      <w:r w:rsidR="0033577C" w:rsidRPr="00B9543D">
        <w:rPr>
          <w:b/>
          <w:bCs/>
          <w:spacing w:val="-4"/>
          <w:sz w:val="24"/>
          <w:szCs w:val="24"/>
        </w:rPr>
        <w:t>Cagueñas</w:t>
      </w:r>
      <w:proofErr w:type="spellEnd"/>
      <w:r w:rsidR="0033577C" w:rsidRPr="00B9543D">
        <w:rPr>
          <w:b/>
          <w:bCs/>
          <w:spacing w:val="-4"/>
          <w:sz w:val="24"/>
          <w:szCs w:val="24"/>
        </w:rPr>
        <w:t xml:space="preserve"> Morales.</w:t>
      </w:r>
      <w:r w:rsidR="00EF4EDC" w:rsidRPr="00B9543D">
        <w:rPr>
          <w:spacing w:val="-4"/>
          <w:sz w:val="24"/>
          <w:szCs w:val="24"/>
        </w:rPr>
        <w:t xml:space="preserve"> </w:t>
      </w:r>
    </w:p>
    <w:p w14:paraId="06BA760D" w14:textId="046E3379" w:rsidR="00FD0FCD" w:rsidRPr="00B9543D" w:rsidRDefault="00FD0FCD" w:rsidP="00B9543D">
      <w:pPr>
        <w:spacing w:line="276" w:lineRule="auto"/>
        <w:rPr>
          <w:b/>
          <w:sz w:val="24"/>
          <w:szCs w:val="24"/>
        </w:rPr>
      </w:pPr>
    </w:p>
    <w:p w14:paraId="18F6BA09" w14:textId="52B04DDC" w:rsidR="00FD0FCD" w:rsidRPr="00B9543D" w:rsidRDefault="00143BB8" w:rsidP="00B9543D">
      <w:pPr>
        <w:pStyle w:val="Ttulo2"/>
        <w:spacing w:before="0" w:line="276" w:lineRule="auto"/>
        <w:ind w:left="0"/>
        <w:rPr>
          <w:b w:val="0"/>
          <w:sz w:val="24"/>
          <w:szCs w:val="24"/>
        </w:rPr>
      </w:pPr>
      <w:r w:rsidRPr="00B9543D">
        <w:rPr>
          <w:sz w:val="24"/>
          <w:szCs w:val="24"/>
        </w:rPr>
        <w:t>ANTECEDENTES</w:t>
      </w:r>
    </w:p>
    <w:p w14:paraId="43E686DE" w14:textId="77777777" w:rsidR="00DE75C0" w:rsidRPr="00B9543D" w:rsidRDefault="00DE75C0" w:rsidP="00B9543D">
      <w:pPr>
        <w:spacing w:line="276" w:lineRule="auto"/>
        <w:rPr>
          <w:b/>
          <w:sz w:val="24"/>
          <w:szCs w:val="24"/>
        </w:rPr>
      </w:pPr>
    </w:p>
    <w:p w14:paraId="7F88A4BD" w14:textId="4AE14F3E" w:rsidR="0033577C" w:rsidRPr="00B9543D" w:rsidRDefault="00143BB8" w:rsidP="00B9543D">
      <w:pPr>
        <w:pStyle w:val="Textoindependiente"/>
        <w:spacing w:line="276" w:lineRule="auto"/>
        <w:ind w:right="114"/>
        <w:jc w:val="both"/>
        <w:rPr>
          <w:rFonts w:ascii="Gadugi" w:hAnsi="Gadugi"/>
          <w:spacing w:val="1"/>
          <w:sz w:val="24"/>
          <w:szCs w:val="24"/>
        </w:rPr>
      </w:pPr>
      <w:r w:rsidRPr="00B9543D">
        <w:rPr>
          <w:rFonts w:ascii="Gadugi" w:hAnsi="Gadugi"/>
          <w:sz w:val="24"/>
          <w:szCs w:val="24"/>
        </w:rPr>
        <w:t>En</w:t>
      </w:r>
      <w:r w:rsidRPr="00B9543D">
        <w:rPr>
          <w:rFonts w:ascii="Gadugi" w:hAnsi="Gadugi"/>
          <w:spacing w:val="1"/>
          <w:sz w:val="24"/>
          <w:szCs w:val="24"/>
        </w:rPr>
        <w:t xml:space="preserve"> </w:t>
      </w:r>
      <w:r w:rsidRPr="00B9543D">
        <w:rPr>
          <w:rFonts w:ascii="Gadugi" w:hAnsi="Gadugi"/>
          <w:sz w:val="24"/>
          <w:szCs w:val="24"/>
        </w:rPr>
        <w:t>el</w:t>
      </w:r>
      <w:r w:rsidRPr="00B9543D">
        <w:rPr>
          <w:rFonts w:ascii="Gadugi" w:hAnsi="Gadugi"/>
          <w:spacing w:val="1"/>
          <w:sz w:val="24"/>
          <w:szCs w:val="24"/>
        </w:rPr>
        <w:t xml:space="preserve"> </w:t>
      </w:r>
      <w:r w:rsidRPr="00B9543D">
        <w:rPr>
          <w:rFonts w:ascii="Gadugi" w:hAnsi="Gadugi"/>
          <w:sz w:val="24"/>
          <w:szCs w:val="24"/>
        </w:rPr>
        <w:t>referido</w:t>
      </w:r>
      <w:r w:rsidRPr="00B9543D">
        <w:rPr>
          <w:rFonts w:ascii="Gadugi" w:hAnsi="Gadugi"/>
          <w:spacing w:val="1"/>
          <w:sz w:val="24"/>
          <w:szCs w:val="24"/>
        </w:rPr>
        <w:t xml:space="preserve"> </w:t>
      </w:r>
      <w:r w:rsidR="00B8613D" w:rsidRPr="00B9543D">
        <w:rPr>
          <w:rFonts w:ascii="Gadugi" w:hAnsi="Gadugi"/>
          <w:spacing w:val="1"/>
          <w:sz w:val="24"/>
          <w:szCs w:val="24"/>
        </w:rPr>
        <w:t xml:space="preserve">proceso, </w:t>
      </w:r>
      <w:r w:rsidR="0033577C" w:rsidRPr="00B9543D">
        <w:rPr>
          <w:rFonts w:ascii="Gadugi" w:hAnsi="Gadugi"/>
          <w:spacing w:val="1"/>
          <w:sz w:val="24"/>
          <w:szCs w:val="24"/>
        </w:rPr>
        <w:t xml:space="preserve">con auto del 22 de marzo de 2022, </w:t>
      </w:r>
      <w:r w:rsidR="00966C7A" w:rsidRPr="00B9543D">
        <w:rPr>
          <w:rFonts w:ascii="Gadugi" w:hAnsi="Gadugi"/>
          <w:spacing w:val="1"/>
          <w:sz w:val="24"/>
          <w:szCs w:val="24"/>
        </w:rPr>
        <w:t xml:space="preserve">se </w:t>
      </w:r>
      <w:r w:rsidR="0033577C" w:rsidRPr="00B9543D">
        <w:rPr>
          <w:rFonts w:ascii="Gadugi" w:hAnsi="Gadugi"/>
          <w:spacing w:val="1"/>
          <w:sz w:val="24"/>
          <w:szCs w:val="24"/>
        </w:rPr>
        <w:t xml:space="preserve">ordenó librar un nuevo </w:t>
      </w:r>
      <w:r w:rsidR="0033577C" w:rsidRPr="00B9543D">
        <w:rPr>
          <w:rFonts w:ascii="Gadugi" w:hAnsi="Gadugi"/>
          <w:spacing w:val="1"/>
          <w:sz w:val="24"/>
          <w:szCs w:val="24"/>
        </w:rPr>
        <w:lastRenderedPageBreak/>
        <w:t>oficio al Área Metropolitana Centro Occidente como gestor del IGAC, para que expidiera certificación del avalúo catastral del inmueble matriculado bajo el número 290-21021, y se dispuso tramitar esa petición dentro de los 30 días siguientes, so pena de aplicar el desistimiento tácito de que trata el artículo 317 del CGP</w:t>
      </w:r>
      <w:r w:rsidR="0033577C" w:rsidRPr="00B9543D">
        <w:rPr>
          <w:rStyle w:val="Refdenotaalpie"/>
          <w:rFonts w:ascii="Gadugi" w:hAnsi="Gadugi"/>
          <w:spacing w:val="1"/>
          <w:sz w:val="24"/>
          <w:szCs w:val="24"/>
        </w:rPr>
        <w:footnoteReference w:id="1"/>
      </w:r>
      <w:r w:rsidR="0033577C" w:rsidRPr="00B9543D">
        <w:rPr>
          <w:rFonts w:ascii="Gadugi" w:hAnsi="Gadugi"/>
          <w:spacing w:val="1"/>
          <w:sz w:val="24"/>
          <w:szCs w:val="24"/>
        </w:rPr>
        <w:t xml:space="preserve">. </w:t>
      </w:r>
    </w:p>
    <w:p w14:paraId="7AB69E3C" w14:textId="77777777" w:rsidR="0033577C" w:rsidRPr="00B9543D" w:rsidRDefault="0033577C" w:rsidP="00B9543D">
      <w:pPr>
        <w:pStyle w:val="Textoindependiente"/>
        <w:spacing w:line="276" w:lineRule="auto"/>
        <w:ind w:right="114"/>
        <w:jc w:val="both"/>
        <w:rPr>
          <w:rFonts w:ascii="Gadugi" w:hAnsi="Gadugi"/>
          <w:spacing w:val="1"/>
          <w:sz w:val="24"/>
          <w:szCs w:val="24"/>
        </w:rPr>
      </w:pPr>
    </w:p>
    <w:p w14:paraId="384A1378" w14:textId="77777777" w:rsidR="00527B97" w:rsidRPr="00B9543D" w:rsidRDefault="0033577C" w:rsidP="00B9543D">
      <w:pPr>
        <w:pStyle w:val="Textoindependiente"/>
        <w:spacing w:line="276" w:lineRule="auto"/>
        <w:ind w:right="114"/>
        <w:jc w:val="both"/>
        <w:rPr>
          <w:rFonts w:ascii="Gadugi" w:hAnsi="Gadugi"/>
          <w:spacing w:val="1"/>
          <w:sz w:val="24"/>
          <w:szCs w:val="24"/>
        </w:rPr>
      </w:pPr>
      <w:r w:rsidRPr="00B9543D">
        <w:rPr>
          <w:rFonts w:ascii="Gadugi" w:hAnsi="Gadugi"/>
          <w:spacing w:val="1"/>
          <w:sz w:val="24"/>
          <w:szCs w:val="24"/>
        </w:rPr>
        <w:t>El 6 de mayo siguiente, fue aportado el certificado por la parte ejecutante</w:t>
      </w:r>
      <w:r w:rsidRPr="00B9543D">
        <w:rPr>
          <w:rStyle w:val="Refdenotaalpie"/>
          <w:rFonts w:ascii="Gadugi" w:hAnsi="Gadugi"/>
          <w:spacing w:val="1"/>
          <w:sz w:val="24"/>
          <w:szCs w:val="24"/>
        </w:rPr>
        <w:footnoteReference w:id="2"/>
      </w:r>
      <w:r w:rsidR="00527B97" w:rsidRPr="00B9543D">
        <w:rPr>
          <w:rFonts w:ascii="Gadugi" w:hAnsi="Gadugi"/>
          <w:spacing w:val="1"/>
          <w:sz w:val="24"/>
          <w:szCs w:val="24"/>
        </w:rPr>
        <w:t xml:space="preserve">, con el avalúo respectivo, por lo que, el 16 de junio de 2022, se emitió un nuevo auto dando traslado del mismo. </w:t>
      </w:r>
    </w:p>
    <w:p w14:paraId="14D485E4" w14:textId="77777777" w:rsidR="00527B97" w:rsidRPr="00B9543D" w:rsidRDefault="00527B97" w:rsidP="00B9543D">
      <w:pPr>
        <w:pStyle w:val="Textoindependiente"/>
        <w:spacing w:line="276" w:lineRule="auto"/>
        <w:ind w:right="114"/>
        <w:jc w:val="both"/>
        <w:rPr>
          <w:rFonts w:ascii="Gadugi" w:hAnsi="Gadugi"/>
          <w:spacing w:val="1"/>
          <w:sz w:val="24"/>
          <w:szCs w:val="24"/>
        </w:rPr>
      </w:pPr>
    </w:p>
    <w:p w14:paraId="25E0D2ED" w14:textId="337D32FC" w:rsidR="0010326A" w:rsidRPr="00B9543D" w:rsidRDefault="00527B97" w:rsidP="00B9543D">
      <w:pPr>
        <w:pStyle w:val="Textoindependiente"/>
        <w:spacing w:line="276" w:lineRule="auto"/>
        <w:ind w:right="114"/>
        <w:jc w:val="both"/>
        <w:rPr>
          <w:rFonts w:ascii="Gadugi" w:hAnsi="Gadugi"/>
          <w:spacing w:val="1"/>
          <w:sz w:val="24"/>
          <w:szCs w:val="24"/>
        </w:rPr>
      </w:pPr>
      <w:r w:rsidRPr="00B9543D">
        <w:rPr>
          <w:rFonts w:ascii="Gadugi" w:hAnsi="Gadugi"/>
          <w:spacing w:val="1"/>
          <w:sz w:val="24"/>
          <w:szCs w:val="24"/>
        </w:rPr>
        <w:t>Entre tanto, el asesor judicial de la demandada había solicitado, el 16 de mayo, que se decretara el desistimiento tácito, por cuanto no se aportó ese certificado en los 30 días que habían sido concedidos</w:t>
      </w:r>
      <w:r w:rsidR="00C12679" w:rsidRPr="00B9543D">
        <w:rPr>
          <w:rStyle w:val="Refdenotaalpie"/>
          <w:rFonts w:ascii="Gadugi" w:hAnsi="Gadugi"/>
          <w:spacing w:val="1"/>
          <w:sz w:val="24"/>
          <w:szCs w:val="24"/>
        </w:rPr>
        <w:footnoteReference w:id="3"/>
      </w:r>
      <w:r w:rsidRPr="00B9543D">
        <w:rPr>
          <w:rFonts w:ascii="Gadugi" w:hAnsi="Gadugi"/>
          <w:spacing w:val="1"/>
          <w:sz w:val="24"/>
          <w:szCs w:val="24"/>
        </w:rPr>
        <w:t xml:space="preserve">. </w:t>
      </w:r>
      <w:r w:rsidR="00C12679" w:rsidRPr="00B9543D">
        <w:rPr>
          <w:rFonts w:ascii="Gadugi" w:hAnsi="Gadugi"/>
          <w:spacing w:val="1"/>
          <w:sz w:val="24"/>
          <w:szCs w:val="24"/>
        </w:rPr>
        <w:t>Petición reiterada el 20 de mayo siguiente</w:t>
      </w:r>
      <w:r w:rsidR="00C12679" w:rsidRPr="00B9543D">
        <w:rPr>
          <w:rStyle w:val="Refdenotaalpie"/>
          <w:rFonts w:ascii="Gadugi" w:hAnsi="Gadugi"/>
          <w:spacing w:val="1"/>
          <w:sz w:val="24"/>
          <w:szCs w:val="24"/>
        </w:rPr>
        <w:footnoteReference w:id="4"/>
      </w:r>
    </w:p>
    <w:p w14:paraId="6FDBB0D5" w14:textId="5A1BC5A0" w:rsidR="00527B97" w:rsidRPr="00B9543D" w:rsidRDefault="00527B97" w:rsidP="00B9543D">
      <w:pPr>
        <w:pStyle w:val="Textoindependiente"/>
        <w:spacing w:line="276" w:lineRule="auto"/>
        <w:ind w:right="114"/>
        <w:jc w:val="both"/>
        <w:rPr>
          <w:rFonts w:ascii="Gadugi" w:hAnsi="Gadugi"/>
          <w:spacing w:val="1"/>
          <w:sz w:val="24"/>
          <w:szCs w:val="24"/>
        </w:rPr>
      </w:pPr>
    </w:p>
    <w:p w14:paraId="7AE2E10C" w14:textId="6803DD5B" w:rsidR="004E0B5D" w:rsidRPr="00B9543D" w:rsidRDefault="00C12679" w:rsidP="00B9543D">
      <w:pPr>
        <w:pStyle w:val="Textoindependiente"/>
        <w:spacing w:line="276" w:lineRule="auto"/>
        <w:ind w:right="114"/>
        <w:jc w:val="both"/>
        <w:rPr>
          <w:rFonts w:ascii="Gadugi" w:hAnsi="Gadugi"/>
          <w:spacing w:val="1"/>
          <w:sz w:val="24"/>
          <w:szCs w:val="24"/>
        </w:rPr>
      </w:pPr>
      <w:r w:rsidRPr="00B9543D">
        <w:rPr>
          <w:rFonts w:ascii="Gadugi" w:hAnsi="Gadugi"/>
          <w:spacing w:val="1"/>
          <w:sz w:val="24"/>
          <w:szCs w:val="24"/>
        </w:rPr>
        <w:t xml:space="preserve">El juzgado negó la solicitud, </w:t>
      </w:r>
      <w:r w:rsidR="00FE6981" w:rsidRPr="00B9543D">
        <w:rPr>
          <w:rFonts w:ascii="Gadugi" w:hAnsi="Gadugi"/>
          <w:spacing w:val="1"/>
          <w:sz w:val="24"/>
          <w:szCs w:val="24"/>
        </w:rPr>
        <w:t>ya que</w:t>
      </w:r>
      <w:r w:rsidRPr="00B9543D">
        <w:rPr>
          <w:rFonts w:ascii="Gadugi" w:hAnsi="Gadugi"/>
          <w:spacing w:val="1"/>
          <w:sz w:val="24"/>
          <w:szCs w:val="24"/>
        </w:rPr>
        <w:t xml:space="preserve"> el oficio dirigido a la autoridad solo fue </w:t>
      </w:r>
      <w:r w:rsidR="00E715B6" w:rsidRPr="00B9543D">
        <w:rPr>
          <w:rFonts w:ascii="Gadugi" w:hAnsi="Gadugi"/>
          <w:spacing w:val="1"/>
          <w:sz w:val="24"/>
          <w:szCs w:val="24"/>
        </w:rPr>
        <w:t>enviado</w:t>
      </w:r>
      <w:r w:rsidRPr="00B9543D">
        <w:rPr>
          <w:rFonts w:ascii="Gadugi" w:hAnsi="Gadugi"/>
          <w:spacing w:val="1"/>
          <w:sz w:val="24"/>
          <w:szCs w:val="24"/>
        </w:rPr>
        <w:t xml:space="preserve"> por la secretaría el 5 de mayo, y con prontitud, el 6 de ese mes, se llevó al expediente la certificación pedida; es decir, que los 30 días solo podían contar para el demandante desde el </w:t>
      </w:r>
      <w:r w:rsidR="00F31DF7" w:rsidRPr="00B9543D">
        <w:rPr>
          <w:rFonts w:ascii="Gadugi" w:hAnsi="Gadugi"/>
          <w:spacing w:val="1"/>
          <w:sz w:val="24"/>
          <w:szCs w:val="24"/>
        </w:rPr>
        <w:t>6 de mayo</w:t>
      </w:r>
      <w:r w:rsidR="00F31DF7" w:rsidRPr="00B9543D">
        <w:rPr>
          <w:rStyle w:val="Refdenotaalpie"/>
          <w:rFonts w:ascii="Gadugi" w:hAnsi="Gadugi"/>
          <w:spacing w:val="1"/>
          <w:sz w:val="24"/>
          <w:szCs w:val="24"/>
        </w:rPr>
        <w:footnoteReference w:id="5"/>
      </w:r>
      <w:r w:rsidR="00F31DF7" w:rsidRPr="00B9543D">
        <w:rPr>
          <w:rFonts w:ascii="Gadugi" w:hAnsi="Gadugi"/>
          <w:spacing w:val="1"/>
          <w:sz w:val="24"/>
          <w:szCs w:val="24"/>
        </w:rPr>
        <w:t xml:space="preserve">. </w:t>
      </w:r>
    </w:p>
    <w:p w14:paraId="649B3053" w14:textId="3099DC3C" w:rsidR="00F31DF7" w:rsidRPr="00B9543D" w:rsidRDefault="00F31DF7" w:rsidP="00B9543D">
      <w:pPr>
        <w:pStyle w:val="Textoindependiente"/>
        <w:spacing w:line="276" w:lineRule="auto"/>
        <w:ind w:right="114"/>
        <w:jc w:val="both"/>
        <w:rPr>
          <w:rFonts w:ascii="Gadugi" w:hAnsi="Gadugi"/>
          <w:spacing w:val="1"/>
          <w:sz w:val="24"/>
          <w:szCs w:val="24"/>
        </w:rPr>
      </w:pPr>
    </w:p>
    <w:p w14:paraId="19A2BBD9" w14:textId="24DBD7D2" w:rsidR="00F31DF7" w:rsidRPr="00B9543D" w:rsidRDefault="00F31DF7" w:rsidP="00B9543D">
      <w:pPr>
        <w:pStyle w:val="Textoindependiente"/>
        <w:spacing w:line="276" w:lineRule="auto"/>
        <w:ind w:right="114"/>
        <w:jc w:val="both"/>
        <w:rPr>
          <w:rFonts w:ascii="Gadugi" w:hAnsi="Gadugi"/>
          <w:spacing w:val="1"/>
          <w:sz w:val="24"/>
          <w:szCs w:val="24"/>
        </w:rPr>
      </w:pPr>
      <w:r w:rsidRPr="00B9543D">
        <w:rPr>
          <w:rFonts w:ascii="Gadugi" w:hAnsi="Gadugi"/>
          <w:spacing w:val="1"/>
          <w:sz w:val="24"/>
          <w:szCs w:val="24"/>
        </w:rPr>
        <w:t>Se interpusieron recursos de reposición y, en subsidio, apelación</w:t>
      </w:r>
      <w:r w:rsidR="00493F0A" w:rsidRPr="00B9543D">
        <w:rPr>
          <w:rStyle w:val="Refdenotaalpie"/>
          <w:rFonts w:ascii="Gadugi" w:hAnsi="Gadugi"/>
          <w:spacing w:val="1"/>
          <w:sz w:val="24"/>
          <w:szCs w:val="24"/>
        </w:rPr>
        <w:footnoteReference w:id="6"/>
      </w:r>
      <w:r w:rsidR="00493F0A" w:rsidRPr="00B9543D">
        <w:rPr>
          <w:rFonts w:ascii="Gadugi" w:hAnsi="Gadugi"/>
          <w:spacing w:val="1"/>
          <w:sz w:val="24"/>
          <w:szCs w:val="24"/>
        </w:rPr>
        <w:t xml:space="preserve">, con sustento en que (i) el artículo 173 del CGP dispone que el juez debe abstenerse de ordenar la práctica de pruebas que, directamente, o por medio del derecho de petición, pueda conseguir la parte; (ii) los términos deben cumplirse con diligencia y cuidado y su incumplimiento se sanción; y (iii) el juez debe garantizar la igualdad de las partes. </w:t>
      </w:r>
      <w:r w:rsidR="00E715B6" w:rsidRPr="00B9543D">
        <w:rPr>
          <w:rFonts w:ascii="Gadugi" w:hAnsi="Gadugi"/>
          <w:spacing w:val="1"/>
          <w:sz w:val="24"/>
          <w:szCs w:val="24"/>
        </w:rPr>
        <w:t>Y se complementó en el sentido de que (iv) desde el año 2021 se ha requerido esa información y la apoderada de la parte ejecutante ha sido negligente</w:t>
      </w:r>
      <w:r w:rsidR="00E715B6" w:rsidRPr="00B9543D">
        <w:rPr>
          <w:rStyle w:val="Refdenotaalpie"/>
          <w:rFonts w:ascii="Gadugi" w:hAnsi="Gadugi"/>
          <w:spacing w:val="1"/>
          <w:sz w:val="24"/>
          <w:szCs w:val="24"/>
        </w:rPr>
        <w:footnoteReference w:id="7"/>
      </w:r>
      <w:r w:rsidR="00E715B6" w:rsidRPr="00B9543D">
        <w:rPr>
          <w:rFonts w:ascii="Gadugi" w:hAnsi="Gadugi"/>
          <w:spacing w:val="1"/>
          <w:sz w:val="24"/>
          <w:szCs w:val="24"/>
        </w:rPr>
        <w:t xml:space="preserve">. </w:t>
      </w:r>
    </w:p>
    <w:p w14:paraId="6B9DE33D" w14:textId="232389C2" w:rsidR="00493F0A" w:rsidRPr="00B9543D" w:rsidRDefault="00493F0A" w:rsidP="00B9543D">
      <w:pPr>
        <w:pStyle w:val="Textoindependiente"/>
        <w:spacing w:line="276" w:lineRule="auto"/>
        <w:ind w:right="114"/>
        <w:jc w:val="both"/>
        <w:rPr>
          <w:rFonts w:ascii="Gadugi" w:hAnsi="Gadugi"/>
          <w:spacing w:val="1"/>
          <w:sz w:val="24"/>
          <w:szCs w:val="24"/>
        </w:rPr>
      </w:pPr>
    </w:p>
    <w:p w14:paraId="25688EDA" w14:textId="6036E6AA" w:rsidR="00493F0A" w:rsidRDefault="00493F0A" w:rsidP="00B9543D">
      <w:pPr>
        <w:pStyle w:val="Textoindependiente"/>
        <w:spacing w:line="276" w:lineRule="auto"/>
        <w:ind w:right="114"/>
        <w:jc w:val="both"/>
        <w:rPr>
          <w:rFonts w:ascii="Gadugi" w:hAnsi="Gadugi"/>
          <w:spacing w:val="1"/>
          <w:sz w:val="24"/>
          <w:szCs w:val="24"/>
        </w:rPr>
      </w:pPr>
      <w:r w:rsidRPr="00B9543D">
        <w:rPr>
          <w:rFonts w:ascii="Gadugi" w:hAnsi="Gadugi"/>
          <w:spacing w:val="1"/>
          <w:sz w:val="24"/>
          <w:szCs w:val="24"/>
        </w:rPr>
        <w:t>La decisión se mantuvo</w:t>
      </w:r>
      <w:r w:rsidR="00E715B6" w:rsidRPr="00B9543D">
        <w:rPr>
          <w:rStyle w:val="Refdenotaalpie"/>
          <w:rFonts w:ascii="Gadugi" w:hAnsi="Gadugi"/>
          <w:spacing w:val="1"/>
          <w:sz w:val="24"/>
          <w:szCs w:val="24"/>
        </w:rPr>
        <w:footnoteReference w:id="8"/>
      </w:r>
      <w:r w:rsidR="00E715B6" w:rsidRPr="00B9543D">
        <w:rPr>
          <w:rFonts w:ascii="Gadugi" w:hAnsi="Gadugi"/>
          <w:spacing w:val="1"/>
          <w:sz w:val="24"/>
          <w:szCs w:val="24"/>
        </w:rPr>
        <w:t xml:space="preserve">, porque, repitió el funcionario, solo desde el 6 de mayo podían correr esos 30 días, por un lado; y por el otro, agregó que, en todo caso, contados los 30 días desde el </w:t>
      </w:r>
      <w:r w:rsidR="00F24738" w:rsidRPr="00B9543D">
        <w:rPr>
          <w:rFonts w:ascii="Gadugi" w:hAnsi="Gadugi"/>
          <w:spacing w:val="1"/>
          <w:sz w:val="24"/>
          <w:szCs w:val="24"/>
        </w:rPr>
        <w:t>24 de marzo, se extenderían hasta el 11 de mayo de 2022 y fue el 6 que se llevó la certificación. Entonces, concedió la alzada.</w:t>
      </w:r>
    </w:p>
    <w:p w14:paraId="353BF814" w14:textId="77777777" w:rsidR="00931E03" w:rsidRPr="00B9543D" w:rsidRDefault="00931E03" w:rsidP="00B9543D">
      <w:pPr>
        <w:pStyle w:val="Textoindependiente"/>
        <w:spacing w:line="276" w:lineRule="auto"/>
        <w:ind w:right="114"/>
        <w:jc w:val="both"/>
        <w:rPr>
          <w:rFonts w:ascii="Gadugi" w:hAnsi="Gadugi"/>
          <w:spacing w:val="1"/>
          <w:sz w:val="24"/>
          <w:szCs w:val="24"/>
        </w:rPr>
      </w:pPr>
    </w:p>
    <w:p w14:paraId="1FAEA06D" w14:textId="4A6C118A" w:rsidR="00FD0FCD" w:rsidRPr="00B9543D" w:rsidRDefault="00F24738" w:rsidP="00B9543D">
      <w:pPr>
        <w:pStyle w:val="Ttulo2"/>
        <w:spacing w:before="0" w:line="276" w:lineRule="auto"/>
        <w:ind w:left="0"/>
        <w:rPr>
          <w:sz w:val="24"/>
          <w:szCs w:val="24"/>
        </w:rPr>
      </w:pPr>
      <w:r w:rsidRPr="00B9543D">
        <w:rPr>
          <w:sz w:val="24"/>
          <w:szCs w:val="24"/>
        </w:rPr>
        <w:t>C</w:t>
      </w:r>
      <w:r w:rsidR="00143BB8" w:rsidRPr="00B9543D">
        <w:rPr>
          <w:sz w:val="24"/>
          <w:szCs w:val="24"/>
        </w:rPr>
        <w:t>ONSIDERACIONES</w:t>
      </w:r>
    </w:p>
    <w:p w14:paraId="094D470C" w14:textId="77777777" w:rsidR="00FD0FCD" w:rsidRPr="00B9543D" w:rsidRDefault="00FD0FCD" w:rsidP="00B9543D">
      <w:pPr>
        <w:spacing w:line="276" w:lineRule="auto"/>
        <w:rPr>
          <w:b/>
          <w:sz w:val="24"/>
          <w:szCs w:val="24"/>
        </w:rPr>
      </w:pPr>
    </w:p>
    <w:p w14:paraId="6CEF480E" w14:textId="2321286C" w:rsidR="00FD0FCD" w:rsidRPr="00B9543D" w:rsidRDefault="00143BB8" w:rsidP="00B9543D">
      <w:pPr>
        <w:pStyle w:val="Prrafodelista"/>
        <w:numPr>
          <w:ilvl w:val="1"/>
          <w:numId w:val="2"/>
        </w:numPr>
        <w:tabs>
          <w:tab w:val="left" w:pos="284"/>
        </w:tabs>
        <w:spacing w:line="276" w:lineRule="auto"/>
        <w:ind w:left="0" w:right="120" w:firstLine="0"/>
        <w:rPr>
          <w:sz w:val="24"/>
          <w:szCs w:val="24"/>
        </w:rPr>
      </w:pPr>
      <w:r w:rsidRPr="00B9543D">
        <w:rPr>
          <w:sz w:val="24"/>
          <w:szCs w:val="24"/>
        </w:rPr>
        <w:t>Esta Sala unitaria Sala es competente para conocer de</w:t>
      </w:r>
      <w:r w:rsidR="00931E03">
        <w:rPr>
          <w:sz w:val="24"/>
          <w:szCs w:val="24"/>
        </w:rPr>
        <w:t xml:space="preserve"> </w:t>
      </w:r>
      <w:r w:rsidRPr="00B9543D">
        <w:rPr>
          <w:sz w:val="24"/>
          <w:szCs w:val="24"/>
        </w:rPr>
        <w:t>la</w:t>
      </w:r>
      <w:r w:rsidRPr="00B9543D">
        <w:rPr>
          <w:spacing w:val="-1"/>
          <w:sz w:val="24"/>
          <w:szCs w:val="24"/>
        </w:rPr>
        <w:t xml:space="preserve"> </w:t>
      </w:r>
      <w:r w:rsidRPr="00B9543D">
        <w:rPr>
          <w:sz w:val="24"/>
          <w:szCs w:val="24"/>
        </w:rPr>
        <w:t>alzada,</w:t>
      </w:r>
      <w:r w:rsidRPr="00B9543D">
        <w:rPr>
          <w:spacing w:val="-1"/>
          <w:sz w:val="24"/>
          <w:szCs w:val="24"/>
        </w:rPr>
        <w:t xml:space="preserve"> </w:t>
      </w:r>
      <w:r w:rsidRPr="00B9543D">
        <w:rPr>
          <w:sz w:val="24"/>
          <w:szCs w:val="24"/>
        </w:rPr>
        <w:t>en</w:t>
      </w:r>
      <w:r w:rsidRPr="00B9543D">
        <w:rPr>
          <w:spacing w:val="-1"/>
          <w:sz w:val="24"/>
          <w:szCs w:val="24"/>
        </w:rPr>
        <w:t xml:space="preserve"> </w:t>
      </w:r>
      <w:r w:rsidRPr="00B9543D">
        <w:rPr>
          <w:sz w:val="24"/>
          <w:szCs w:val="24"/>
        </w:rPr>
        <w:t>los</w:t>
      </w:r>
      <w:r w:rsidRPr="00B9543D">
        <w:rPr>
          <w:spacing w:val="-3"/>
          <w:sz w:val="24"/>
          <w:szCs w:val="24"/>
        </w:rPr>
        <w:t xml:space="preserve"> </w:t>
      </w:r>
      <w:r w:rsidRPr="00B9543D">
        <w:rPr>
          <w:sz w:val="24"/>
          <w:szCs w:val="24"/>
        </w:rPr>
        <w:t>términos</w:t>
      </w:r>
      <w:r w:rsidRPr="00B9543D">
        <w:rPr>
          <w:spacing w:val="-2"/>
          <w:sz w:val="24"/>
          <w:szCs w:val="24"/>
        </w:rPr>
        <w:t xml:space="preserve"> </w:t>
      </w:r>
      <w:r w:rsidRPr="00B9543D">
        <w:rPr>
          <w:sz w:val="24"/>
          <w:szCs w:val="24"/>
        </w:rPr>
        <w:t>de</w:t>
      </w:r>
      <w:r w:rsidR="00B8613D" w:rsidRPr="00B9543D">
        <w:rPr>
          <w:sz w:val="24"/>
          <w:szCs w:val="24"/>
        </w:rPr>
        <w:t xml:space="preserve"> los artículos 31 y 35 del </w:t>
      </w:r>
      <w:r w:rsidRPr="00B9543D">
        <w:rPr>
          <w:sz w:val="24"/>
          <w:szCs w:val="24"/>
        </w:rPr>
        <w:t>CGP.</w:t>
      </w:r>
    </w:p>
    <w:p w14:paraId="32AC3227" w14:textId="77777777" w:rsidR="00FD0FCD" w:rsidRPr="00B9543D" w:rsidRDefault="00FD0FCD" w:rsidP="00B9543D">
      <w:pPr>
        <w:spacing w:line="276" w:lineRule="auto"/>
        <w:rPr>
          <w:sz w:val="24"/>
          <w:szCs w:val="24"/>
        </w:rPr>
      </w:pPr>
    </w:p>
    <w:p w14:paraId="130CDFC2" w14:textId="5D912152" w:rsidR="00FD0FCD" w:rsidRPr="00B9543D" w:rsidRDefault="00143BB8" w:rsidP="00B9543D">
      <w:pPr>
        <w:pStyle w:val="Textoindependiente"/>
        <w:spacing w:line="276" w:lineRule="auto"/>
        <w:ind w:right="116"/>
        <w:jc w:val="both"/>
        <w:rPr>
          <w:rFonts w:ascii="Gadugi" w:hAnsi="Gadugi"/>
          <w:sz w:val="24"/>
          <w:szCs w:val="24"/>
        </w:rPr>
      </w:pPr>
      <w:r w:rsidRPr="00B9543D">
        <w:rPr>
          <w:rFonts w:ascii="Gadugi" w:hAnsi="Gadugi"/>
          <w:sz w:val="24"/>
          <w:szCs w:val="24"/>
        </w:rPr>
        <w:lastRenderedPageBreak/>
        <w:t>Además,</w:t>
      </w:r>
      <w:r w:rsidRPr="00B9543D">
        <w:rPr>
          <w:rFonts w:ascii="Gadugi" w:hAnsi="Gadugi"/>
          <w:spacing w:val="1"/>
          <w:sz w:val="24"/>
          <w:szCs w:val="24"/>
        </w:rPr>
        <w:t xml:space="preserve"> </w:t>
      </w:r>
      <w:r w:rsidRPr="00B9543D">
        <w:rPr>
          <w:rFonts w:ascii="Gadugi" w:hAnsi="Gadugi"/>
          <w:sz w:val="24"/>
          <w:szCs w:val="24"/>
        </w:rPr>
        <w:t>el</w:t>
      </w:r>
      <w:r w:rsidRPr="00B9543D">
        <w:rPr>
          <w:rFonts w:ascii="Gadugi" w:hAnsi="Gadugi"/>
          <w:spacing w:val="1"/>
          <w:sz w:val="24"/>
          <w:szCs w:val="24"/>
        </w:rPr>
        <w:t xml:space="preserve"> </w:t>
      </w:r>
      <w:r w:rsidRPr="00B9543D">
        <w:rPr>
          <w:rFonts w:ascii="Gadugi" w:hAnsi="Gadugi"/>
          <w:sz w:val="24"/>
          <w:szCs w:val="24"/>
        </w:rPr>
        <w:t>recurso</w:t>
      </w:r>
      <w:r w:rsidRPr="00B9543D">
        <w:rPr>
          <w:rFonts w:ascii="Gadugi" w:hAnsi="Gadugi"/>
          <w:spacing w:val="1"/>
          <w:sz w:val="24"/>
          <w:szCs w:val="24"/>
        </w:rPr>
        <w:t xml:space="preserve"> </w:t>
      </w:r>
      <w:r w:rsidRPr="00B9543D">
        <w:rPr>
          <w:rFonts w:ascii="Gadugi" w:hAnsi="Gadugi"/>
          <w:sz w:val="24"/>
          <w:szCs w:val="24"/>
        </w:rPr>
        <w:t>es</w:t>
      </w:r>
      <w:r w:rsidRPr="00B9543D">
        <w:rPr>
          <w:rFonts w:ascii="Gadugi" w:hAnsi="Gadugi"/>
          <w:spacing w:val="1"/>
          <w:sz w:val="24"/>
          <w:szCs w:val="24"/>
        </w:rPr>
        <w:t xml:space="preserve"> </w:t>
      </w:r>
      <w:r w:rsidRPr="00B9543D">
        <w:rPr>
          <w:rFonts w:ascii="Gadugi" w:hAnsi="Gadugi"/>
          <w:sz w:val="24"/>
          <w:szCs w:val="24"/>
        </w:rPr>
        <w:t>procedente,</w:t>
      </w:r>
      <w:r w:rsidRPr="00B9543D">
        <w:rPr>
          <w:rFonts w:ascii="Gadugi" w:hAnsi="Gadugi"/>
          <w:spacing w:val="1"/>
          <w:sz w:val="24"/>
          <w:szCs w:val="24"/>
        </w:rPr>
        <w:t xml:space="preserve"> </w:t>
      </w:r>
      <w:r w:rsidRPr="00B9543D">
        <w:rPr>
          <w:rFonts w:ascii="Gadugi" w:hAnsi="Gadugi"/>
          <w:sz w:val="24"/>
          <w:szCs w:val="24"/>
        </w:rPr>
        <w:t>según</w:t>
      </w:r>
      <w:r w:rsidRPr="00B9543D">
        <w:rPr>
          <w:rFonts w:ascii="Gadugi" w:hAnsi="Gadugi"/>
          <w:spacing w:val="1"/>
          <w:sz w:val="24"/>
          <w:szCs w:val="24"/>
        </w:rPr>
        <w:t xml:space="preserve"> </w:t>
      </w:r>
      <w:r w:rsidRPr="00B9543D">
        <w:rPr>
          <w:rFonts w:ascii="Gadugi" w:hAnsi="Gadugi"/>
          <w:sz w:val="24"/>
          <w:szCs w:val="24"/>
        </w:rPr>
        <w:t>establece</w:t>
      </w:r>
      <w:r w:rsidRPr="00B9543D">
        <w:rPr>
          <w:rFonts w:ascii="Gadugi" w:hAnsi="Gadugi"/>
          <w:spacing w:val="1"/>
          <w:sz w:val="24"/>
          <w:szCs w:val="24"/>
        </w:rPr>
        <w:t xml:space="preserve"> </w:t>
      </w:r>
      <w:r w:rsidRPr="00B9543D">
        <w:rPr>
          <w:rFonts w:ascii="Gadugi" w:hAnsi="Gadugi"/>
          <w:sz w:val="24"/>
          <w:szCs w:val="24"/>
        </w:rPr>
        <w:t xml:space="preserve">el </w:t>
      </w:r>
      <w:r w:rsidRPr="00B9543D">
        <w:rPr>
          <w:rFonts w:ascii="Gadugi" w:hAnsi="Gadugi"/>
          <w:spacing w:val="-74"/>
          <w:sz w:val="24"/>
          <w:szCs w:val="24"/>
        </w:rPr>
        <w:t xml:space="preserve"> </w:t>
      </w:r>
      <w:r w:rsidR="00B8613D" w:rsidRPr="00B9543D">
        <w:rPr>
          <w:rFonts w:ascii="Gadugi" w:hAnsi="Gadugi"/>
          <w:spacing w:val="-74"/>
          <w:sz w:val="24"/>
          <w:szCs w:val="24"/>
        </w:rPr>
        <w:t xml:space="preserve">   </w:t>
      </w:r>
      <w:r w:rsidRPr="00B9543D">
        <w:rPr>
          <w:rFonts w:ascii="Gadugi" w:hAnsi="Gadugi"/>
          <w:spacing w:val="-74"/>
          <w:sz w:val="24"/>
          <w:szCs w:val="24"/>
        </w:rPr>
        <w:t xml:space="preserve"> </w:t>
      </w:r>
      <w:r w:rsidRPr="00B9543D">
        <w:rPr>
          <w:rFonts w:ascii="Gadugi" w:hAnsi="Gadugi"/>
          <w:sz w:val="24"/>
          <w:szCs w:val="24"/>
        </w:rPr>
        <w:t>literal e) del inciso segundo del artículo 317 del mismo estatuto, fue</w:t>
      </w:r>
      <w:r w:rsidRPr="00B9543D">
        <w:rPr>
          <w:rFonts w:ascii="Gadugi" w:hAnsi="Gadugi"/>
          <w:spacing w:val="1"/>
          <w:sz w:val="24"/>
          <w:szCs w:val="24"/>
        </w:rPr>
        <w:t xml:space="preserve"> </w:t>
      </w:r>
      <w:r w:rsidRPr="00B9543D">
        <w:rPr>
          <w:rFonts w:ascii="Gadugi" w:hAnsi="Gadugi"/>
          <w:sz w:val="24"/>
          <w:szCs w:val="24"/>
        </w:rPr>
        <w:t>propuesto</w:t>
      </w:r>
      <w:r w:rsidRPr="00B9543D">
        <w:rPr>
          <w:rFonts w:ascii="Gadugi" w:hAnsi="Gadugi"/>
          <w:spacing w:val="1"/>
          <w:sz w:val="24"/>
          <w:szCs w:val="24"/>
        </w:rPr>
        <w:t xml:space="preserve"> </w:t>
      </w:r>
      <w:r w:rsidRPr="00B9543D">
        <w:rPr>
          <w:rFonts w:ascii="Gadugi" w:hAnsi="Gadugi"/>
          <w:sz w:val="24"/>
          <w:szCs w:val="24"/>
        </w:rPr>
        <w:t>oportunamente,</w:t>
      </w:r>
      <w:r w:rsidRPr="00B9543D">
        <w:rPr>
          <w:rFonts w:ascii="Gadugi" w:hAnsi="Gadugi"/>
          <w:spacing w:val="1"/>
          <w:sz w:val="24"/>
          <w:szCs w:val="24"/>
        </w:rPr>
        <w:t xml:space="preserve"> </w:t>
      </w:r>
      <w:r w:rsidRPr="00B9543D">
        <w:rPr>
          <w:rFonts w:ascii="Gadugi" w:hAnsi="Gadugi"/>
          <w:sz w:val="24"/>
          <w:szCs w:val="24"/>
        </w:rPr>
        <w:t>por</w:t>
      </w:r>
      <w:r w:rsidRPr="00B9543D">
        <w:rPr>
          <w:rFonts w:ascii="Gadugi" w:hAnsi="Gadugi"/>
          <w:spacing w:val="1"/>
          <w:sz w:val="24"/>
          <w:szCs w:val="24"/>
        </w:rPr>
        <w:t xml:space="preserve"> </w:t>
      </w:r>
      <w:r w:rsidRPr="00B9543D">
        <w:rPr>
          <w:rFonts w:ascii="Gadugi" w:hAnsi="Gadugi"/>
          <w:sz w:val="24"/>
          <w:szCs w:val="24"/>
        </w:rPr>
        <w:t>la</w:t>
      </w:r>
      <w:r w:rsidRPr="00B9543D">
        <w:rPr>
          <w:rFonts w:ascii="Gadugi" w:hAnsi="Gadugi"/>
          <w:spacing w:val="1"/>
          <w:sz w:val="24"/>
          <w:szCs w:val="24"/>
        </w:rPr>
        <w:t xml:space="preserve"> </w:t>
      </w:r>
      <w:r w:rsidRPr="00B9543D">
        <w:rPr>
          <w:rFonts w:ascii="Gadugi" w:hAnsi="Gadugi"/>
          <w:sz w:val="24"/>
          <w:szCs w:val="24"/>
        </w:rPr>
        <w:t>parte</w:t>
      </w:r>
      <w:r w:rsidRPr="00B9543D">
        <w:rPr>
          <w:rFonts w:ascii="Gadugi" w:hAnsi="Gadugi"/>
          <w:spacing w:val="1"/>
          <w:sz w:val="24"/>
          <w:szCs w:val="24"/>
        </w:rPr>
        <w:t xml:space="preserve"> </w:t>
      </w:r>
      <w:r w:rsidRPr="00B9543D">
        <w:rPr>
          <w:rFonts w:ascii="Gadugi" w:hAnsi="Gadugi"/>
          <w:sz w:val="24"/>
          <w:szCs w:val="24"/>
        </w:rPr>
        <w:t>legitimada</w:t>
      </w:r>
      <w:r w:rsidRPr="00B9543D">
        <w:rPr>
          <w:rFonts w:ascii="Gadugi" w:hAnsi="Gadugi"/>
          <w:spacing w:val="1"/>
          <w:sz w:val="24"/>
          <w:szCs w:val="24"/>
        </w:rPr>
        <w:t xml:space="preserve"> </w:t>
      </w:r>
      <w:r w:rsidRPr="00B9543D">
        <w:rPr>
          <w:rFonts w:ascii="Gadugi" w:hAnsi="Gadugi"/>
          <w:sz w:val="24"/>
          <w:szCs w:val="24"/>
        </w:rPr>
        <w:t>para</w:t>
      </w:r>
      <w:r w:rsidRPr="00B9543D">
        <w:rPr>
          <w:rFonts w:ascii="Gadugi" w:hAnsi="Gadugi"/>
          <w:spacing w:val="1"/>
          <w:sz w:val="24"/>
          <w:szCs w:val="24"/>
        </w:rPr>
        <w:t xml:space="preserve"> </w:t>
      </w:r>
      <w:r w:rsidRPr="00B9543D">
        <w:rPr>
          <w:rFonts w:ascii="Gadugi" w:hAnsi="Gadugi"/>
          <w:sz w:val="24"/>
          <w:szCs w:val="24"/>
        </w:rPr>
        <w:t>ello</w:t>
      </w:r>
      <w:r w:rsidRPr="00B9543D">
        <w:rPr>
          <w:rFonts w:ascii="Gadugi" w:hAnsi="Gadugi"/>
          <w:spacing w:val="1"/>
          <w:sz w:val="24"/>
          <w:szCs w:val="24"/>
        </w:rPr>
        <w:t xml:space="preserve"> </w:t>
      </w:r>
      <w:r w:rsidRPr="00B9543D">
        <w:rPr>
          <w:rFonts w:ascii="Gadugi" w:hAnsi="Gadugi"/>
          <w:sz w:val="24"/>
          <w:szCs w:val="24"/>
        </w:rPr>
        <w:t>y</w:t>
      </w:r>
      <w:r w:rsidRPr="00B9543D">
        <w:rPr>
          <w:rFonts w:ascii="Gadugi" w:hAnsi="Gadugi"/>
          <w:spacing w:val="1"/>
          <w:sz w:val="24"/>
          <w:szCs w:val="24"/>
        </w:rPr>
        <w:t xml:space="preserve"> </w:t>
      </w:r>
      <w:r w:rsidRPr="00B9543D">
        <w:rPr>
          <w:rFonts w:ascii="Gadugi" w:hAnsi="Gadugi"/>
          <w:sz w:val="24"/>
          <w:szCs w:val="24"/>
        </w:rPr>
        <w:t>se</w:t>
      </w:r>
      <w:r w:rsidRPr="00B9543D">
        <w:rPr>
          <w:rFonts w:ascii="Gadugi" w:hAnsi="Gadugi"/>
          <w:spacing w:val="1"/>
          <w:sz w:val="24"/>
          <w:szCs w:val="24"/>
        </w:rPr>
        <w:t xml:space="preserve"> </w:t>
      </w:r>
      <w:r w:rsidRPr="00B9543D">
        <w:rPr>
          <w:rFonts w:ascii="Gadugi" w:hAnsi="Gadugi"/>
          <w:sz w:val="24"/>
          <w:szCs w:val="24"/>
        </w:rPr>
        <w:t>sustentó</w:t>
      </w:r>
      <w:r w:rsidRPr="00B9543D">
        <w:rPr>
          <w:rFonts w:ascii="Gadugi" w:hAnsi="Gadugi"/>
          <w:spacing w:val="-1"/>
          <w:sz w:val="24"/>
          <w:szCs w:val="24"/>
        </w:rPr>
        <w:t xml:space="preserve"> </w:t>
      </w:r>
      <w:r w:rsidR="003B6542" w:rsidRPr="00B9543D">
        <w:rPr>
          <w:rFonts w:ascii="Gadugi" w:hAnsi="Gadugi"/>
          <w:spacing w:val="-1"/>
          <w:sz w:val="24"/>
          <w:szCs w:val="24"/>
        </w:rPr>
        <w:t>en tiempo</w:t>
      </w:r>
      <w:r w:rsidRPr="00B9543D">
        <w:rPr>
          <w:rFonts w:ascii="Gadugi" w:hAnsi="Gadugi"/>
          <w:sz w:val="24"/>
          <w:szCs w:val="24"/>
        </w:rPr>
        <w:t>.</w:t>
      </w:r>
    </w:p>
    <w:p w14:paraId="6FF0C3EE" w14:textId="77777777" w:rsidR="00FD0FCD" w:rsidRPr="00B9543D" w:rsidRDefault="00FD0FCD" w:rsidP="00B9543D">
      <w:pPr>
        <w:spacing w:line="276" w:lineRule="auto"/>
        <w:rPr>
          <w:sz w:val="24"/>
          <w:szCs w:val="24"/>
        </w:rPr>
      </w:pPr>
    </w:p>
    <w:p w14:paraId="318A0E5D" w14:textId="333C8225" w:rsidR="003B6542" w:rsidRPr="00C1470E" w:rsidRDefault="00143BB8" w:rsidP="00931E03">
      <w:pPr>
        <w:pStyle w:val="Prrafodelista"/>
        <w:numPr>
          <w:ilvl w:val="1"/>
          <w:numId w:val="2"/>
        </w:numPr>
        <w:tabs>
          <w:tab w:val="left" w:pos="284"/>
          <w:tab w:val="left" w:pos="2227"/>
        </w:tabs>
        <w:spacing w:line="276" w:lineRule="auto"/>
        <w:ind w:left="0" w:firstLine="0"/>
        <w:rPr>
          <w:spacing w:val="-1"/>
          <w:sz w:val="24"/>
          <w:szCs w:val="24"/>
        </w:rPr>
      </w:pPr>
      <w:r w:rsidRPr="00B9543D">
        <w:rPr>
          <w:sz w:val="24"/>
          <w:szCs w:val="24"/>
        </w:rPr>
        <w:t>El problema que debe afrontar la Sala es si confirma la</w:t>
      </w:r>
      <w:r w:rsidR="00931E03">
        <w:rPr>
          <w:sz w:val="24"/>
          <w:szCs w:val="24"/>
        </w:rPr>
        <w:t xml:space="preserve"> </w:t>
      </w:r>
      <w:r w:rsidRPr="00B9543D">
        <w:rPr>
          <w:sz w:val="24"/>
          <w:szCs w:val="24"/>
        </w:rPr>
        <w:t xml:space="preserve">providencia que </w:t>
      </w:r>
      <w:r w:rsidR="003B6542" w:rsidRPr="00B9543D">
        <w:rPr>
          <w:sz w:val="24"/>
          <w:szCs w:val="24"/>
        </w:rPr>
        <w:t xml:space="preserve">negó la aplicación del desistimiento tácito, </w:t>
      </w:r>
      <w:r w:rsidRPr="00B9543D">
        <w:rPr>
          <w:sz w:val="24"/>
          <w:szCs w:val="24"/>
        </w:rPr>
        <w:t>pues según la tesis del</w:t>
      </w:r>
      <w:r w:rsidRPr="00B9543D">
        <w:rPr>
          <w:spacing w:val="1"/>
          <w:sz w:val="24"/>
          <w:szCs w:val="24"/>
        </w:rPr>
        <w:t xml:space="preserve"> </w:t>
      </w:r>
      <w:r w:rsidRPr="00B9543D">
        <w:rPr>
          <w:sz w:val="24"/>
          <w:szCs w:val="24"/>
        </w:rPr>
        <w:t>juzgado</w:t>
      </w:r>
      <w:r w:rsidR="003B6542" w:rsidRPr="00B9543D">
        <w:rPr>
          <w:sz w:val="24"/>
          <w:szCs w:val="24"/>
        </w:rPr>
        <w:t xml:space="preserve">, el término concedido a la parte ejecutante para realizar una gestión, no se superó. O si se revoca, </w:t>
      </w:r>
      <w:r w:rsidRPr="00B9543D">
        <w:rPr>
          <w:sz w:val="24"/>
          <w:szCs w:val="24"/>
        </w:rPr>
        <w:t>como</w:t>
      </w:r>
      <w:r w:rsidRPr="00B9543D">
        <w:rPr>
          <w:spacing w:val="1"/>
          <w:sz w:val="24"/>
          <w:szCs w:val="24"/>
        </w:rPr>
        <w:t xml:space="preserve"> </w:t>
      </w:r>
      <w:r w:rsidRPr="00B9543D">
        <w:rPr>
          <w:sz w:val="24"/>
          <w:szCs w:val="24"/>
        </w:rPr>
        <w:t>pretende</w:t>
      </w:r>
      <w:r w:rsidR="003139E7" w:rsidRPr="00B9543D">
        <w:rPr>
          <w:sz w:val="24"/>
          <w:szCs w:val="24"/>
        </w:rPr>
        <w:t xml:space="preserve"> </w:t>
      </w:r>
      <w:r w:rsidR="003B6542" w:rsidRPr="00B9543D">
        <w:rPr>
          <w:sz w:val="24"/>
          <w:szCs w:val="24"/>
        </w:rPr>
        <w:t>la demandada, por cuanto la actuación de aquella fue negligente.</w:t>
      </w:r>
    </w:p>
    <w:p w14:paraId="335982CF" w14:textId="77777777" w:rsidR="00C1470E" w:rsidRPr="00B9543D" w:rsidRDefault="00C1470E" w:rsidP="00C1470E">
      <w:pPr>
        <w:pStyle w:val="Prrafodelista"/>
        <w:tabs>
          <w:tab w:val="left" w:pos="284"/>
          <w:tab w:val="left" w:pos="2227"/>
        </w:tabs>
        <w:spacing w:line="276" w:lineRule="auto"/>
        <w:ind w:left="0" w:firstLine="0"/>
        <w:rPr>
          <w:spacing w:val="-1"/>
          <w:sz w:val="24"/>
          <w:szCs w:val="24"/>
        </w:rPr>
      </w:pPr>
    </w:p>
    <w:p w14:paraId="440EA279" w14:textId="79A0326B" w:rsidR="003B6542" w:rsidRPr="00B9543D" w:rsidRDefault="003B6542" w:rsidP="00B9543D">
      <w:pPr>
        <w:pStyle w:val="Prrafodelista"/>
        <w:numPr>
          <w:ilvl w:val="1"/>
          <w:numId w:val="2"/>
        </w:numPr>
        <w:tabs>
          <w:tab w:val="left" w:pos="284"/>
        </w:tabs>
        <w:spacing w:line="276" w:lineRule="auto"/>
        <w:ind w:left="0" w:right="51" w:firstLine="0"/>
        <w:rPr>
          <w:sz w:val="24"/>
          <w:szCs w:val="24"/>
        </w:rPr>
      </w:pPr>
      <w:r w:rsidRPr="00B9543D">
        <w:rPr>
          <w:sz w:val="24"/>
          <w:szCs w:val="24"/>
        </w:rPr>
        <w:t>De entra</w:t>
      </w:r>
      <w:r w:rsidR="00FE6981" w:rsidRPr="00B9543D">
        <w:rPr>
          <w:sz w:val="24"/>
          <w:szCs w:val="24"/>
        </w:rPr>
        <w:t>da</w:t>
      </w:r>
      <w:r w:rsidRPr="00B9543D">
        <w:rPr>
          <w:sz w:val="24"/>
          <w:szCs w:val="24"/>
        </w:rPr>
        <w:t xml:space="preserve"> se advierte que la providencia será confirmada, porque no se cumplieron los supuestos de la norma para declarar el desistimiento tácito. </w:t>
      </w:r>
    </w:p>
    <w:p w14:paraId="007BD580" w14:textId="77777777" w:rsidR="003B6542" w:rsidRPr="00B9543D" w:rsidRDefault="003B6542" w:rsidP="00B9543D">
      <w:pPr>
        <w:pStyle w:val="Prrafodelista"/>
        <w:spacing w:line="276" w:lineRule="auto"/>
        <w:rPr>
          <w:sz w:val="24"/>
          <w:szCs w:val="24"/>
        </w:rPr>
      </w:pPr>
    </w:p>
    <w:p w14:paraId="598042C1" w14:textId="6B661BC7" w:rsidR="00D218EC" w:rsidRPr="00B9543D" w:rsidRDefault="003139E7" w:rsidP="00B9543D">
      <w:pPr>
        <w:pStyle w:val="Prrafodelista"/>
        <w:tabs>
          <w:tab w:val="left" w:pos="284"/>
        </w:tabs>
        <w:spacing w:line="276" w:lineRule="auto"/>
        <w:ind w:left="0" w:right="51" w:firstLine="0"/>
        <w:rPr>
          <w:sz w:val="24"/>
          <w:szCs w:val="24"/>
        </w:rPr>
      </w:pPr>
      <w:r w:rsidRPr="00B9543D">
        <w:rPr>
          <w:sz w:val="24"/>
          <w:szCs w:val="24"/>
        </w:rPr>
        <w:t xml:space="preserve">Sobre </w:t>
      </w:r>
      <w:r w:rsidR="00FE6981" w:rsidRPr="00B9543D">
        <w:rPr>
          <w:sz w:val="24"/>
          <w:szCs w:val="24"/>
        </w:rPr>
        <w:t>esta figura</w:t>
      </w:r>
      <w:r w:rsidRPr="00B9543D">
        <w:rPr>
          <w:sz w:val="24"/>
          <w:szCs w:val="24"/>
        </w:rPr>
        <w:t xml:space="preserve">, </w:t>
      </w:r>
      <w:r w:rsidR="00837EEB" w:rsidRPr="00B9543D">
        <w:rPr>
          <w:sz w:val="24"/>
          <w:szCs w:val="24"/>
        </w:rPr>
        <w:t>t</w:t>
      </w:r>
      <w:r w:rsidR="00143BB8" w:rsidRPr="00B9543D">
        <w:rPr>
          <w:sz w:val="24"/>
          <w:szCs w:val="24"/>
        </w:rPr>
        <w:t>iene</w:t>
      </w:r>
      <w:r w:rsidR="00143BB8" w:rsidRPr="00B9543D">
        <w:rPr>
          <w:spacing w:val="1"/>
          <w:sz w:val="24"/>
          <w:szCs w:val="24"/>
        </w:rPr>
        <w:t xml:space="preserve"> </w:t>
      </w:r>
      <w:r w:rsidR="00143BB8" w:rsidRPr="00B9543D">
        <w:rPr>
          <w:sz w:val="24"/>
          <w:szCs w:val="24"/>
        </w:rPr>
        <w:t>dicho</w:t>
      </w:r>
      <w:r w:rsidR="00143BB8" w:rsidRPr="00B9543D">
        <w:rPr>
          <w:spacing w:val="1"/>
          <w:sz w:val="24"/>
          <w:szCs w:val="24"/>
        </w:rPr>
        <w:t xml:space="preserve"> </w:t>
      </w:r>
      <w:r w:rsidR="00143BB8" w:rsidRPr="00B9543D">
        <w:rPr>
          <w:sz w:val="24"/>
          <w:szCs w:val="24"/>
        </w:rPr>
        <w:t>esta</w:t>
      </w:r>
      <w:r w:rsidR="00143BB8" w:rsidRPr="00B9543D">
        <w:rPr>
          <w:spacing w:val="1"/>
          <w:sz w:val="24"/>
          <w:szCs w:val="24"/>
        </w:rPr>
        <w:t xml:space="preserve"> </w:t>
      </w:r>
      <w:r w:rsidR="00143BB8" w:rsidRPr="00B9543D">
        <w:rPr>
          <w:sz w:val="24"/>
          <w:szCs w:val="24"/>
        </w:rPr>
        <w:t>Sala</w:t>
      </w:r>
      <w:r w:rsidR="00993E58" w:rsidRPr="00B9543D">
        <w:rPr>
          <w:rStyle w:val="Refdenotaalpie"/>
          <w:sz w:val="24"/>
          <w:szCs w:val="24"/>
        </w:rPr>
        <w:footnoteReference w:id="9"/>
      </w:r>
      <w:r w:rsidR="00143BB8" w:rsidRPr="00B9543D">
        <w:rPr>
          <w:sz w:val="24"/>
          <w:szCs w:val="24"/>
        </w:rPr>
        <w:t>,</w:t>
      </w:r>
      <w:r w:rsidR="00143BB8" w:rsidRPr="00B9543D">
        <w:rPr>
          <w:spacing w:val="1"/>
          <w:sz w:val="24"/>
          <w:szCs w:val="24"/>
        </w:rPr>
        <w:t xml:space="preserve"> </w:t>
      </w:r>
      <w:r w:rsidR="00837EEB" w:rsidRPr="00B9543D">
        <w:rPr>
          <w:spacing w:val="1"/>
          <w:sz w:val="24"/>
          <w:szCs w:val="24"/>
        </w:rPr>
        <w:t>que se traduce en una especie de sanción a cargo de la parte que actúa con desidia en el proceso</w:t>
      </w:r>
      <w:r w:rsidR="00416AF1" w:rsidRPr="00B9543D">
        <w:rPr>
          <w:spacing w:val="1"/>
          <w:sz w:val="24"/>
          <w:szCs w:val="24"/>
        </w:rPr>
        <w:t xml:space="preserve">. Y </w:t>
      </w:r>
      <w:r w:rsidR="00E41B22" w:rsidRPr="00B9543D">
        <w:rPr>
          <w:spacing w:val="1"/>
          <w:sz w:val="24"/>
          <w:szCs w:val="24"/>
        </w:rPr>
        <w:t>ha sido diseñado en el CGP desde dos aristas, que recogen lo que en estatutos y normat</w:t>
      </w:r>
      <w:r w:rsidR="00D218EC" w:rsidRPr="00B9543D">
        <w:rPr>
          <w:spacing w:val="1"/>
          <w:sz w:val="24"/>
          <w:szCs w:val="24"/>
        </w:rPr>
        <w:t>ivas anteriores se manejaba bajo los términos de perención inicialmente, y de desistimiento tácito después.</w:t>
      </w:r>
    </w:p>
    <w:p w14:paraId="1A6077E7" w14:textId="77777777" w:rsidR="00D218EC" w:rsidRPr="00B9543D" w:rsidRDefault="00D218EC" w:rsidP="00B9543D">
      <w:pPr>
        <w:pStyle w:val="Prrafodelista"/>
        <w:spacing w:line="276" w:lineRule="auto"/>
        <w:ind w:firstLine="0"/>
        <w:rPr>
          <w:sz w:val="24"/>
          <w:szCs w:val="24"/>
        </w:rPr>
      </w:pPr>
    </w:p>
    <w:p w14:paraId="422538CC" w14:textId="2644296D" w:rsidR="00D218EC" w:rsidRPr="00B9543D" w:rsidRDefault="00D218EC" w:rsidP="00B9543D">
      <w:pPr>
        <w:tabs>
          <w:tab w:val="left" w:pos="2227"/>
        </w:tabs>
        <w:spacing w:line="276" w:lineRule="auto"/>
        <w:ind w:right="51"/>
        <w:jc w:val="both"/>
        <w:rPr>
          <w:sz w:val="24"/>
          <w:szCs w:val="24"/>
        </w:rPr>
      </w:pPr>
      <w:r w:rsidRPr="00B9543D">
        <w:rPr>
          <w:sz w:val="24"/>
          <w:szCs w:val="24"/>
        </w:rPr>
        <w:t xml:space="preserve">La primera </w:t>
      </w:r>
      <w:r w:rsidR="009C7AA6" w:rsidRPr="00B9543D">
        <w:rPr>
          <w:sz w:val="24"/>
          <w:szCs w:val="24"/>
        </w:rPr>
        <w:t>forma</w:t>
      </w:r>
      <w:r w:rsidRPr="00B9543D">
        <w:rPr>
          <w:sz w:val="24"/>
          <w:szCs w:val="24"/>
        </w:rPr>
        <w:t xml:space="preserve">, que es la que aquí nos interesa, está prevista en el primer numeral del artículo 317 del CGP, en virtud del cual: </w:t>
      </w:r>
    </w:p>
    <w:p w14:paraId="1C72E98A" w14:textId="77777777" w:rsidR="00D218EC" w:rsidRPr="00B9543D" w:rsidRDefault="00D218EC" w:rsidP="00B9543D">
      <w:pPr>
        <w:tabs>
          <w:tab w:val="left" w:pos="2227"/>
        </w:tabs>
        <w:spacing w:line="276" w:lineRule="auto"/>
        <w:ind w:right="51"/>
        <w:jc w:val="both"/>
        <w:rPr>
          <w:sz w:val="24"/>
          <w:szCs w:val="24"/>
        </w:rPr>
      </w:pPr>
    </w:p>
    <w:p w14:paraId="2C428554" w14:textId="789386B5" w:rsidR="00D218EC" w:rsidRPr="00956909" w:rsidRDefault="00075B2F" w:rsidP="00956909">
      <w:pPr>
        <w:tabs>
          <w:tab w:val="left" w:pos="851"/>
          <w:tab w:val="left" w:pos="2227"/>
        </w:tabs>
        <w:ind w:left="426" w:right="420"/>
        <w:jc w:val="both"/>
        <w:rPr>
          <w:rFonts w:eastAsia="Times New Roman" w:cs="Open Sans"/>
          <w:szCs w:val="24"/>
          <w:lang w:val="es-419"/>
        </w:rPr>
      </w:pPr>
      <w:r>
        <w:rPr>
          <w:rFonts w:cs="Open Sans"/>
          <w:szCs w:val="24"/>
        </w:rPr>
        <w:t>“</w:t>
      </w:r>
      <w:r w:rsidR="00D218EC" w:rsidRPr="00956909">
        <w:rPr>
          <w:rFonts w:cs="Open Sans"/>
          <w:szCs w:val="24"/>
        </w:rPr>
        <w:t>1.</w:t>
      </w:r>
      <w:r w:rsidR="009C7AA6" w:rsidRPr="00956909">
        <w:rPr>
          <w:rFonts w:cs="Open Sans"/>
          <w:szCs w:val="24"/>
        </w:rPr>
        <w:t xml:space="preserve"> </w:t>
      </w:r>
      <w:r w:rsidR="00D218EC" w:rsidRPr="00956909">
        <w:rPr>
          <w:rFonts w:cs="Open Sans"/>
          <w:szCs w:val="24"/>
        </w:rPr>
        <w:t>Cuando para continuar el trámite de la demanda, del llamamiento en garantía, de un incidente o de cualquiera otra actuación promovida a instancia de parte, se requiera el cumplimiento de una carga procesal o de un acto de la parte que haya formulado aquella o promovido estos, el juez le ordenará cumplirlo dentro de los treinta (30) días siguientes mediante providencia que se notificará por estado.</w:t>
      </w:r>
    </w:p>
    <w:p w14:paraId="1A971E33" w14:textId="77777777" w:rsidR="00931E03" w:rsidRPr="00956909" w:rsidRDefault="00931E03" w:rsidP="00956909">
      <w:pPr>
        <w:pStyle w:val="NormalWeb"/>
        <w:spacing w:before="0" w:beforeAutospacing="0" w:after="0" w:afterAutospacing="0"/>
        <w:ind w:left="426" w:right="420"/>
        <w:jc w:val="both"/>
        <w:rPr>
          <w:rFonts w:ascii="Gadugi" w:hAnsi="Gadugi" w:cs="Open Sans"/>
          <w:sz w:val="22"/>
        </w:rPr>
      </w:pPr>
    </w:p>
    <w:p w14:paraId="5DAA171B" w14:textId="14AFA607" w:rsidR="003A3C3D" w:rsidRPr="00956909" w:rsidRDefault="00075B2F" w:rsidP="00956909">
      <w:pPr>
        <w:pStyle w:val="NormalWeb"/>
        <w:spacing w:before="0" w:beforeAutospacing="0" w:after="0" w:afterAutospacing="0"/>
        <w:ind w:left="426" w:right="420"/>
        <w:jc w:val="both"/>
        <w:rPr>
          <w:rFonts w:ascii="Gadugi" w:hAnsi="Gadugi" w:cs="Open Sans"/>
          <w:sz w:val="22"/>
        </w:rPr>
      </w:pPr>
      <w:r>
        <w:rPr>
          <w:rFonts w:ascii="Gadugi" w:hAnsi="Gadugi" w:cs="Open Sans"/>
          <w:sz w:val="22"/>
        </w:rPr>
        <w:t>“</w:t>
      </w:r>
      <w:r w:rsidR="00D218EC" w:rsidRPr="00956909">
        <w:rPr>
          <w:rFonts w:ascii="Gadugi" w:hAnsi="Gadugi" w:cs="Open Sans"/>
          <w:sz w:val="22"/>
        </w:rPr>
        <w:t>Vencido dicho término sin que quien haya promovido el trámite respectivo cumpla la carga o realice el acto de parte ordenado, el juez tendrá por desistida tácitamente la respectiva actuación y así lo declarará en providencia en la que además impondrá condena en costas</w:t>
      </w:r>
      <w:r>
        <w:rPr>
          <w:rFonts w:ascii="Gadugi" w:hAnsi="Gadugi" w:cs="Open Sans"/>
          <w:sz w:val="22"/>
        </w:rPr>
        <w:t>”</w:t>
      </w:r>
      <w:r w:rsidR="00D218EC" w:rsidRPr="00956909">
        <w:rPr>
          <w:rFonts w:ascii="Gadugi" w:hAnsi="Gadugi" w:cs="Open Sans"/>
          <w:sz w:val="22"/>
        </w:rPr>
        <w:t>.</w:t>
      </w:r>
    </w:p>
    <w:p w14:paraId="26607306" w14:textId="77777777" w:rsidR="003B6542" w:rsidRPr="00B9543D" w:rsidRDefault="003B6542" w:rsidP="00B9543D">
      <w:pPr>
        <w:pStyle w:val="Prrafodelista"/>
        <w:spacing w:line="276" w:lineRule="auto"/>
        <w:ind w:left="0" w:firstLine="0"/>
        <w:rPr>
          <w:sz w:val="24"/>
          <w:szCs w:val="24"/>
        </w:rPr>
      </w:pPr>
    </w:p>
    <w:p w14:paraId="1D335B75" w14:textId="77777777" w:rsidR="003B6542" w:rsidRPr="00B9543D" w:rsidRDefault="003B6542" w:rsidP="00B9543D">
      <w:pPr>
        <w:pStyle w:val="Prrafodelista"/>
        <w:spacing w:line="276" w:lineRule="auto"/>
        <w:ind w:left="0" w:firstLine="0"/>
        <w:rPr>
          <w:sz w:val="24"/>
          <w:szCs w:val="24"/>
        </w:rPr>
      </w:pPr>
      <w:r w:rsidRPr="00B9543D">
        <w:rPr>
          <w:sz w:val="24"/>
          <w:szCs w:val="24"/>
        </w:rPr>
        <w:t xml:space="preserve">En el caso de ahora, fue con un auto del 22 de marzo de 2022, notificado el 23 de ese mes, que se intimó a la parte ejecutante para que en 30 días gestionara una respuesta del IGAC. </w:t>
      </w:r>
    </w:p>
    <w:p w14:paraId="2FE9DFEA" w14:textId="77777777" w:rsidR="003B6542" w:rsidRPr="00B9543D" w:rsidRDefault="003B6542" w:rsidP="00B9543D">
      <w:pPr>
        <w:pStyle w:val="Prrafodelista"/>
        <w:spacing w:line="276" w:lineRule="auto"/>
        <w:ind w:left="0" w:firstLine="0"/>
        <w:rPr>
          <w:sz w:val="24"/>
          <w:szCs w:val="24"/>
        </w:rPr>
      </w:pPr>
    </w:p>
    <w:p w14:paraId="78F18393" w14:textId="5EEC4D99" w:rsidR="003B6542" w:rsidRPr="00B9543D" w:rsidRDefault="003B6542" w:rsidP="00B9543D">
      <w:pPr>
        <w:pStyle w:val="Prrafodelista"/>
        <w:spacing w:line="276" w:lineRule="auto"/>
        <w:ind w:left="0" w:firstLine="0"/>
        <w:rPr>
          <w:sz w:val="24"/>
          <w:szCs w:val="24"/>
        </w:rPr>
      </w:pPr>
      <w:bookmarkStart w:id="2" w:name="_Hlk135822297"/>
      <w:r w:rsidRPr="00B9543D">
        <w:rPr>
          <w:sz w:val="24"/>
          <w:szCs w:val="24"/>
        </w:rPr>
        <w:t xml:space="preserve">Como el término es de días, se cuentan hábiles, de acuerdo con lo que regula el inciso final del artículo 118 del CGP. Entonces, aunque en el auto atacado el juzgado no lo dijo, </w:t>
      </w:r>
      <w:r w:rsidR="00FE6981" w:rsidRPr="00B9543D">
        <w:rPr>
          <w:sz w:val="24"/>
          <w:szCs w:val="24"/>
        </w:rPr>
        <w:t xml:space="preserve">pero </w:t>
      </w:r>
      <w:r w:rsidRPr="00B9543D">
        <w:rPr>
          <w:sz w:val="24"/>
          <w:szCs w:val="24"/>
        </w:rPr>
        <w:t>sí lo incluyó en el que resolvió la reposición, es claro que el término de los 30 días no se alcanzó a completar, por la evidente razón de que el mismo vencía el 11 de mayo de 2022 (ya que en ese lapso corrió la Semana Santa), en tanto que la información requerida en el auto del 22 de marzo arribó al Juzgado el 6 de mayo</w:t>
      </w:r>
      <w:r w:rsidR="00FE6981" w:rsidRPr="00B9543D">
        <w:rPr>
          <w:sz w:val="24"/>
          <w:szCs w:val="24"/>
        </w:rPr>
        <w:t>, es decir, a tiempo.</w:t>
      </w:r>
    </w:p>
    <w:bookmarkEnd w:id="2"/>
    <w:p w14:paraId="2A94AE2D" w14:textId="77777777" w:rsidR="003B6542" w:rsidRPr="00B9543D" w:rsidRDefault="003B6542" w:rsidP="00B9543D">
      <w:pPr>
        <w:pStyle w:val="Prrafodelista"/>
        <w:spacing w:line="276" w:lineRule="auto"/>
        <w:ind w:left="0" w:firstLine="0"/>
        <w:rPr>
          <w:sz w:val="24"/>
          <w:szCs w:val="24"/>
        </w:rPr>
      </w:pPr>
    </w:p>
    <w:p w14:paraId="49B28A72" w14:textId="77777777" w:rsidR="003B6542" w:rsidRPr="00B9543D" w:rsidRDefault="003B6542" w:rsidP="00B9543D">
      <w:pPr>
        <w:pStyle w:val="Prrafodelista"/>
        <w:spacing w:line="276" w:lineRule="auto"/>
        <w:ind w:left="0" w:firstLine="0"/>
        <w:rPr>
          <w:sz w:val="24"/>
          <w:szCs w:val="24"/>
        </w:rPr>
      </w:pPr>
      <w:r w:rsidRPr="00B9543D">
        <w:rPr>
          <w:sz w:val="24"/>
          <w:szCs w:val="24"/>
        </w:rPr>
        <w:t xml:space="preserve">Suficiente este razonamiento para negar la petición de la ejecutada en primera sede y, por consiguiente, para confirmarla. </w:t>
      </w:r>
    </w:p>
    <w:p w14:paraId="0739368B" w14:textId="77777777" w:rsidR="003B6542" w:rsidRPr="00B9543D" w:rsidRDefault="003B6542" w:rsidP="00B9543D">
      <w:pPr>
        <w:pStyle w:val="Prrafodelista"/>
        <w:spacing w:line="276" w:lineRule="auto"/>
        <w:ind w:left="0" w:firstLine="0"/>
        <w:rPr>
          <w:sz w:val="24"/>
          <w:szCs w:val="24"/>
        </w:rPr>
      </w:pPr>
    </w:p>
    <w:p w14:paraId="5FE46F05" w14:textId="77777777" w:rsidR="00FE6981" w:rsidRPr="00B9543D" w:rsidRDefault="003B6542" w:rsidP="00B9543D">
      <w:pPr>
        <w:pStyle w:val="Prrafodelista"/>
        <w:spacing w:line="276" w:lineRule="auto"/>
        <w:ind w:left="0" w:firstLine="0"/>
        <w:rPr>
          <w:sz w:val="24"/>
          <w:szCs w:val="24"/>
        </w:rPr>
      </w:pPr>
      <w:r w:rsidRPr="00B9543D">
        <w:rPr>
          <w:sz w:val="24"/>
          <w:szCs w:val="24"/>
        </w:rPr>
        <w:t xml:space="preserve">Sin embargo, el siguiente argumento expuesto por el despacho es aceptable, porque si el </w:t>
      </w:r>
      <w:r w:rsidR="00FE6981" w:rsidRPr="00B9543D">
        <w:rPr>
          <w:sz w:val="24"/>
          <w:szCs w:val="24"/>
        </w:rPr>
        <w:t xml:space="preserve">oficio fue enviado apenas el 5 de mayo de 2022, ninguna responsabilidad le cabía a la parte, pues lo que se le ordenó fue asegurarse de ese trámite en el IGAC en los 30 días siguientes, y el cometido se logró al día siguiente. </w:t>
      </w:r>
    </w:p>
    <w:p w14:paraId="3A05C20F" w14:textId="77777777" w:rsidR="00FE6981" w:rsidRPr="00B9543D" w:rsidRDefault="00FE6981" w:rsidP="00B9543D">
      <w:pPr>
        <w:pStyle w:val="Prrafodelista"/>
        <w:spacing w:line="276" w:lineRule="auto"/>
        <w:ind w:left="0" w:firstLine="0"/>
        <w:rPr>
          <w:sz w:val="24"/>
          <w:szCs w:val="24"/>
        </w:rPr>
      </w:pPr>
    </w:p>
    <w:p w14:paraId="450F9C20" w14:textId="77777777" w:rsidR="00FE6981" w:rsidRPr="00B9543D" w:rsidRDefault="00FE6981" w:rsidP="00B9543D">
      <w:pPr>
        <w:pStyle w:val="Prrafodelista"/>
        <w:spacing w:line="276" w:lineRule="auto"/>
        <w:ind w:left="0" w:firstLine="0"/>
        <w:rPr>
          <w:sz w:val="24"/>
          <w:szCs w:val="24"/>
        </w:rPr>
      </w:pPr>
      <w:r w:rsidRPr="00B9543D">
        <w:rPr>
          <w:sz w:val="24"/>
          <w:szCs w:val="24"/>
        </w:rPr>
        <w:t xml:space="preserve">Se prohijará, en consecuencia, el auto protestado y, como el recurso fracasa, se condenará a la ejecutada a pagar las costas de esta instancia a la parte demandante (art. 365-1 CGP). Para ello, en auto separado se fijarán las agencias en derecho que se incluirán en la liquidación concentrada que se haga en primera instancia, siguiendo las pautas del artículo 366 del mismo estatuto. </w:t>
      </w:r>
    </w:p>
    <w:p w14:paraId="6B3AC630" w14:textId="77777777" w:rsidR="008151AD" w:rsidRPr="00B9543D" w:rsidRDefault="008151AD" w:rsidP="00B9543D">
      <w:pPr>
        <w:pStyle w:val="Textoindependiente"/>
        <w:tabs>
          <w:tab w:val="left" w:pos="284"/>
        </w:tabs>
        <w:spacing w:line="276" w:lineRule="auto"/>
        <w:ind w:right="117"/>
        <w:jc w:val="both"/>
        <w:rPr>
          <w:rFonts w:ascii="Gadugi" w:hAnsi="Gadugi"/>
          <w:sz w:val="24"/>
          <w:szCs w:val="24"/>
        </w:rPr>
      </w:pPr>
    </w:p>
    <w:p w14:paraId="11BA627B" w14:textId="77777777" w:rsidR="00FD0FCD" w:rsidRPr="00B9543D" w:rsidRDefault="00143BB8" w:rsidP="00B9543D">
      <w:pPr>
        <w:pStyle w:val="Ttulo2"/>
        <w:spacing w:before="0" w:line="276" w:lineRule="auto"/>
        <w:ind w:left="0"/>
        <w:rPr>
          <w:sz w:val="24"/>
          <w:szCs w:val="24"/>
        </w:rPr>
      </w:pPr>
      <w:r w:rsidRPr="00B9543D">
        <w:rPr>
          <w:sz w:val="24"/>
          <w:szCs w:val="24"/>
        </w:rPr>
        <w:t>DECISIÓN</w:t>
      </w:r>
    </w:p>
    <w:p w14:paraId="3660B7F7" w14:textId="77777777" w:rsidR="00FD0FCD" w:rsidRPr="00B9543D" w:rsidRDefault="00FD0FCD" w:rsidP="00B9543D">
      <w:pPr>
        <w:spacing w:line="276" w:lineRule="auto"/>
        <w:rPr>
          <w:b/>
          <w:sz w:val="24"/>
          <w:szCs w:val="24"/>
        </w:rPr>
      </w:pPr>
    </w:p>
    <w:p w14:paraId="5B096422" w14:textId="00967053" w:rsidR="0090386E" w:rsidRPr="00B9543D" w:rsidRDefault="00143BB8" w:rsidP="00B9543D">
      <w:pPr>
        <w:spacing w:line="276" w:lineRule="auto"/>
        <w:ind w:right="113"/>
        <w:jc w:val="both"/>
        <w:rPr>
          <w:spacing w:val="-4"/>
          <w:sz w:val="24"/>
          <w:szCs w:val="24"/>
        </w:rPr>
      </w:pPr>
      <w:r w:rsidRPr="00B9543D">
        <w:rPr>
          <w:sz w:val="24"/>
          <w:szCs w:val="24"/>
        </w:rPr>
        <w:t xml:space="preserve">En armonía con lo expuesto, el </w:t>
      </w:r>
      <w:r w:rsidRPr="00B9543D">
        <w:rPr>
          <w:b/>
          <w:sz w:val="24"/>
          <w:szCs w:val="24"/>
        </w:rPr>
        <w:t>Tribunal Superior del</w:t>
      </w:r>
      <w:r w:rsidRPr="00B9543D">
        <w:rPr>
          <w:b/>
          <w:spacing w:val="1"/>
          <w:sz w:val="24"/>
          <w:szCs w:val="24"/>
        </w:rPr>
        <w:t xml:space="preserve"> </w:t>
      </w:r>
      <w:r w:rsidRPr="00B9543D">
        <w:rPr>
          <w:b/>
          <w:spacing w:val="-1"/>
          <w:sz w:val="24"/>
          <w:szCs w:val="24"/>
        </w:rPr>
        <w:t>Distrito</w:t>
      </w:r>
      <w:r w:rsidRPr="00B9543D">
        <w:rPr>
          <w:b/>
          <w:spacing w:val="-17"/>
          <w:sz w:val="24"/>
          <w:szCs w:val="24"/>
        </w:rPr>
        <w:t xml:space="preserve"> </w:t>
      </w:r>
      <w:r w:rsidRPr="00B9543D">
        <w:rPr>
          <w:b/>
          <w:sz w:val="24"/>
          <w:szCs w:val="24"/>
        </w:rPr>
        <w:t>Judicial,</w:t>
      </w:r>
      <w:r w:rsidRPr="00B9543D">
        <w:rPr>
          <w:b/>
          <w:spacing w:val="-16"/>
          <w:sz w:val="24"/>
          <w:szCs w:val="24"/>
        </w:rPr>
        <w:t xml:space="preserve"> </w:t>
      </w:r>
      <w:r w:rsidRPr="00B9543D">
        <w:rPr>
          <w:b/>
          <w:sz w:val="24"/>
          <w:szCs w:val="24"/>
        </w:rPr>
        <w:t>Sala</w:t>
      </w:r>
      <w:r w:rsidRPr="00B9543D">
        <w:rPr>
          <w:b/>
          <w:spacing w:val="-17"/>
          <w:sz w:val="24"/>
          <w:szCs w:val="24"/>
        </w:rPr>
        <w:t xml:space="preserve"> </w:t>
      </w:r>
      <w:r w:rsidRPr="00B9543D">
        <w:rPr>
          <w:b/>
          <w:sz w:val="24"/>
          <w:szCs w:val="24"/>
        </w:rPr>
        <w:t>Unitaria</w:t>
      </w:r>
      <w:r w:rsidRPr="00B9543D">
        <w:rPr>
          <w:b/>
          <w:spacing w:val="-17"/>
          <w:sz w:val="24"/>
          <w:szCs w:val="24"/>
        </w:rPr>
        <w:t xml:space="preserve"> </w:t>
      </w:r>
      <w:r w:rsidRPr="00B9543D">
        <w:rPr>
          <w:b/>
          <w:sz w:val="24"/>
          <w:szCs w:val="24"/>
        </w:rPr>
        <w:t>Civil-Familia</w:t>
      </w:r>
      <w:r w:rsidRPr="00B9543D">
        <w:rPr>
          <w:sz w:val="24"/>
          <w:szCs w:val="24"/>
        </w:rPr>
        <w:t>,</w:t>
      </w:r>
      <w:r w:rsidRPr="00B9543D">
        <w:rPr>
          <w:spacing w:val="-17"/>
          <w:sz w:val="24"/>
          <w:szCs w:val="24"/>
        </w:rPr>
        <w:t xml:space="preserve"> </w:t>
      </w:r>
      <w:r w:rsidRPr="00B9543D">
        <w:rPr>
          <w:b/>
          <w:sz w:val="24"/>
          <w:szCs w:val="24"/>
        </w:rPr>
        <w:t>CONFIRMA</w:t>
      </w:r>
      <w:r w:rsidRPr="00B9543D">
        <w:rPr>
          <w:b/>
          <w:spacing w:val="-19"/>
          <w:sz w:val="24"/>
          <w:szCs w:val="24"/>
        </w:rPr>
        <w:t xml:space="preserve"> </w:t>
      </w:r>
      <w:r w:rsidR="00FE6981" w:rsidRPr="00B9543D">
        <w:rPr>
          <w:spacing w:val="-16"/>
          <w:sz w:val="24"/>
          <w:szCs w:val="24"/>
        </w:rPr>
        <w:t xml:space="preserve">el auto del 16 de junio de 2022, proferido por el Juzgado Segundo </w:t>
      </w:r>
      <w:r w:rsidR="00FE6981" w:rsidRPr="00B9543D">
        <w:rPr>
          <w:sz w:val="24"/>
          <w:szCs w:val="24"/>
        </w:rPr>
        <w:t>Civil</w:t>
      </w:r>
      <w:r w:rsidR="00FE6981" w:rsidRPr="00B9543D">
        <w:rPr>
          <w:spacing w:val="-7"/>
          <w:sz w:val="24"/>
          <w:szCs w:val="24"/>
        </w:rPr>
        <w:t xml:space="preserve"> </w:t>
      </w:r>
      <w:r w:rsidR="00FE6981" w:rsidRPr="00B9543D">
        <w:rPr>
          <w:sz w:val="24"/>
          <w:szCs w:val="24"/>
        </w:rPr>
        <w:t>del</w:t>
      </w:r>
      <w:r w:rsidR="00FE6981" w:rsidRPr="00B9543D">
        <w:rPr>
          <w:spacing w:val="-6"/>
          <w:sz w:val="24"/>
          <w:szCs w:val="24"/>
        </w:rPr>
        <w:t xml:space="preserve"> </w:t>
      </w:r>
      <w:r w:rsidR="00FE6981" w:rsidRPr="00B9543D">
        <w:rPr>
          <w:sz w:val="24"/>
          <w:szCs w:val="24"/>
        </w:rPr>
        <w:t>Circuito</w:t>
      </w:r>
      <w:r w:rsidR="00FE6981" w:rsidRPr="00B9543D">
        <w:rPr>
          <w:spacing w:val="-5"/>
          <w:sz w:val="24"/>
          <w:szCs w:val="24"/>
        </w:rPr>
        <w:t xml:space="preserve"> </w:t>
      </w:r>
      <w:r w:rsidR="00FE6981" w:rsidRPr="00B9543D">
        <w:rPr>
          <w:sz w:val="24"/>
          <w:szCs w:val="24"/>
        </w:rPr>
        <w:t>de</w:t>
      </w:r>
      <w:r w:rsidR="00FE6981" w:rsidRPr="00B9543D">
        <w:rPr>
          <w:spacing w:val="-8"/>
          <w:sz w:val="24"/>
          <w:szCs w:val="24"/>
        </w:rPr>
        <w:t xml:space="preserve"> </w:t>
      </w:r>
      <w:r w:rsidR="00FE6981" w:rsidRPr="00B9543D">
        <w:rPr>
          <w:sz w:val="24"/>
          <w:szCs w:val="24"/>
        </w:rPr>
        <w:t>Pereira</w:t>
      </w:r>
      <w:r w:rsidR="00FE6981" w:rsidRPr="00B9543D">
        <w:rPr>
          <w:spacing w:val="-6"/>
          <w:sz w:val="24"/>
          <w:szCs w:val="24"/>
        </w:rPr>
        <w:t xml:space="preserve"> </w:t>
      </w:r>
      <w:r w:rsidR="00FE6981" w:rsidRPr="00B9543D">
        <w:rPr>
          <w:sz w:val="24"/>
          <w:szCs w:val="24"/>
        </w:rPr>
        <w:t>en</w:t>
      </w:r>
      <w:r w:rsidR="00FE6981" w:rsidRPr="00B9543D">
        <w:rPr>
          <w:spacing w:val="-7"/>
          <w:sz w:val="24"/>
          <w:szCs w:val="24"/>
        </w:rPr>
        <w:t xml:space="preserve"> </w:t>
      </w:r>
      <w:r w:rsidR="00FE6981" w:rsidRPr="00B9543D">
        <w:rPr>
          <w:sz w:val="24"/>
          <w:szCs w:val="24"/>
        </w:rPr>
        <w:t>este</w:t>
      </w:r>
      <w:r w:rsidR="00FE6981" w:rsidRPr="00B9543D">
        <w:rPr>
          <w:spacing w:val="-6"/>
          <w:sz w:val="24"/>
          <w:szCs w:val="24"/>
        </w:rPr>
        <w:t xml:space="preserve"> </w:t>
      </w:r>
      <w:r w:rsidR="00FE6981" w:rsidRPr="00B9543D">
        <w:rPr>
          <w:sz w:val="24"/>
          <w:szCs w:val="24"/>
        </w:rPr>
        <w:t>proceso</w:t>
      </w:r>
      <w:r w:rsidR="00FE6981" w:rsidRPr="00B9543D">
        <w:rPr>
          <w:spacing w:val="-4"/>
          <w:sz w:val="24"/>
          <w:szCs w:val="24"/>
        </w:rPr>
        <w:t xml:space="preserve"> ejecutivo iniciado por </w:t>
      </w:r>
      <w:r w:rsidR="00FE6981" w:rsidRPr="00B9543D">
        <w:rPr>
          <w:b/>
          <w:bCs/>
          <w:spacing w:val="-4"/>
          <w:sz w:val="24"/>
          <w:szCs w:val="24"/>
        </w:rPr>
        <w:t>Hernán Mejía Velásquez</w:t>
      </w:r>
      <w:r w:rsidR="00FE6981" w:rsidRPr="00B9543D">
        <w:rPr>
          <w:spacing w:val="-4"/>
          <w:sz w:val="24"/>
          <w:szCs w:val="24"/>
        </w:rPr>
        <w:t xml:space="preserve">, al que fue acumulado el de </w:t>
      </w:r>
      <w:r w:rsidR="00FE6981" w:rsidRPr="00B9543D">
        <w:rPr>
          <w:b/>
          <w:bCs/>
          <w:spacing w:val="-4"/>
          <w:sz w:val="24"/>
          <w:szCs w:val="24"/>
        </w:rPr>
        <w:t xml:space="preserve">Matilde Posada de </w:t>
      </w:r>
      <w:proofErr w:type="spellStart"/>
      <w:r w:rsidR="00FE6981" w:rsidRPr="00B9543D">
        <w:rPr>
          <w:b/>
          <w:bCs/>
          <w:spacing w:val="-4"/>
          <w:sz w:val="24"/>
          <w:szCs w:val="24"/>
        </w:rPr>
        <w:t>Mercuri</w:t>
      </w:r>
      <w:proofErr w:type="spellEnd"/>
      <w:r w:rsidR="00FE6981" w:rsidRPr="00B9543D">
        <w:rPr>
          <w:b/>
          <w:bCs/>
          <w:spacing w:val="-4"/>
          <w:sz w:val="24"/>
          <w:szCs w:val="24"/>
        </w:rPr>
        <w:t xml:space="preserve"> </w:t>
      </w:r>
      <w:r w:rsidR="00FE6981" w:rsidRPr="00B9543D">
        <w:rPr>
          <w:spacing w:val="-4"/>
          <w:sz w:val="24"/>
          <w:szCs w:val="24"/>
        </w:rPr>
        <w:t xml:space="preserve">frente a </w:t>
      </w:r>
      <w:r w:rsidR="00FE6981" w:rsidRPr="00B9543D">
        <w:rPr>
          <w:b/>
          <w:bCs/>
          <w:spacing w:val="-4"/>
          <w:sz w:val="24"/>
          <w:szCs w:val="24"/>
        </w:rPr>
        <w:t xml:space="preserve">Rosa del Carmen </w:t>
      </w:r>
      <w:proofErr w:type="spellStart"/>
      <w:r w:rsidR="00FE6981" w:rsidRPr="00B9543D">
        <w:rPr>
          <w:b/>
          <w:bCs/>
          <w:spacing w:val="-4"/>
          <w:sz w:val="24"/>
          <w:szCs w:val="24"/>
        </w:rPr>
        <w:t>Cagueñas</w:t>
      </w:r>
      <w:proofErr w:type="spellEnd"/>
      <w:r w:rsidR="00FE6981" w:rsidRPr="00B9543D">
        <w:rPr>
          <w:b/>
          <w:bCs/>
          <w:spacing w:val="-4"/>
          <w:sz w:val="24"/>
          <w:szCs w:val="24"/>
        </w:rPr>
        <w:t xml:space="preserve"> Morales.</w:t>
      </w:r>
    </w:p>
    <w:p w14:paraId="0329D7C7" w14:textId="77777777" w:rsidR="00FE6981" w:rsidRPr="00B9543D" w:rsidRDefault="00FE6981" w:rsidP="00B9543D">
      <w:pPr>
        <w:spacing w:line="276" w:lineRule="auto"/>
        <w:ind w:right="113"/>
        <w:jc w:val="both"/>
        <w:rPr>
          <w:spacing w:val="-4"/>
          <w:sz w:val="24"/>
          <w:szCs w:val="24"/>
        </w:rPr>
      </w:pPr>
    </w:p>
    <w:p w14:paraId="39B8CC66" w14:textId="47BB0F6A" w:rsidR="008151AD" w:rsidRPr="00B9543D" w:rsidRDefault="00FE6981" w:rsidP="00B9543D">
      <w:pPr>
        <w:spacing w:line="276" w:lineRule="auto"/>
        <w:ind w:right="113"/>
        <w:jc w:val="both"/>
        <w:rPr>
          <w:spacing w:val="-4"/>
          <w:sz w:val="24"/>
          <w:szCs w:val="24"/>
        </w:rPr>
      </w:pPr>
      <w:r w:rsidRPr="00B9543D">
        <w:rPr>
          <w:spacing w:val="-4"/>
          <w:sz w:val="24"/>
          <w:szCs w:val="24"/>
        </w:rPr>
        <w:t>Costas a cargo de la recurrente y a favor de la parte ejecutante.</w:t>
      </w:r>
      <w:r w:rsidR="008151AD" w:rsidRPr="00B9543D">
        <w:rPr>
          <w:spacing w:val="-4"/>
          <w:sz w:val="24"/>
          <w:szCs w:val="24"/>
        </w:rPr>
        <w:t xml:space="preserve"> </w:t>
      </w:r>
    </w:p>
    <w:p w14:paraId="16920415" w14:textId="77777777" w:rsidR="008151AD" w:rsidRPr="00B9543D" w:rsidRDefault="008151AD" w:rsidP="00B9543D">
      <w:pPr>
        <w:spacing w:line="276" w:lineRule="auto"/>
        <w:ind w:right="113"/>
        <w:jc w:val="both"/>
        <w:rPr>
          <w:spacing w:val="-4"/>
          <w:sz w:val="24"/>
          <w:szCs w:val="24"/>
        </w:rPr>
      </w:pPr>
    </w:p>
    <w:p w14:paraId="65AB6207" w14:textId="77777777" w:rsidR="0090386E" w:rsidRPr="00B9543D" w:rsidRDefault="0090386E" w:rsidP="00B9543D">
      <w:pPr>
        <w:pStyle w:val="Ttulo2"/>
        <w:spacing w:before="0" w:line="276" w:lineRule="auto"/>
        <w:ind w:left="0"/>
        <w:rPr>
          <w:b w:val="0"/>
          <w:sz w:val="24"/>
          <w:szCs w:val="24"/>
        </w:rPr>
      </w:pPr>
      <w:r w:rsidRPr="00B9543D">
        <w:rPr>
          <w:b w:val="0"/>
          <w:sz w:val="24"/>
          <w:szCs w:val="24"/>
        </w:rPr>
        <w:t xml:space="preserve">Notifíquese, </w:t>
      </w:r>
    </w:p>
    <w:p w14:paraId="7D4F068E" w14:textId="77777777" w:rsidR="0090386E" w:rsidRPr="00B9543D" w:rsidRDefault="0090386E" w:rsidP="00B9543D">
      <w:pPr>
        <w:pStyle w:val="Ttulo2"/>
        <w:spacing w:before="0" w:line="276" w:lineRule="auto"/>
        <w:ind w:left="0"/>
        <w:rPr>
          <w:sz w:val="24"/>
          <w:szCs w:val="24"/>
        </w:rPr>
      </w:pPr>
    </w:p>
    <w:p w14:paraId="42E489A5" w14:textId="216BF71F" w:rsidR="0090386E" w:rsidRDefault="0090386E" w:rsidP="00B9543D">
      <w:pPr>
        <w:pStyle w:val="Ttulo2"/>
        <w:spacing w:before="0" w:line="276" w:lineRule="auto"/>
        <w:ind w:left="0"/>
        <w:rPr>
          <w:sz w:val="24"/>
          <w:szCs w:val="24"/>
        </w:rPr>
      </w:pPr>
    </w:p>
    <w:p w14:paraId="45F42F63" w14:textId="77777777" w:rsidR="00931E03" w:rsidRPr="00B9543D" w:rsidRDefault="00931E03" w:rsidP="00B9543D">
      <w:pPr>
        <w:pStyle w:val="Ttulo2"/>
        <w:spacing w:before="0" w:line="276" w:lineRule="auto"/>
        <w:ind w:left="0"/>
        <w:rPr>
          <w:sz w:val="24"/>
          <w:szCs w:val="24"/>
        </w:rPr>
      </w:pPr>
    </w:p>
    <w:p w14:paraId="22764C62" w14:textId="5BBB7E2E" w:rsidR="00FD0FCD" w:rsidRPr="00B9543D" w:rsidRDefault="00143BB8" w:rsidP="00B9543D">
      <w:pPr>
        <w:pStyle w:val="Ttulo2"/>
        <w:spacing w:before="0" w:line="276" w:lineRule="auto"/>
        <w:ind w:left="0"/>
        <w:rPr>
          <w:sz w:val="24"/>
          <w:szCs w:val="24"/>
        </w:rPr>
      </w:pPr>
      <w:r w:rsidRPr="00B9543D">
        <w:rPr>
          <w:sz w:val="24"/>
          <w:szCs w:val="24"/>
        </w:rPr>
        <w:t>JAIME</w:t>
      </w:r>
      <w:r w:rsidRPr="00B9543D">
        <w:rPr>
          <w:spacing w:val="-5"/>
          <w:sz w:val="24"/>
          <w:szCs w:val="24"/>
        </w:rPr>
        <w:t xml:space="preserve"> </w:t>
      </w:r>
      <w:r w:rsidRPr="00B9543D">
        <w:rPr>
          <w:sz w:val="24"/>
          <w:szCs w:val="24"/>
        </w:rPr>
        <w:t>ALBERTO</w:t>
      </w:r>
      <w:r w:rsidRPr="00B9543D">
        <w:rPr>
          <w:spacing w:val="-6"/>
          <w:sz w:val="24"/>
          <w:szCs w:val="24"/>
        </w:rPr>
        <w:t xml:space="preserve"> </w:t>
      </w:r>
      <w:r w:rsidRPr="00B9543D">
        <w:rPr>
          <w:sz w:val="24"/>
          <w:szCs w:val="24"/>
        </w:rPr>
        <w:t>SARAZA</w:t>
      </w:r>
      <w:r w:rsidRPr="00B9543D">
        <w:rPr>
          <w:spacing w:val="-4"/>
          <w:sz w:val="24"/>
          <w:szCs w:val="24"/>
        </w:rPr>
        <w:t xml:space="preserve"> </w:t>
      </w:r>
      <w:r w:rsidRPr="00B9543D">
        <w:rPr>
          <w:sz w:val="24"/>
          <w:szCs w:val="24"/>
        </w:rPr>
        <w:t>NARANJO</w:t>
      </w:r>
    </w:p>
    <w:p w14:paraId="64A16C32" w14:textId="6CD00B61" w:rsidR="00FD0FCD" w:rsidRPr="00B9543D" w:rsidRDefault="00143BB8" w:rsidP="00B9543D">
      <w:pPr>
        <w:pStyle w:val="Textoindependiente"/>
        <w:spacing w:line="276" w:lineRule="auto"/>
        <w:rPr>
          <w:rFonts w:ascii="Gadugi" w:hAnsi="Gadugi"/>
          <w:sz w:val="24"/>
          <w:szCs w:val="24"/>
        </w:rPr>
      </w:pPr>
      <w:r w:rsidRPr="00B9543D">
        <w:rPr>
          <w:rFonts w:ascii="Gadugi" w:hAnsi="Gadugi"/>
          <w:sz w:val="24"/>
          <w:szCs w:val="24"/>
        </w:rPr>
        <w:t>Magist</w:t>
      </w:r>
      <w:r w:rsidR="002F37B7" w:rsidRPr="00B9543D">
        <w:rPr>
          <w:rFonts w:ascii="Gadugi" w:hAnsi="Gadugi"/>
          <w:sz w:val="24"/>
          <w:szCs w:val="24"/>
        </w:rPr>
        <w:t>rado</w:t>
      </w:r>
    </w:p>
    <w:sectPr w:rsidR="00FD0FCD" w:rsidRPr="00B9543D" w:rsidSect="0036478D">
      <w:headerReference w:type="even" r:id="rId12"/>
      <w:headerReference w:type="default" r:id="rId13"/>
      <w:footerReference w:type="even" r:id="rId14"/>
      <w:footerReference w:type="default" r:id="rId15"/>
      <w:headerReference w:type="first" r:id="rId16"/>
      <w:footerReference w:type="first" r:id="rId17"/>
      <w:pgSz w:w="12242" w:h="18722" w:code="258"/>
      <w:pgMar w:top="1871" w:right="1304" w:bottom="1304" w:left="187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89502" w14:textId="77777777" w:rsidR="00034661" w:rsidRDefault="00034661" w:rsidP="008D52B1">
      <w:r>
        <w:separator/>
      </w:r>
    </w:p>
  </w:endnote>
  <w:endnote w:type="continuationSeparator" w:id="0">
    <w:p w14:paraId="318BE448" w14:textId="77777777" w:rsidR="00034661" w:rsidRDefault="00034661" w:rsidP="008D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Bookman Old Style">
    <w:panose1 w:val="020506040505050202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0"/>
    <w:family w:val="script"/>
    <w:pitch w:val="variable"/>
    <w:sig w:usb0="80002043" w:usb1="00000000" w:usb2="00000080" w:usb3="00000000" w:csb0="00000001" w:csb1="00000000"/>
  </w:font>
  <w:font w:name="Open Sans">
    <w:altName w:val="Segoe UI"/>
    <w:charset w:val="00"/>
    <w:family w:val="swiss"/>
    <w:pitch w:val="variable"/>
    <w:sig w:usb0="00000001" w:usb1="4000205B" w:usb2="00000028"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51208" w14:textId="77777777" w:rsidR="00161FE1" w:rsidRDefault="00161FE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385050"/>
      <w:docPartObj>
        <w:docPartGallery w:val="Page Numbers (Bottom of Page)"/>
        <w:docPartUnique/>
      </w:docPartObj>
    </w:sdtPr>
    <w:sdtEndPr>
      <w:rPr>
        <w:rFonts w:ascii="Arial" w:hAnsi="Arial" w:cs="Arial"/>
        <w:sz w:val="18"/>
      </w:rPr>
    </w:sdtEndPr>
    <w:sdtContent>
      <w:p w14:paraId="2F1BCD3C" w14:textId="21B3425C" w:rsidR="00BF0006" w:rsidRPr="00161FE1" w:rsidRDefault="00BF0006" w:rsidP="00161FE1">
        <w:pPr>
          <w:pStyle w:val="Piedepgina"/>
          <w:jc w:val="right"/>
          <w:rPr>
            <w:rFonts w:ascii="Arial" w:hAnsi="Arial" w:cs="Arial"/>
            <w:sz w:val="18"/>
          </w:rPr>
        </w:pPr>
        <w:r w:rsidRPr="00161FE1">
          <w:rPr>
            <w:rFonts w:ascii="Arial" w:hAnsi="Arial" w:cs="Arial"/>
            <w:sz w:val="18"/>
          </w:rPr>
          <w:fldChar w:fldCharType="begin"/>
        </w:r>
        <w:r w:rsidRPr="00161FE1">
          <w:rPr>
            <w:rFonts w:ascii="Arial" w:hAnsi="Arial" w:cs="Arial"/>
            <w:sz w:val="18"/>
          </w:rPr>
          <w:instrText>PAGE   \* MERGEFORMAT</w:instrText>
        </w:r>
        <w:r w:rsidRPr="00161FE1">
          <w:rPr>
            <w:rFonts w:ascii="Arial" w:hAnsi="Arial" w:cs="Arial"/>
            <w:sz w:val="18"/>
          </w:rPr>
          <w:fldChar w:fldCharType="separate"/>
        </w:r>
        <w:r w:rsidRPr="00161FE1">
          <w:rPr>
            <w:rFonts w:ascii="Arial" w:hAnsi="Arial" w:cs="Arial"/>
            <w:sz w:val="18"/>
          </w:rPr>
          <w:t>2</w:t>
        </w:r>
        <w:r w:rsidRPr="00161FE1">
          <w:rPr>
            <w:rFonts w:ascii="Arial" w:hAnsi="Arial" w:cs="Arial"/>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89782" w14:textId="77777777" w:rsidR="00161FE1" w:rsidRDefault="00161F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7FF71" w14:textId="77777777" w:rsidR="00034661" w:rsidRDefault="00034661" w:rsidP="008D52B1">
      <w:r>
        <w:separator/>
      </w:r>
    </w:p>
  </w:footnote>
  <w:footnote w:type="continuationSeparator" w:id="0">
    <w:p w14:paraId="0AEB0703" w14:textId="77777777" w:rsidR="00034661" w:rsidRDefault="00034661" w:rsidP="008D52B1">
      <w:r>
        <w:continuationSeparator/>
      </w:r>
    </w:p>
  </w:footnote>
  <w:footnote w:id="1">
    <w:p w14:paraId="40A9E9A5" w14:textId="7A62DEC6" w:rsidR="0033577C" w:rsidRPr="00931E03" w:rsidRDefault="0033577C" w:rsidP="00931E03">
      <w:pPr>
        <w:pStyle w:val="Textonotapie"/>
        <w:jc w:val="both"/>
        <w:rPr>
          <w:rFonts w:ascii="Arial" w:hAnsi="Arial" w:cs="Arial"/>
          <w:sz w:val="18"/>
          <w:szCs w:val="18"/>
          <w:lang w:val="es-CO"/>
        </w:rPr>
      </w:pPr>
      <w:r w:rsidRPr="00931E03">
        <w:rPr>
          <w:rStyle w:val="Refdenotaalpie"/>
          <w:rFonts w:ascii="Arial" w:hAnsi="Arial" w:cs="Arial"/>
          <w:sz w:val="18"/>
          <w:szCs w:val="18"/>
        </w:rPr>
        <w:footnoteRef/>
      </w:r>
      <w:r w:rsidRPr="00931E03">
        <w:rPr>
          <w:rFonts w:ascii="Arial" w:hAnsi="Arial" w:cs="Arial"/>
          <w:sz w:val="18"/>
          <w:szCs w:val="18"/>
        </w:rPr>
        <w:t xml:space="preserve"> 01PrimeraInstancia, C02Medidas, </w:t>
      </w:r>
      <w:proofErr w:type="spellStart"/>
      <w:r w:rsidRPr="00931E03">
        <w:rPr>
          <w:rFonts w:ascii="Arial" w:hAnsi="Arial" w:cs="Arial"/>
          <w:sz w:val="18"/>
          <w:szCs w:val="18"/>
        </w:rPr>
        <w:t>arch</w:t>
      </w:r>
      <w:proofErr w:type="spellEnd"/>
      <w:r w:rsidRPr="00931E03">
        <w:rPr>
          <w:rFonts w:ascii="Arial" w:hAnsi="Arial" w:cs="Arial"/>
          <w:sz w:val="18"/>
          <w:szCs w:val="18"/>
        </w:rPr>
        <w:t>. 17</w:t>
      </w:r>
    </w:p>
  </w:footnote>
  <w:footnote w:id="2">
    <w:p w14:paraId="46018E0B" w14:textId="5D88945B" w:rsidR="0033577C" w:rsidRPr="00931E03" w:rsidRDefault="0033577C" w:rsidP="00931E03">
      <w:pPr>
        <w:pStyle w:val="Textonotapie"/>
        <w:jc w:val="both"/>
        <w:rPr>
          <w:rFonts w:ascii="Arial" w:hAnsi="Arial" w:cs="Arial"/>
          <w:sz w:val="18"/>
          <w:szCs w:val="18"/>
          <w:lang w:val="es-CO"/>
        </w:rPr>
      </w:pPr>
      <w:r w:rsidRPr="00931E03">
        <w:rPr>
          <w:rStyle w:val="Refdenotaalpie"/>
          <w:rFonts w:ascii="Arial" w:hAnsi="Arial" w:cs="Arial"/>
          <w:sz w:val="18"/>
          <w:szCs w:val="18"/>
        </w:rPr>
        <w:footnoteRef/>
      </w:r>
      <w:r w:rsidRPr="00931E03">
        <w:rPr>
          <w:rFonts w:ascii="Arial" w:hAnsi="Arial" w:cs="Arial"/>
          <w:sz w:val="18"/>
          <w:szCs w:val="18"/>
        </w:rPr>
        <w:t xml:space="preserve"> </w:t>
      </w:r>
      <w:r w:rsidRPr="00931E03">
        <w:rPr>
          <w:rFonts w:ascii="Arial" w:hAnsi="Arial" w:cs="Arial"/>
          <w:sz w:val="18"/>
          <w:szCs w:val="18"/>
          <w:lang w:val="es-CO"/>
        </w:rPr>
        <w:t xml:space="preserve">Ib., </w:t>
      </w:r>
      <w:proofErr w:type="spellStart"/>
      <w:r w:rsidRPr="00931E03">
        <w:rPr>
          <w:rFonts w:ascii="Arial" w:hAnsi="Arial" w:cs="Arial"/>
          <w:sz w:val="18"/>
          <w:szCs w:val="18"/>
          <w:lang w:val="es-CO"/>
        </w:rPr>
        <w:t>arch</w:t>
      </w:r>
      <w:proofErr w:type="spellEnd"/>
      <w:r w:rsidRPr="00931E03">
        <w:rPr>
          <w:rFonts w:ascii="Arial" w:hAnsi="Arial" w:cs="Arial"/>
          <w:sz w:val="18"/>
          <w:szCs w:val="18"/>
          <w:lang w:val="es-CO"/>
        </w:rPr>
        <w:t>. 20</w:t>
      </w:r>
    </w:p>
  </w:footnote>
  <w:footnote w:id="3">
    <w:p w14:paraId="513655A8" w14:textId="66DCA39D" w:rsidR="00C12679" w:rsidRPr="00931E03" w:rsidRDefault="00C12679" w:rsidP="00931E03">
      <w:pPr>
        <w:pStyle w:val="Textonotapie"/>
        <w:jc w:val="both"/>
        <w:rPr>
          <w:rFonts w:ascii="Arial" w:hAnsi="Arial" w:cs="Arial"/>
          <w:sz w:val="18"/>
          <w:szCs w:val="18"/>
        </w:rPr>
      </w:pPr>
      <w:r w:rsidRPr="00931E03">
        <w:rPr>
          <w:rStyle w:val="Refdenotaalpie"/>
          <w:rFonts w:ascii="Arial" w:hAnsi="Arial" w:cs="Arial"/>
          <w:sz w:val="18"/>
          <w:szCs w:val="18"/>
        </w:rPr>
        <w:footnoteRef/>
      </w:r>
      <w:r w:rsidRPr="00931E03">
        <w:rPr>
          <w:rFonts w:ascii="Arial" w:hAnsi="Arial" w:cs="Arial"/>
          <w:sz w:val="18"/>
          <w:szCs w:val="18"/>
        </w:rPr>
        <w:t xml:space="preserve"> 01PrimeraInstancia, C03Principal-Acumulado…, </w:t>
      </w:r>
      <w:proofErr w:type="spellStart"/>
      <w:r w:rsidRPr="00931E03">
        <w:rPr>
          <w:rFonts w:ascii="Arial" w:hAnsi="Arial" w:cs="Arial"/>
          <w:sz w:val="18"/>
          <w:szCs w:val="18"/>
        </w:rPr>
        <w:t>arch</w:t>
      </w:r>
      <w:proofErr w:type="spellEnd"/>
      <w:r w:rsidRPr="00931E03">
        <w:rPr>
          <w:rFonts w:ascii="Arial" w:hAnsi="Arial" w:cs="Arial"/>
          <w:sz w:val="18"/>
          <w:szCs w:val="18"/>
        </w:rPr>
        <w:t>. 32</w:t>
      </w:r>
    </w:p>
    <w:p w14:paraId="77EAC68A" w14:textId="2C80EFE4" w:rsidR="00C12679" w:rsidRPr="00931E03" w:rsidRDefault="00C12679" w:rsidP="00931E03">
      <w:pPr>
        <w:pStyle w:val="Textonotapie"/>
        <w:jc w:val="both"/>
        <w:rPr>
          <w:rFonts w:ascii="Arial" w:hAnsi="Arial" w:cs="Arial"/>
          <w:sz w:val="18"/>
          <w:szCs w:val="18"/>
          <w:lang w:val="es-CO"/>
        </w:rPr>
      </w:pPr>
    </w:p>
  </w:footnote>
  <w:footnote w:id="4">
    <w:p w14:paraId="6519C237" w14:textId="2B4B260A" w:rsidR="00C12679" w:rsidRPr="00931E03" w:rsidRDefault="00C12679" w:rsidP="00931E03">
      <w:pPr>
        <w:pStyle w:val="Textonotapie"/>
        <w:jc w:val="both"/>
        <w:rPr>
          <w:rFonts w:ascii="Arial" w:hAnsi="Arial" w:cs="Arial"/>
          <w:sz w:val="18"/>
          <w:szCs w:val="18"/>
          <w:lang w:val="es-CO"/>
        </w:rPr>
      </w:pPr>
      <w:r w:rsidRPr="00931E03">
        <w:rPr>
          <w:rStyle w:val="Refdenotaalpie"/>
          <w:rFonts w:ascii="Arial" w:hAnsi="Arial" w:cs="Arial"/>
          <w:sz w:val="18"/>
          <w:szCs w:val="18"/>
        </w:rPr>
        <w:footnoteRef/>
      </w:r>
      <w:r w:rsidRPr="00931E03">
        <w:rPr>
          <w:rFonts w:ascii="Arial" w:hAnsi="Arial" w:cs="Arial"/>
          <w:sz w:val="18"/>
          <w:szCs w:val="18"/>
        </w:rPr>
        <w:t xml:space="preserve"> </w:t>
      </w:r>
      <w:r w:rsidRPr="00931E03">
        <w:rPr>
          <w:rFonts w:ascii="Arial" w:hAnsi="Arial" w:cs="Arial"/>
          <w:sz w:val="18"/>
          <w:szCs w:val="18"/>
          <w:lang w:val="es-CO"/>
        </w:rPr>
        <w:t xml:space="preserve">Ib., </w:t>
      </w:r>
      <w:proofErr w:type="spellStart"/>
      <w:r w:rsidRPr="00931E03">
        <w:rPr>
          <w:rFonts w:ascii="Arial" w:hAnsi="Arial" w:cs="Arial"/>
          <w:sz w:val="18"/>
          <w:szCs w:val="18"/>
          <w:lang w:val="es-CO"/>
        </w:rPr>
        <w:t>arch</w:t>
      </w:r>
      <w:proofErr w:type="spellEnd"/>
      <w:r w:rsidRPr="00931E03">
        <w:rPr>
          <w:rFonts w:ascii="Arial" w:hAnsi="Arial" w:cs="Arial"/>
          <w:sz w:val="18"/>
          <w:szCs w:val="18"/>
          <w:lang w:val="es-CO"/>
        </w:rPr>
        <w:t>. 3</w:t>
      </w:r>
      <w:r w:rsidR="00F31DF7" w:rsidRPr="00931E03">
        <w:rPr>
          <w:rFonts w:ascii="Arial" w:hAnsi="Arial" w:cs="Arial"/>
          <w:sz w:val="18"/>
          <w:szCs w:val="18"/>
          <w:lang w:val="es-CO"/>
        </w:rPr>
        <w:t>3</w:t>
      </w:r>
    </w:p>
  </w:footnote>
  <w:footnote w:id="5">
    <w:p w14:paraId="64B32FAD" w14:textId="2DA2C8EC" w:rsidR="00F31DF7" w:rsidRPr="00931E03" w:rsidRDefault="00F31DF7" w:rsidP="00931E03">
      <w:pPr>
        <w:pStyle w:val="Textonotapie"/>
        <w:jc w:val="both"/>
        <w:rPr>
          <w:rFonts w:ascii="Arial" w:hAnsi="Arial" w:cs="Arial"/>
          <w:sz w:val="18"/>
          <w:szCs w:val="18"/>
          <w:lang w:val="es-CO"/>
        </w:rPr>
      </w:pPr>
      <w:r w:rsidRPr="00931E03">
        <w:rPr>
          <w:rStyle w:val="Refdenotaalpie"/>
          <w:rFonts w:ascii="Arial" w:hAnsi="Arial" w:cs="Arial"/>
          <w:sz w:val="18"/>
          <w:szCs w:val="18"/>
        </w:rPr>
        <w:footnoteRef/>
      </w:r>
      <w:r w:rsidRPr="00931E03">
        <w:rPr>
          <w:rFonts w:ascii="Arial" w:hAnsi="Arial" w:cs="Arial"/>
          <w:sz w:val="18"/>
          <w:szCs w:val="18"/>
        </w:rPr>
        <w:t xml:space="preserve"> </w:t>
      </w:r>
      <w:r w:rsidRPr="00931E03">
        <w:rPr>
          <w:rFonts w:ascii="Arial" w:hAnsi="Arial" w:cs="Arial"/>
          <w:sz w:val="18"/>
          <w:szCs w:val="18"/>
          <w:lang w:val="es-CO"/>
        </w:rPr>
        <w:t>Ib</w:t>
      </w:r>
      <w:r w:rsidR="00493F0A" w:rsidRPr="00931E03">
        <w:rPr>
          <w:rFonts w:ascii="Arial" w:hAnsi="Arial" w:cs="Arial"/>
          <w:sz w:val="18"/>
          <w:szCs w:val="18"/>
          <w:lang w:val="es-CO"/>
        </w:rPr>
        <w:t>.</w:t>
      </w:r>
      <w:r w:rsidRPr="00931E03">
        <w:rPr>
          <w:rFonts w:ascii="Arial" w:hAnsi="Arial" w:cs="Arial"/>
          <w:sz w:val="18"/>
          <w:szCs w:val="18"/>
          <w:lang w:val="es-CO"/>
        </w:rPr>
        <w:t xml:space="preserve">, </w:t>
      </w:r>
      <w:proofErr w:type="spellStart"/>
      <w:r w:rsidRPr="00931E03">
        <w:rPr>
          <w:rFonts w:ascii="Arial" w:hAnsi="Arial" w:cs="Arial"/>
          <w:sz w:val="18"/>
          <w:szCs w:val="18"/>
          <w:lang w:val="es-CO"/>
        </w:rPr>
        <w:t>arch</w:t>
      </w:r>
      <w:proofErr w:type="spellEnd"/>
      <w:r w:rsidRPr="00931E03">
        <w:rPr>
          <w:rFonts w:ascii="Arial" w:hAnsi="Arial" w:cs="Arial"/>
          <w:sz w:val="18"/>
          <w:szCs w:val="18"/>
          <w:lang w:val="es-CO"/>
        </w:rPr>
        <w:t>. 34</w:t>
      </w:r>
    </w:p>
  </w:footnote>
  <w:footnote w:id="6">
    <w:p w14:paraId="596C3FE1" w14:textId="15BA7838" w:rsidR="00493F0A" w:rsidRPr="00931E03" w:rsidRDefault="00493F0A" w:rsidP="00931E03">
      <w:pPr>
        <w:pStyle w:val="Textonotapie"/>
        <w:jc w:val="both"/>
        <w:rPr>
          <w:rFonts w:ascii="Arial" w:hAnsi="Arial" w:cs="Arial"/>
          <w:sz w:val="18"/>
          <w:szCs w:val="18"/>
          <w:lang w:val="es-CO"/>
        </w:rPr>
      </w:pPr>
      <w:r w:rsidRPr="00931E03">
        <w:rPr>
          <w:rStyle w:val="Refdenotaalpie"/>
          <w:rFonts w:ascii="Arial" w:hAnsi="Arial" w:cs="Arial"/>
          <w:sz w:val="18"/>
          <w:szCs w:val="18"/>
        </w:rPr>
        <w:footnoteRef/>
      </w:r>
      <w:r w:rsidRPr="00931E03">
        <w:rPr>
          <w:rFonts w:ascii="Arial" w:hAnsi="Arial" w:cs="Arial"/>
          <w:sz w:val="18"/>
          <w:szCs w:val="18"/>
        </w:rPr>
        <w:t xml:space="preserve"> </w:t>
      </w:r>
      <w:r w:rsidRPr="00931E03">
        <w:rPr>
          <w:rFonts w:ascii="Arial" w:hAnsi="Arial" w:cs="Arial"/>
          <w:sz w:val="18"/>
          <w:szCs w:val="18"/>
          <w:lang w:val="es-CO"/>
        </w:rPr>
        <w:t xml:space="preserve">Ib., </w:t>
      </w:r>
      <w:proofErr w:type="spellStart"/>
      <w:r w:rsidRPr="00931E03">
        <w:rPr>
          <w:rFonts w:ascii="Arial" w:hAnsi="Arial" w:cs="Arial"/>
          <w:sz w:val="18"/>
          <w:szCs w:val="18"/>
          <w:lang w:val="es-CO"/>
        </w:rPr>
        <w:t>arch</w:t>
      </w:r>
      <w:proofErr w:type="spellEnd"/>
      <w:r w:rsidRPr="00931E03">
        <w:rPr>
          <w:rFonts w:ascii="Arial" w:hAnsi="Arial" w:cs="Arial"/>
          <w:sz w:val="18"/>
          <w:szCs w:val="18"/>
          <w:lang w:val="es-CO"/>
        </w:rPr>
        <w:t>. 37</w:t>
      </w:r>
    </w:p>
  </w:footnote>
  <w:footnote w:id="7">
    <w:p w14:paraId="20F34771" w14:textId="02D5CB4E" w:rsidR="00E715B6" w:rsidRPr="00931E03" w:rsidRDefault="00E715B6" w:rsidP="00931E03">
      <w:pPr>
        <w:pStyle w:val="Textonotapie"/>
        <w:jc w:val="both"/>
        <w:rPr>
          <w:rFonts w:ascii="Arial" w:hAnsi="Arial" w:cs="Arial"/>
          <w:sz w:val="18"/>
          <w:szCs w:val="18"/>
          <w:lang w:val="es-CO"/>
        </w:rPr>
      </w:pPr>
      <w:r w:rsidRPr="00931E03">
        <w:rPr>
          <w:rStyle w:val="Refdenotaalpie"/>
          <w:rFonts w:ascii="Arial" w:hAnsi="Arial" w:cs="Arial"/>
          <w:sz w:val="18"/>
          <w:szCs w:val="18"/>
        </w:rPr>
        <w:footnoteRef/>
      </w:r>
      <w:r w:rsidRPr="00931E03">
        <w:rPr>
          <w:rFonts w:ascii="Arial" w:hAnsi="Arial" w:cs="Arial"/>
          <w:sz w:val="18"/>
          <w:szCs w:val="18"/>
        </w:rPr>
        <w:t xml:space="preserve"> </w:t>
      </w:r>
      <w:r w:rsidRPr="00931E03">
        <w:rPr>
          <w:rFonts w:ascii="Arial" w:hAnsi="Arial" w:cs="Arial"/>
          <w:sz w:val="18"/>
          <w:szCs w:val="18"/>
          <w:lang w:val="es-CO"/>
        </w:rPr>
        <w:t xml:space="preserve">Ib., </w:t>
      </w:r>
      <w:proofErr w:type="spellStart"/>
      <w:r w:rsidRPr="00931E03">
        <w:rPr>
          <w:rFonts w:ascii="Arial" w:hAnsi="Arial" w:cs="Arial"/>
          <w:sz w:val="18"/>
          <w:szCs w:val="18"/>
          <w:lang w:val="es-CO"/>
        </w:rPr>
        <w:t>arch</w:t>
      </w:r>
      <w:proofErr w:type="spellEnd"/>
      <w:r w:rsidRPr="00931E03">
        <w:rPr>
          <w:rFonts w:ascii="Arial" w:hAnsi="Arial" w:cs="Arial"/>
          <w:sz w:val="18"/>
          <w:szCs w:val="18"/>
          <w:lang w:val="es-CO"/>
        </w:rPr>
        <w:t>. 38</w:t>
      </w:r>
    </w:p>
  </w:footnote>
  <w:footnote w:id="8">
    <w:p w14:paraId="34CF304A" w14:textId="15C11347" w:rsidR="00E715B6" w:rsidRPr="00931E03" w:rsidRDefault="00E715B6" w:rsidP="00931E03">
      <w:pPr>
        <w:pStyle w:val="Textonotapie"/>
        <w:jc w:val="both"/>
        <w:rPr>
          <w:rFonts w:ascii="Arial" w:hAnsi="Arial" w:cs="Arial"/>
          <w:sz w:val="18"/>
          <w:szCs w:val="18"/>
          <w:lang w:val="es-CO"/>
        </w:rPr>
      </w:pPr>
      <w:r w:rsidRPr="00931E03">
        <w:rPr>
          <w:rStyle w:val="Refdenotaalpie"/>
          <w:rFonts w:ascii="Arial" w:hAnsi="Arial" w:cs="Arial"/>
          <w:sz w:val="18"/>
          <w:szCs w:val="18"/>
        </w:rPr>
        <w:footnoteRef/>
      </w:r>
      <w:r w:rsidRPr="00931E03">
        <w:rPr>
          <w:rFonts w:ascii="Arial" w:hAnsi="Arial" w:cs="Arial"/>
          <w:sz w:val="18"/>
          <w:szCs w:val="18"/>
        </w:rPr>
        <w:t xml:space="preserve"> Ib., </w:t>
      </w:r>
      <w:proofErr w:type="spellStart"/>
      <w:r w:rsidRPr="00931E03">
        <w:rPr>
          <w:rFonts w:ascii="Arial" w:hAnsi="Arial" w:cs="Arial"/>
          <w:sz w:val="18"/>
          <w:szCs w:val="18"/>
        </w:rPr>
        <w:t>arch</w:t>
      </w:r>
      <w:proofErr w:type="spellEnd"/>
      <w:r w:rsidRPr="00931E03">
        <w:rPr>
          <w:rFonts w:ascii="Arial" w:hAnsi="Arial" w:cs="Arial"/>
          <w:sz w:val="18"/>
          <w:szCs w:val="18"/>
        </w:rPr>
        <w:t>. 40</w:t>
      </w:r>
    </w:p>
  </w:footnote>
  <w:footnote w:id="9">
    <w:p w14:paraId="001F168E" w14:textId="28E80E1A" w:rsidR="00993E58" w:rsidRPr="00931E03" w:rsidRDefault="00993E58" w:rsidP="00931E03">
      <w:pPr>
        <w:pStyle w:val="Textonotapie"/>
        <w:jc w:val="both"/>
        <w:rPr>
          <w:rFonts w:ascii="Arial" w:hAnsi="Arial" w:cs="Arial"/>
          <w:sz w:val="18"/>
          <w:szCs w:val="18"/>
          <w:lang w:val="es-CO"/>
        </w:rPr>
      </w:pPr>
      <w:r w:rsidRPr="00931E03">
        <w:rPr>
          <w:rStyle w:val="Refdenotaalpie"/>
          <w:rFonts w:ascii="Arial" w:hAnsi="Arial" w:cs="Arial"/>
          <w:sz w:val="18"/>
          <w:szCs w:val="18"/>
        </w:rPr>
        <w:footnoteRef/>
      </w:r>
      <w:r w:rsidRPr="00931E03">
        <w:rPr>
          <w:rFonts w:ascii="Arial" w:hAnsi="Arial" w:cs="Arial"/>
          <w:sz w:val="18"/>
          <w:szCs w:val="18"/>
        </w:rPr>
        <w:t xml:space="preserve"> Auto</w:t>
      </w:r>
      <w:r w:rsidRPr="00931E03">
        <w:rPr>
          <w:rFonts w:ascii="Arial" w:hAnsi="Arial" w:cs="Arial"/>
          <w:spacing w:val="-4"/>
          <w:sz w:val="18"/>
          <w:szCs w:val="18"/>
        </w:rPr>
        <w:t xml:space="preserve"> </w:t>
      </w:r>
      <w:r w:rsidRPr="00931E03">
        <w:rPr>
          <w:rFonts w:ascii="Arial" w:hAnsi="Arial" w:cs="Arial"/>
          <w:sz w:val="18"/>
          <w:szCs w:val="18"/>
        </w:rPr>
        <w:t>del</w:t>
      </w:r>
      <w:r w:rsidRPr="00931E03">
        <w:rPr>
          <w:rFonts w:ascii="Arial" w:hAnsi="Arial" w:cs="Arial"/>
          <w:spacing w:val="-2"/>
          <w:sz w:val="18"/>
          <w:szCs w:val="18"/>
        </w:rPr>
        <w:t xml:space="preserve"> </w:t>
      </w:r>
      <w:r w:rsidRPr="00931E03">
        <w:rPr>
          <w:rFonts w:ascii="Arial" w:hAnsi="Arial" w:cs="Arial"/>
          <w:sz w:val="18"/>
          <w:szCs w:val="18"/>
        </w:rPr>
        <w:t>24</w:t>
      </w:r>
      <w:r w:rsidRPr="00931E03">
        <w:rPr>
          <w:rFonts w:ascii="Arial" w:hAnsi="Arial" w:cs="Arial"/>
          <w:spacing w:val="-5"/>
          <w:sz w:val="18"/>
          <w:szCs w:val="18"/>
        </w:rPr>
        <w:t xml:space="preserve"> </w:t>
      </w:r>
      <w:r w:rsidRPr="00931E03">
        <w:rPr>
          <w:rFonts w:ascii="Arial" w:hAnsi="Arial" w:cs="Arial"/>
          <w:sz w:val="18"/>
          <w:szCs w:val="18"/>
        </w:rPr>
        <w:t>de</w:t>
      </w:r>
      <w:r w:rsidRPr="00931E03">
        <w:rPr>
          <w:rFonts w:ascii="Arial" w:hAnsi="Arial" w:cs="Arial"/>
          <w:spacing w:val="-3"/>
          <w:sz w:val="18"/>
          <w:szCs w:val="18"/>
        </w:rPr>
        <w:t xml:space="preserve"> </w:t>
      </w:r>
      <w:r w:rsidRPr="00931E03">
        <w:rPr>
          <w:rFonts w:ascii="Arial" w:hAnsi="Arial" w:cs="Arial"/>
          <w:sz w:val="18"/>
          <w:szCs w:val="18"/>
        </w:rPr>
        <w:t>noviembre</w:t>
      </w:r>
      <w:r w:rsidRPr="00931E03">
        <w:rPr>
          <w:rFonts w:ascii="Arial" w:hAnsi="Arial" w:cs="Arial"/>
          <w:spacing w:val="-3"/>
          <w:sz w:val="18"/>
          <w:szCs w:val="18"/>
        </w:rPr>
        <w:t xml:space="preserve"> </w:t>
      </w:r>
      <w:r w:rsidRPr="00931E03">
        <w:rPr>
          <w:rFonts w:ascii="Arial" w:hAnsi="Arial" w:cs="Arial"/>
          <w:sz w:val="18"/>
          <w:szCs w:val="18"/>
        </w:rPr>
        <w:t>de</w:t>
      </w:r>
      <w:r w:rsidRPr="00931E03">
        <w:rPr>
          <w:rFonts w:ascii="Arial" w:hAnsi="Arial" w:cs="Arial"/>
          <w:spacing w:val="-3"/>
          <w:sz w:val="18"/>
          <w:szCs w:val="18"/>
        </w:rPr>
        <w:t xml:space="preserve"> </w:t>
      </w:r>
      <w:r w:rsidRPr="00931E03">
        <w:rPr>
          <w:rFonts w:ascii="Arial" w:hAnsi="Arial" w:cs="Arial"/>
          <w:sz w:val="18"/>
          <w:szCs w:val="18"/>
        </w:rPr>
        <w:t>2016,</w:t>
      </w:r>
      <w:r w:rsidRPr="00931E03">
        <w:rPr>
          <w:rFonts w:ascii="Arial" w:hAnsi="Arial" w:cs="Arial"/>
          <w:spacing w:val="-4"/>
          <w:sz w:val="18"/>
          <w:szCs w:val="18"/>
        </w:rPr>
        <w:t xml:space="preserve"> </w:t>
      </w:r>
      <w:r w:rsidRPr="00931E03">
        <w:rPr>
          <w:rFonts w:ascii="Arial" w:hAnsi="Arial" w:cs="Arial"/>
          <w:sz w:val="18"/>
          <w:szCs w:val="18"/>
        </w:rPr>
        <w:t>expediente</w:t>
      </w:r>
      <w:r w:rsidRPr="00931E03">
        <w:rPr>
          <w:rFonts w:ascii="Arial" w:hAnsi="Arial" w:cs="Arial"/>
          <w:spacing w:val="-3"/>
          <w:sz w:val="18"/>
          <w:szCs w:val="18"/>
        </w:rPr>
        <w:t xml:space="preserve"> </w:t>
      </w:r>
      <w:r w:rsidRPr="00931E03">
        <w:rPr>
          <w:rFonts w:ascii="Arial" w:hAnsi="Arial" w:cs="Arial"/>
          <w:sz w:val="18"/>
          <w:szCs w:val="18"/>
        </w:rPr>
        <w:t>66400310300120110032301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223D4" w14:textId="77777777" w:rsidR="00161FE1" w:rsidRDefault="00161FE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7A587" w14:textId="77777777" w:rsidR="00161FE1" w:rsidRDefault="00161FE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74C49" w14:textId="77777777" w:rsidR="00161FE1" w:rsidRDefault="00161F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507F8"/>
    <w:multiLevelType w:val="hybridMultilevel"/>
    <w:tmpl w:val="0F3CF1F0"/>
    <w:lvl w:ilvl="0" w:tplc="240A0019">
      <w:start w:val="1"/>
      <w:numFmt w:val="lowerLetter"/>
      <w:lvlText w:val="%1."/>
      <w:lvlJc w:val="left"/>
      <w:pPr>
        <w:ind w:left="2061" w:hanging="360"/>
      </w:pPr>
      <w:rPr>
        <w:rFonts w:hint="default"/>
      </w:rPr>
    </w:lvl>
    <w:lvl w:ilvl="1" w:tplc="240A0019" w:tentative="1">
      <w:start w:val="1"/>
      <w:numFmt w:val="lowerLetter"/>
      <w:lvlText w:val="%2."/>
      <w:lvlJc w:val="left"/>
      <w:pPr>
        <w:ind w:left="2781" w:hanging="360"/>
      </w:pPr>
    </w:lvl>
    <w:lvl w:ilvl="2" w:tplc="240A001B" w:tentative="1">
      <w:start w:val="1"/>
      <w:numFmt w:val="lowerRoman"/>
      <w:lvlText w:val="%3."/>
      <w:lvlJc w:val="right"/>
      <w:pPr>
        <w:ind w:left="3501" w:hanging="180"/>
      </w:pPr>
    </w:lvl>
    <w:lvl w:ilvl="3" w:tplc="240A000F" w:tentative="1">
      <w:start w:val="1"/>
      <w:numFmt w:val="decimal"/>
      <w:lvlText w:val="%4."/>
      <w:lvlJc w:val="left"/>
      <w:pPr>
        <w:ind w:left="4221" w:hanging="360"/>
      </w:pPr>
    </w:lvl>
    <w:lvl w:ilvl="4" w:tplc="240A0019" w:tentative="1">
      <w:start w:val="1"/>
      <w:numFmt w:val="lowerLetter"/>
      <w:lvlText w:val="%5."/>
      <w:lvlJc w:val="left"/>
      <w:pPr>
        <w:ind w:left="4941" w:hanging="360"/>
      </w:pPr>
    </w:lvl>
    <w:lvl w:ilvl="5" w:tplc="240A001B" w:tentative="1">
      <w:start w:val="1"/>
      <w:numFmt w:val="lowerRoman"/>
      <w:lvlText w:val="%6."/>
      <w:lvlJc w:val="right"/>
      <w:pPr>
        <w:ind w:left="5661" w:hanging="180"/>
      </w:pPr>
    </w:lvl>
    <w:lvl w:ilvl="6" w:tplc="240A000F" w:tentative="1">
      <w:start w:val="1"/>
      <w:numFmt w:val="decimal"/>
      <w:lvlText w:val="%7."/>
      <w:lvlJc w:val="left"/>
      <w:pPr>
        <w:ind w:left="6381" w:hanging="360"/>
      </w:pPr>
    </w:lvl>
    <w:lvl w:ilvl="7" w:tplc="240A0019" w:tentative="1">
      <w:start w:val="1"/>
      <w:numFmt w:val="lowerLetter"/>
      <w:lvlText w:val="%8."/>
      <w:lvlJc w:val="left"/>
      <w:pPr>
        <w:ind w:left="7101" w:hanging="360"/>
      </w:pPr>
    </w:lvl>
    <w:lvl w:ilvl="8" w:tplc="240A001B" w:tentative="1">
      <w:start w:val="1"/>
      <w:numFmt w:val="lowerRoman"/>
      <w:lvlText w:val="%9."/>
      <w:lvlJc w:val="right"/>
      <w:pPr>
        <w:ind w:left="7821" w:hanging="180"/>
      </w:pPr>
    </w:lvl>
  </w:abstractNum>
  <w:abstractNum w:abstractNumId="1" w15:restartNumberingAfterBreak="0">
    <w:nsid w:val="26AA0EC5"/>
    <w:multiLevelType w:val="hybridMultilevel"/>
    <w:tmpl w:val="C0309296"/>
    <w:lvl w:ilvl="0" w:tplc="17882702">
      <w:start w:val="1"/>
      <w:numFmt w:val="lowerLetter"/>
      <w:lvlText w:val="%1)"/>
      <w:lvlJc w:val="left"/>
      <w:pPr>
        <w:ind w:left="668" w:hanging="264"/>
      </w:pPr>
      <w:rPr>
        <w:rFonts w:ascii="Arial" w:eastAsia="Arial" w:hAnsi="Arial" w:cs="Arial" w:hint="default"/>
        <w:i/>
        <w:iCs/>
        <w:spacing w:val="-1"/>
        <w:w w:val="82"/>
        <w:sz w:val="28"/>
        <w:szCs w:val="28"/>
        <w:lang w:val="es-ES" w:eastAsia="en-US" w:bidi="ar-SA"/>
      </w:rPr>
    </w:lvl>
    <w:lvl w:ilvl="1" w:tplc="C9F2BBC0">
      <w:numFmt w:val="bullet"/>
      <w:lvlText w:val="•"/>
      <w:lvlJc w:val="left"/>
      <w:pPr>
        <w:ind w:left="1500" w:hanging="264"/>
      </w:pPr>
      <w:rPr>
        <w:rFonts w:hint="default"/>
        <w:lang w:val="es-ES" w:eastAsia="en-US" w:bidi="ar-SA"/>
      </w:rPr>
    </w:lvl>
    <w:lvl w:ilvl="2" w:tplc="5F0607C2">
      <w:numFmt w:val="bullet"/>
      <w:lvlText w:val="•"/>
      <w:lvlJc w:val="left"/>
      <w:pPr>
        <w:ind w:left="2340" w:hanging="264"/>
      </w:pPr>
      <w:rPr>
        <w:rFonts w:hint="default"/>
        <w:lang w:val="es-ES" w:eastAsia="en-US" w:bidi="ar-SA"/>
      </w:rPr>
    </w:lvl>
    <w:lvl w:ilvl="3" w:tplc="00A07284">
      <w:numFmt w:val="bullet"/>
      <w:lvlText w:val="•"/>
      <w:lvlJc w:val="left"/>
      <w:pPr>
        <w:ind w:left="3180" w:hanging="264"/>
      </w:pPr>
      <w:rPr>
        <w:rFonts w:hint="default"/>
        <w:lang w:val="es-ES" w:eastAsia="en-US" w:bidi="ar-SA"/>
      </w:rPr>
    </w:lvl>
    <w:lvl w:ilvl="4" w:tplc="9A80AF6A">
      <w:numFmt w:val="bullet"/>
      <w:lvlText w:val="•"/>
      <w:lvlJc w:val="left"/>
      <w:pPr>
        <w:ind w:left="4020" w:hanging="264"/>
      </w:pPr>
      <w:rPr>
        <w:rFonts w:hint="default"/>
        <w:lang w:val="es-ES" w:eastAsia="en-US" w:bidi="ar-SA"/>
      </w:rPr>
    </w:lvl>
    <w:lvl w:ilvl="5" w:tplc="0EE84B04">
      <w:numFmt w:val="bullet"/>
      <w:lvlText w:val="•"/>
      <w:lvlJc w:val="left"/>
      <w:pPr>
        <w:ind w:left="4860" w:hanging="264"/>
      </w:pPr>
      <w:rPr>
        <w:rFonts w:hint="default"/>
        <w:lang w:val="es-ES" w:eastAsia="en-US" w:bidi="ar-SA"/>
      </w:rPr>
    </w:lvl>
    <w:lvl w:ilvl="6" w:tplc="5CAEDC78">
      <w:numFmt w:val="bullet"/>
      <w:lvlText w:val="•"/>
      <w:lvlJc w:val="left"/>
      <w:pPr>
        <w:ind w:left="5700" w:hanging="264"/>
      </w:pPr>
      <w:rPr>
        <w:rFonts w:hint="default"/>
        <w:lang w:val="es-ES" w:eastAsia="en-US" w:bidi="ar-SA"/>
      </w:rPr>
    </w:lvl>
    <w:lvl w:ilvl="7" w:tplc="9C90C886">
      <w:numFmt w:val="bullet"/>
      <w:lvlText w:val="•"/>
      <w:lvlJc w:val="left"/>
      <w:pPr>
        <w:ind w:left="6540" w:hanging="264"/>
      </w:pPr>
      <w:rPr>
        <w:rFonts w:hint="default"/>
        <w:lang w:val="es-ES" w:eastAsia="en-US" w:bidi="ar-SA"/>
      </w:rPr>
    </w:lvl>
    <w:lvl w:ilvl="8" w:tplc="3BEC1688">
      <w:numFmt w:val="bullet"/>
      <w:lvlText w:val="•"/>
      <w:lvlJc w:val="left"/>
      <w:pPr>
        <w:ind w:left="7380" w:hanging="264"/>
      </w:pPr>
      <w:rPr>
        <w:rFonts w:hint="default"/>
        <w:lang w:val="es-ES" w:eastAsia="en-US" w:bidi="ar-SA"/>
      </w:rPr>
    </w:lvl>
  </w:abstractNum>
  <w:abstractNum w:abstractNumId="2" w15:restartNumberingAfterBreak="0">
    <w:nsid w:val="5329099B"/>
    <w:multiLevelType w:val="hybridMultilevel"/>
    <w:tmpl w:val="3A0434F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EF36D4D"/>
    <w:multiLevelType w:val="hybridMultilevel"/>
    <w:tmpl w:val="3C7CDF10"/>
    <w:lvl w:ilvl="0" w:tplc="230A9E54">
      <w:start w:val="2"/>
      <w:numFmt w:val="lowerLetter"/>
      <w:lvlText w:val="%1)"/>
      <w:lvlJc w:val="left"/>
      <w:pPr>
        <w:ind w:left="102" w:hanging="308"/>
      </w:pPr>
      <w:rPr>
        <w:rFonts w:ascii="Gadugi" w:eastAsia="Gadugi" w:hAnsi="Gadugi" w:cs="Gadugi" w:hint="default"/>
        <w:w w:val="100"/>
        <w:sz w:val="28"/>
        <w:szCs w:val="28"/>
        <w:lang w:val="es-ES" w:eastAsia="en-US" w:bidi="ar-SA"/>
      </w:rPr>
    </w:lvl>
    <w:lvl w:ilvl="1" w:tplc="2CC2754C">
      <w:start w:val="1"/>
      <w:numFmt w:val="decimal"/>
      <w:lvlText w:val="%2."/>
      <w:lvlJc w:val="left"/>
      <w:pPr>
        <w:ind w:left="102" w:hanging="423"/>
      </w:pPr>
      <w:rPr>
        <w:rFonts w:ascii="Georgia" w:eastAsia="Gadugi" w:hAnsi="Georgia" w:cs="Gadugi" w:hint="default"/>
        <w:spacing w:val="-1"/>
        <w:w w:val="100"/>
        <w:sz w:val="28"/>
        <w:szCs w:val="28"/>
        <w:lang w:val="es-ES" w:eastAsia="en-US" w:bidi="ar-SA"/>
      </w:rPr>
    </w:lvl>
    <w:lvl w:ilvl="2" w:tplc="6AFE3188">
      <w:numFmt w:val="bullet"/>
      <w:lvlText w:val="•"/>
      <w:lvlJc w:val="left"/>
      <w:pPr>
        <w:ind w:left="1892" w:hanging="423"/>
      </w:pPr>
      <w:rPr>
        <w:rFonts w:hint="default"/>
        <w:lang w:val="es-ES" w:eastAsia="en-US" w:bidi="ar-SA"/>
      </w:rPr>
    </w:lvl>
    <w:lvl w:ilvl="3" w:tplc="8B420032">
      <w:numFmt w:val="bullet"/>
      <w:lvlText w:val="•"/>
      <w:lvlJc w:val="left"/>
      <w:pPr>
        <w:ind w:left="2788" w:hanging="423"/>
      </w:pPr>
      <w:rPr>
        <w:rFonts w:hint="default"/>
        <w:lang w:val="es-ES" w:eastAsia="en-US" w:bidi="ar-SA"/>
      </w:rPr>
    </w:lvl>
    <w:lvl w:ilvl="4" w:tplc="D930B8D0">
      <w:numFmt w:val="bullet"/>
      <w:lvlText w:val="•"/>
      <w:lvlJc w:val="left"/>
      <w:pPr>
        <w:ind w:left="3684" w:hanging="423"/>
      </w:pPr>
      <w:rPr>
        <w:rFonts w:hint="default"/>
        <w:lang w:val="es-ES" w:eastAsia="en-US" w:bidi="ar-SA"/>
      </w:rPr>
    </w:lvl>
    <w:lvl w:ilvl="5" w:tplc="B7584EE6">
      <w:numFmt w:val="bullet"/>
      <w:lvlText w:val="•"/>
      <w:lvlJc w:val="left"/>
      <w:pPr>
        <w:ind w:left="4580" w:hanging="423"/>
      </w:pPr>
      <w:rPr>
        <w:rFonts w:hint="default"/>
        <w:lang w:val="es-ES" w:eastAsia="en-US" w:bidi="ar-SA"/>
      </w:rPr>
    </w:lvl>
    <w:lvl w:ilvl="6" w:tplc="41745FDC">
      <w:numFmt w:val="bullet"/>
      <w:lvlText w:val="•"/>
      <w:lvlJc w:val="left"/>
      <w:pPr>
        <w:ind w:left="5476" w:hanging="423"/>
      </w:pPr>
      <w:rPr>
        <w:rFonts w:hint="default"/>
        <w:lang w:val="es-ES" w:eastAsia="en-US" w:bidi="ar-SA"/>
      </w:rPr>
    </w:lvl>
    <w:lvl w:ilvl="7" w:tplc="D9C4DEAA">
      <w:numFmt w:val="bullet"/>
      <w:lvlText w:val="•"/>
      <w:lvlJc w:val="left"/>
      <w:pPr>
        <w:ind w:left="6372" w:hanging="423"/>
      </w:pPr>
      <w:rPr>
        <w:rFonts w:hint="default"/>
        <w:lang w:val="es-ES" w:eastAsia="en-US" w:bidi="ar-SA"/>
      </w:rPr>
    </w:lvl>
    <w:lvl w:ilvl="8" w:tplc="B05A142C">
      <w:numFmt w:val="bullet"/>
      <w:lvlText w:val="•"/>
      <w:lvlJc w:val="left"/>
      <w:pPr>
        <w:ind w:left="7268" w:hanging="423"/>
      </w:pPr>
      <w:rPr>
        <w:rFonts w:hint="default"/>
        <w:lang w:val="es-ES"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CD"/>
    <w:rsid w:val="0000774B"/>
    <w:rsid w:val="0003197A"/>
    <w:rsid w:val="00034661"/>
    <w:rsid w:val="00065D2A"/>
    <w:rsid w:val="00070316"/>
    <w:rsid w:val="00071EEF"/>
    <w:rsid w:val="00075B2F"/>
    <w:rsid w:val="000777B9"/>
    <w:rsid w:val="00080196"/>
    <w:rsid w:val="00082B95"/>
    <w:rsid w:val="00086BFF"/>
    <w:rsid w:val="00095133"/>
    <w:rsid w:val="000F06A8"/>
    <w:rsid w:val="000F252B"/>
    <w:rsid w:val="0010326A"/>
    <w:rsid w:val="00107112"/>
    <w:rsid w:val="0010768F"/>
    <w:rsid w:val="001146DD"/>
    <w:rsid w:val="00143BB8"/>
    <w:rsid w:val="00161FE1"/>
    <w:rsid w:val="00176693"/>
    <w:rsid w:val="0018188F"/>
    <w:rsid w:val="001B4D8C"/>
    <w:rsid w:val="001E5649"/>
    <w:rsid w:val="001F33BA"/>
    <w:rsid w:val="00200BF9"/>
    <w:rsid w:val="002132E2"/>
    <w:rsid w:val="00263D1B"/>
    <w:rsid w:val="002666E6"/>
    <w:rsid w:val="00280634"/>
    <w:rsid w:val="002F37B7"/>
    <w:rsid w:val="003139E7"/>
    <w:rsid w:val="0033577C"/>
    <w:rsid w:val="00344E3D"/>
    <w:rsid w:val="0036123C"/>
    <w:rsid w:val="0036478D"/>
    <w:rsid w:val="003738E5"/>
    <w:rsid w:val="00382060"/>
    <w:rsid w:val="003972E7"/>
    <w:rsid w:val="003A2EDC"/>
    <w:rsid w:val="003A3C3D"/>
    <w:rsid w:val="003B6542"/>
    <w:rsid w:val="004117C9"/>
    <w:rsid w:val="00416AF1"/>
    <w:rsid w:val="00434A1A"/>
    <w:rsid w:val="004362DD"/>
    <w:rsid w:val="00445F28"/>
    <w:rsid w:val="004768F9"/>
    <w:rsid w:val="00485A92"/>
    <w:rsid w:val="00493F0A"/>
    <w:rsid w:val="004A1992"/>
    <w:rsid w:val="004E0B5D"/>
    <w:rsid w:val="004F3C6F"/>
    <w:rsid w:val="00517412"/>
    <w:rsid w:val="00527B97"/>
    <w:rsid w:val="00537150"/>
    <w:rsid w:val="0053741D"/>
    <w:rsid w:val="0054458F"/>
    <w:rsid w:val="00563772"/>
    <w:rsid w:val="005E6327"/>
    <w:rsid w:val="005F6621"/>
    <w:rsid w:val="00621DC1"/>
    <w:rsid w:val="00626D2C"/>
    <w:rsid w:val="00642A58"/>
    <w:rsid w:val="00690E7C"/>
    <w:rsid w:val="006E2182"/>
    <w:rsid w:val="006E62BD"/>
    <w:rsid w:val="006F4AEB"/>
    <w:rsid w:val="006F52FC"/>
    <w:rsid w:val="00703596"/>
    <w:rsid w:val="00703C24"/>
    <w:rsid w:val="0076006D"/>
    <w:rsid w:val="0077259A"/>
    <w:rsid w:val="00777EE4"/>
    <w:rsid w:val="0078297B"/>
    <w:rsid w:val="007B18A4"/>
    <w:rsid w:val="007D2BB6"/>
    <w:rsid w:val="008019A0"/>
    <w:rsid w:val="00803ED4"/>
    <w:rsid w:val="008151AD"/>
    <w:rsid w:val="0082186D"/>
    <w:rsid w:val="00837EEB"/>
    <w:rsid w:val="00853FEF"/>
    <w:rsid w:val="00861D82"/>
    <w:rsid w:val="0089270C"/>
    <w:rsid w:val="008A51C2"/>
    <w:rsid w:val="008D52B1"/>
    <w:rsid w:val="008F1D6E"/>
    <w:rsid w:val="008F3786"/>
    <w:rsid w:val="0090386E"/>
    <w:rsid w:val="009106D3"/>
    <w:rsid w:val="0091625B"/>
    <w:rsid w:val="00927549"/>
    <w:rsid w:val="00931E03"/>
    <w:rsid w:val="00956909"/>
    <w:rsid w:val="00966C7A"/>
    <w:rsid w:val="00985378"/>
    <w:rsid w:val="00993E58"/>
    <w:rsid w:val="009B2AFD"/>
    <w:rsid w:val="009C7AA6"/>
    <w:rsid w:val="009F5818"/>
    <w:rsid w:val="00A02618"/>
    <w:rsid w:val="00A134D3"/>
    <w:rsid w:val="00A216E4"/>
    <w:rsid w:val="00A404D4"/>
    <w:rsid w:val="00A43E86"/>
    <w:rsid w:val="00A61BBB"/>
    <w:rsid w:val="00A66484"/>
    <w:rsid w:val="00AB36BA"/>
    <w:rsid w:val="00AC6AAF"/>
    <w:rsid w:val="00AC7CE1"/>
    <w:rsid w:val="00B731DB"/>
    <w:rsid w:val="00B8613D"/>
    <w:rsid w:val="00B9543D"/>
    <w:rsid w:val="00BA4231"/>
    <w:rsid w:val="00BA7C74"/>
    <w:rsid w:val="00BC1657"/>
    <w:rsid w:val="00BF0006"/>
    <w:rsid w:val="00BF4055"/>
    <w:rsid w:val="00BF66F8"/>
    <w:rsid w:val="00C12679"/>
    <w:rsid w:val="00C13CF6"/>
    <w:rsid w:val="00C1470E"/>
    <w:rsid w:val="00C27055"/>
    <w:rsid w:val="00C34631"/>
    <w:rsid w:val="00C37084"/>
    <w:rsid w:val="00C50B15"/>
    <w:rsid w:val="00C848E9"/>
    <w:rsid w:val="00CA2522"/>
    <w:rsid w:val="00CF7740"/>
    <w:rsid w:val="00D217A1"/>
    <w:rsid w:val="00D218EC"/>
    <w:rsid w:val="00D40DD6"/>
    <w:rsid w:val="00D510D6"/>
    <w:rsid w:val="00D512CC"/>
    <w:rsid w:val="00D72B6C"/>
    <w:rsid w:val="00D742F4"/>
    <w:rsid w:val="00D9592B"/>
    <w:rsid w:val="00D965BA"/>
    <w:rsid w:val="00DA569D"/>
    <w:rsid w:val="00DB179E"/>
    <w:rsid w:val="00DB5C04"/>
    <w:rsid w:val="00DD3D0E"/>
    <w:rsid w:val="00DE541D"/>
    <w:rsid w:val="00DE75C0"/>
    <w:rsid w:val="00E02E7C"/>
    <w:rsid w:val="00E41B22"/>
    <w:rsid w:val="00E4680D"/>
    <w:rsid w:val="00E715B6"/>
    <w:rsid w:val="00EF4EDC"/>
    <w:rsid w:val="00EF5031"/>
    <w:rsid w:val="00F24738"/>
    <w:rsid w:val="00F31DF7"/>
    <w:rsid w:val="00F915D7"/>
    <w:rsid w:val="00FA4D0C"/>
    <w:rsid w:val="00FD0FCD"/>
    <w:rsid w:val="00FE162B"/>
    <w:rsid w:val="00FE5D75"/>
    <w:rsid w:val="00FE698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091A1"/>
  <w15:docId w15:val="{5E0099FF-AE25-4539-9BD2-F1E74B13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1AD"/>
    <w:rPr>
      <w:rFonts w:ascii="Gadugi" w:eastAsia="Gadugi" w:hAnsi="Gadugi" w:cs="Gadugi"/>
      <w:lang w:val="es-ES"/>
    </w:rPr>
  </w:style>
  <w:style w:type="paragraph" w:styleId="Ttulo1">
    <w:name w:val="heading 1"/>
    <w:basedOn w:val="Normal"/>
    <w:uiPriority w:val="9"/>
    <w:qFormat/>
    <w:pPr>
      <w:ind w:left="102"/>
      <w:outlineLvl w:val="0"/>
    </w:pPr>
    <w:rPr>
      <w:sz w:val="29"/>
      <w:szCs w:val="29"/>
    </w:rPr>
  </w:style>
  <w:style w:type="paragraph" w:styleId="Ttulo2">
    <w:name w:val="heading 2"/>
    <w:basedOn w:val="Normal"/>
    <w:uiPriority w:val="9"/>
    <w:unhideWhenUsed/>
    <w:qFormat/>
    <w:pPr>
      <w:spacing w:before="189"/>
      <w:ind w:left="1803"/>
      <w:outlineLvl w:val="1"/>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rFonts w:ascii="Arial MT" w:eastAsia="Arial MT" w:hAnsi="Arial MT" w:cs="Arial MT"/>
      <w:sz w:val="28"/>
      <w:szCs w:val="28"/>
    </w:rPr>
  </w:style>
  <w:style w:type="paragraph" w:styleId="Prrafodelista">
    <w:name w:val="List Paragraph"/>
    <w:basedOn w:val="Normal"/>
    <w:uiPriority w:val="1"/>
    <w:qFormat/>
    <w:pPr>
      <w:ind w:left="102" w:right="119" w:firstLine="1135"/>
      <w:jc w:val="both"/>
    </w:pPr>
  </w:style>
  <w:style w:type="paragraph" w:customStyle="1" w:styleId="TableParagraph">
    <w:name w:val="Table Paragraph"/>
    <w:basedOn w:val="Normal"/>
    <w:uiPriority w:val="1"/>
    <w:qFormat/>
  </w:style>
  <w:style w:type="paragraph" w:styleId="Textonotapie">
    <w:name w:val="footnote text"/>
    <w:basedOn w:val="Normal"/>
    <w:link w:val="TextonotapieCar"/>
    <w:uiPriority w:val="99"/>
    <w:semiHidden/>
    <w:unhideWhenUsed/>
    <w:rsid w:val="008D52B1"/>
    <w:rPr>
      <w:sz w:val="20"/>
      <w:szCs w:val="20"/>
    </w:rPr>
  </w:style>
  <w:style w:type="character" w:customStyle="1" w:styleId="TextonotapieCar">
    <w:name w:val="Texto nota pie Car"/>
    <w:basedOn w:val="Fuentedeprrafopredeter"/>
    <w:link w:val="Textonotapie"/>
    <w:uiPriority w:val="99"/>
    <w:semiHidden/>
    <w:rsid w:val="008D52B1"/>
    <w:rPr>
      <w:rFonts w:ascii="Gadugi" w:eastAsia="Gadugi" w:hAnsi="Gadugi" w:cs="Gadugi"/>
      <w:sz w:val="20"/>
      <w:szCs w:val="20"/>
      <w:lang w:val="es-ES"/>
    </w:rPr>
  </w:style>
  <w:style w:type="character" w:styleId="Refdenotaalpie">
    <w:name w:val="footnote reference"/>
    <w:basedOn w:val="Fuentedeprrafopredeter"/>
    <w:uiPriority w:val="99"/>
    <w:semiHidden/>
    <w:unhideWhenUsed/>
    <w:rsid w:val="008D52B1"/>
    <w:rPr>
      <w:vertAlign w:val="superscript"/>
    </w:rPr>
  </w:style>
  <w:style w:type="paragraph" w:styleId="Encabezado">
    <w:name w:val="header"/>
    <w:basedOn w:val="Normal"/>
    <w:link w:val="EncabezadoCar"/>
    <w:uiPriority w:val="99"/>
    <w:unhideWhenUsed/>
    <w:rsid w:val="00DE75C0"/>
    <w:pPr>
      <w:tabs>
        <w:tab w:val="center" w:pos="4419"/>
        <w:tab w:val="right" w:pos="8838"/>
      </w:tabs>
    </w:pPr>
  </w:style>
  <w:style w:type="character" w:customStyle="1" w:styleId="EncabezadoCar">
    <w:name w:val="Encabezado Car"/>
    <w:basedOn w:val="Fuentedeprrafopredeter"/>
    <w:link w:val="Encabezado"/>
    <w:uiPriority w:val="99"/>
    <w:rsid w:val="00DE75C0"/>
    <w:rPr>
      <w:rFonts w:ascii="Gadugi" w:eastAsia="Gadugi" w:hAnsi="Gadugi" w:cs="Gadugi"/>
      <w:lang w:val="es-ES"/>
    </w:rPr>
  </w:style>
  <w:style w:type="paragraph" w:styleId="Piedepgina">
    <w:name w:val="footer"/>
    <w:basedOn w:val="Normal"/>
    <w:link w:val="PiedepginaCar"/>
    <w:uiPriority w:val="99"/>
    <w:unhideWhenUsed/>
    <w:rsid w:val="00DE75C0"/>
    <w:pPr>
      <w:tabs>
        <w:tab w:val="center" w:pos="4419"/>
        <w:tab w:val="right" w:pos="8838"/>
      </w:tabs>
    </w:pPr>
  </w:style>
  <w:style w:type="character" w:customStyle="1" w:styleId="PiedepginaCar">
    <w:name w:val="Pie de página Car"/>
    <w:basedOn w:val="Fuentedeprrafopredeter"/>
    <w:link w:val="Piedepgina"/>
    <w:uiPriority w:val="99"/>
    <w:rsid w:val="00DE75C0"/>
    <w:rPr>
      <w:rFonts w:ascii="Gadugi" w:eastAsia="Gadugi" w:hAnsi="Gadugi" w:cs="Gadugi"/>
      <w:lang w:val="es-ES"/>
    </w:rPr>
  </w:style>
  <w:style w:type="character" w:customStyle="1" w:styleId="TextoindependienteCar">
    <w:name w:val="Texto independiente Car"/>
    <w:basedOn w:val="Fuentedeprrafopredeter"/>
    <w:link w:val="Textoindependiente"/>
    <w:uiPriority w:val="1"/>
    <w:rsid w:val="0091625B"/>
    <w:rPr>
      <w:rFonts w:ascii="Arial MT" w:eastAsia="Arial MT" w:hAnsi="Arial MT" w:cs="Arial MT"/>
      <w:sz w:val="28"/>
      <w:szCs w:val="28"/>
      <w:lang w:val="es-ES"/>
    </w:rPr>
  </w:style>
  <w:style w:type="paragraph" w:styleId="NormalWeb">
    <w:name w:val="Normal (Web)"/>
    <w:basedOn w:val="Normal"/>
    <w:uiPriority w:val="99"/>
    <w:unhideWhenUsed/>
    <w:rsid w:val="00D218EC"/>
    <w:pPr>
      <w:widowControl/>
      <w:autoSpaceDE/>
      <w:autoSpaceDN/>
      <w:spacing w:before="100" w:beforeAutospacing="1" w:after="100" w:afterAutospacing="1"/>
    </w:pPr>
    <w:rPr>
      <w:rFonts w:ascii="Times New Roman" w:eastAsia="Times New Roman" w:hAnsi="Times New Roman" w:cs="Times New Roman"/>
      <w:sz w:val="24"/>
      <w:szCs w:val="24"/>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936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0D3CA8A8F104B46A609B35E2806C01D" ma:contentTypeVersion="14" ma:contentTypeDescription="Crear nuevo documento." ma:contentTypeScope="" ma:versionID="e1ebe4487b624534dd424cea98b39886">
  <xsd:schema xmlns:xsd="http://www.w3.org/2001/XMLSchema" xmlns:xs="http://www.w3.org/2001/XMLSchema" xmlns:p="http://schemas.microsoft.com/office/2006/metadata/properties" xmlns:ns2="930c81f1-e9ca-4bc6-a442-7e43bfe25841" xmlns:ns3="9845f4ef-a5bd-4dbd-ab8f-e69291a39b0c" targetNamespace="http://schemas.microsoft.com/office/2006/metadata/properties" ma:root="true" ma:fieldsID="ef9149ec6173224bcfea1aa6528206d7" ns2:_="" ns3:_="">
    <xsd:import namespace="930c81f1-e9ca-4bc6-a442-7e43bfe25841"/>
    <xsd:import namespace="9845f4ef-a5bd-4dbd-ab8f-e69291a39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81f1-e9ca-4bc6-a442-7e43bfe25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45f4ef-a5bd-4dbd-ab8f-e69291a39b0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099792c6-f27b-4e16-90a0-038589a113ab}" ma:internalName="TaxCatchAll" ma:showField="CatchAllData" ma:web="9845f4ef-a5bd-4dbd-ab8f-e69291a39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45f4ef-a5bd-4dbd-ab8f-e69291a39b0c" xsi:nil="true"/>
    <lcf76f155ced4ddcb4097134ff3c332f xmlns="930c81f1-e9ca-4bc6-a442-7e43bfe2584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5B5D1-ED1B-417A-A8E0-B4C9589A8FAD}">
  <ds:schemaRefs>
    <ds:schemaRef ds:uri="http://schemas.microsoft.com/sharepoint/v3/contenttype/forms"/>
  </ds:schemaRefs>
</ds:datastoreItem>
</file>

<file path=customXml/itemProps2.xml><?xml version="1.0" encoding="utf-8"?>
<ds:datastoreItem xmlns:ds="http://schemas.openxmlformats.org/officeDocument/2006/customXml" ds:itemID="{2C6544DB-D287-4574-AA9C-C3A5895D2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81f1-e9ca-4bc6-a442-7e43bfe25841"/>
    <ds:schemaRef ds:uri="9845f4ef-a5bd-4dbd-ab8f-e69291a3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0FAFE7-098F-4B77-BC66-4102F9ADE839}">
  <ds:schemaRefs>
    <ds:schemaRef ds:uri="http://schemas.microsoft.com/office/2006/metadata/properties"/>
    <ds:schemaRef ds:uri="http://schemas.microsoft.com/office/infopath/2007/PartnerControls"/>
    <ds:schemaRef ds:uri="9845f4ef-a5bd-4dbd-ab8f-e69291a39b0c"/>
    <ds:schemaRef ds:uri="930c81f1-e9ca-4bc6-a442-7e43bfe25841"/>
  </ds:schemaRefs>
</ds:datastoreItem>
</file>

<file path=customXml/itemProps4.xml><?xml version="1.0" encoding="utf-8"?>
<ds:datastoreItem xmlns:ds="http://schemas.openxmlformats.org/officeDocument/2006/customXml" ds:itemID="{063BE3EB-1FE2-49B3-B52E-F1FA7340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1321</Words>
  <Characters>7266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Alberto Saraza</dc:creator>
  <cp:lastModifiedBy>Hermides Alonso Gaviria Ocampo</cp:lastModifiedBy>
  <cp:revision>8</cp:revision>
  <dcterms:created xsi:type="dcterms:W3CDTF">2023-03-03T14:29:00Z</dcterms:created>
  <dcterms:modified xsi:type="dcterms:W3CDTF">2023-05-25T14:16:00Z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Microsoft® Word 2016</vt:lpwstr>
  </property>
  <property fmtid="{D5CDD505-2E9C-101B-9397-08002B2CF9AE}" pid="4" name="LastSaved">
    <vt:filetime>2022-03-31T00:00:00Z</vt:filetime>
  </property>
  <property fmtid="{D5CDD505-2E9C-101B-9397-08002B2CF9AE}" pid="5" name="ContentTypeId">
    <vt:lpwstr>0x01010050D3CA8A8F104B46A609B35E2806C01D</vt:lpwstr>
  </property>
</Properties>
</file>