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7A4EA" w14:textId="77777777" w:rsidR="00A34818" w:rsidRPr="00A34818" w:rsidRDefault="00A34818" w:rsidP="00A34818">
      <w:pPr>
        <w:widowControl w:val="0"/>
        <w:pBdr>
          <w:top w:val="single" w:sz="4" w:space="0" w:color="auto"/>
          <w:left w:val="single" w:sz="4" w:space="4" w:color="auto"/>
          <w:bottom w:val="single" w:sz="4" w:space="1" w:color="auto"/>
          <w:right w:val="single" w:sz="4" w:space="4" w:color="auto"/>
        </w:pBdr>
        <w:shd w:val="clear" w:color="auto" w:fill="FFFFFF"/>
        <w:autoSpaceDE w:val="0"/>
        <w:autoSpaceDN w:val="0"/>
        <w:spacing w:after="0" w:line="240" w:lineRule="auto"/>
        <w:jc w:val="both"/>
        <w:rPr>
          <w:rFonts w:ascii="Arial" w:eastAsia="Times New Roman" w:hAnsi="Arial" w:cs="Arial"/>
          <w:color w:val="FF0000"/>
          <w:spacing w:val="-4"/>
          <w:sz w:val="18"/>
          <w:szCs w:val="18"/>
          <w:lang w:val="es-419" w:eastAsia="fr-FR"/>
        </w:rPr>
      </w:pPr>
      <w:r w:rsidRPr="00A3481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1AE74A9" w14:textId="77777777" w:rsidR="00A34818" w:rsidRPr="00A34818" w:rsidRDefault="00A34818" w:rsidP="00A34818">
      <w:pPr>
        <w:widowControl w:val="0"/>
        <w:autoSpaceDE w:val="0"/>
        <w:autoSpaceDN w:val="0"/>
        <w:spacing w:after="0" w:line="240" w:lineRule="auto"/>
        <w:jc w:val="both"/>
        <w:rPr>
          <w:rFonts w:ascii="Arial" w:eastAsia="Times New Roman" w:hAnsi="Arial" w:cs="Arial"/>
          <w:sz w:val="20"/>
          <w:szCs w:val="20"/>
          <w:lang w:val="es-419" w:eastAsia="es-ES"/>
        </w:rPr>
      </w:pPr>
    </w:p>
    <w:p w14:paraId="357BE79F" w14:textId="407B144B" w:rsidR="00046913" w:rsidRPr="00046913" w:rsidRDefault="00E5335E" w:rsidP="00046913">
      <w:pPr>
        <w:spacing w:after="0" w:line="240" w:lineRule="auto"/>
        <w:jc w:val="both"/>
        <w:rPr>
          <w:rFonts w:ascii="Arial" w:eastAsia="Times New Roman" w:hAnsi="Arial" w:cs="Arial"/>
          <w:sz w:val="20"/>
          <w:szCs w:val="20"/>
          <w:lang w:val="es-419" w:eastAsia="es-ES"/>
        </w:rPr>
      </w:pPr>
      <w:r w:rsidRPr="00046913">
        <w:rPr>
          <w:rFonts w:ascii="Arial" w:eastAsia="Times New Roman" w:hAnsi="Arial" w:cs="Arial"/>
          <w:b/>
          <w:bCs/>
          <w:iCs/>
          <w:sz w:val="20"/>
          <w:szCs w:val="20"/>
          <w:u w:val="single"/>
          <w:lang w:val="es-419" w:eastAsia="fr-FR"/>
        </w:rPr>
        <w:t>TEMAS:</w:t>
      </w:r>
      <w:r w:rsidRPr="00046913">
        <w:rPr>
          <w:rFonts w:ascii="Arial" w:eastAsia="Times New Roman" w:hAnsi="Arial" w:cs="Arial"/>
          <w:b/>
          <w:bCs/>
          <w:iCs/>
          <w:sz w:val="20"/>
          <w:szCs w:val="20"/>
          <w:lang w:val="es-419" w:eastAsia="fr-FR"/>
        </w:rPr>
        <w:tab/>
      </w:r>
      <w:r w:rsidRPr="00046913">
        <w:rPr>
          <w:rFonts w:ascii="Arial" w:eastAsia="Times New Roman" w:hAnsi="Arial" w:cs="Arial"/>
          <w:b/>
          <w:sz w:val="20"/>
          <w:szCs w:val="20"/>
          <w:lang w:val="es-419" w:eastAsia="es-ES"/>
        </w:rPr>
        <w:t xml:space="preserve">HABEAS CORPUS / DEFINICIÓN CONSTITUCIONAL / CASOS EN QUE PROCEDE / </w:t>
      </w:r>
      <w:r>
        <w:rPr>
          <w:rFonts w:ascii="Arial" w:eastAsia="Times New Roman" w:hAnsi="Arial" w:cs="Arial"/>
          <w:b/>
          <w:sz w:val="20"/>
          <w:szCs w:val="20"/>
          <w:lang w:val="es-419" w:eastAsia="es-ES"/>
        </w:rPr>
        <w:t>DEFECTO SUSTANTIVO / INDEBIDA INTERPRETACIÓN LEGAL / NO OCURRIÓ EN ESTE CASO.</w:t>
      </w:r>
    </w:p>
    <w:p w14:paraId="6D719FF1" w14:textId="77777777" w:rsidR="00046913" w:rsidRPr="00046913" w:rsidRDefault="00046913" w:rsidP="00046913">
      <w:pPr>
        <w:spacing w:after="0" w:line="240" w:lineRule="auto"/>
        <w:jc w:val="both"/>
        <w:rPr>
          <w:rFonts w:ascii="Arial" w:eastAsia="Times New Roman" w:hAnsi="Arial" w:cs="Arial"/>
          <w:sz w:val="20"/>
          <w:szCs w:val="20"/>
          <w:lang w:val="es-419" w:eastAsia="es-ES"/>
        </w:rPr>
      </w:pPr>
    </w:p>
    <w:p w14:paraId="3B11D0F2" w14:textId="77777777" w:rsidR="00046913" w:rsidRPr="00046913" w:rsidRDefault="00046913" w:rsidP="00046913">
      <w:pPr>
        <w:spacing w:after="0" w:line="240" w:lineRule="auto"/>
        <w:jc w:val="both"/>
        <w:rPr>
          <w:rFonts w:ascii="Arial" w:eastAsia="Times New Roman" w:hAnsi="Arial" w:cs="Arial"/>
          <w:sz w:val="20"/>
          <w:szCs w:val="20"/>
          <w:lang w:val="es-419" w:eastAsia="es-ES"/>
        </w:rPr>
      </w:pPr>
      <w:r w:rsidRPr="00046913">
        <w:rPr>
          <w:rFonts w:ascii="Arial" w:eastAsia="Times New Roman" w:hAnsi="Arial" w:cs="Arial"/>
          <w:sz w:val="20"/>
          <w:szCs w:val="20"/>
          <w:lang w:val="es-419" w:eastAsia="es-ES"/>
        </w:rPr>
        <w:t>Establece dicho artículo 30 de la Constitución Nacional como derecho fundamental el hábeas corpus que puede invocar quien se halle privado de la libertad y crea estarlo ilegalmente, acción que se le permite ejercitar por sí mismo o por interpuesta persona.</w:t>
      </w:r>
    </w:p>
    <w:p w14:paraId="35899913" w14:textId="77777777" w:rsidR="00046913" w:rsidRPr="00046913" w:rsidRDefault="00046913" w:rsidP="00046913">
      <w:pPr>
        <w:spacing w:after="0" w:line="240" w:lineRule="auto"/>
        <w:jc w:val="both"/>
        <w:rPr>
          <w:rFonts w:ascii="Arial" w:eastAsia="Times New Roman" w:hAnsi="Arial" w:cs="Arial"/>
          <w:sz w:val="20"/>
          <w:szCs w:val="20"/>
          <w:lang w:val="es-419" w:eastAsia="es-ES"/>
        </w:rPr>
      </w:pPr>
      <w:r w:rsidRPr="00046913">
        <w:rPr>
          <w:rFonts w:ascii="Arial" w:eastAsia="Times New Roman" w:hAnsi="Arial" w:cs="Arial"/>
          <w:sz w:val="20"/>
          <w:szCs w:val="20"/>
          <w:lang w:val="es-419" w:eastAsia="es-ES"/>
        </w:rPr>
        <w:t xml:space="preserve">  </w:t>
      </w:r>
      <w:r w:rsidRPr="00046913">
        <w:rPr>
          <w:rFonts w:ascii="Arial" w:eastAsia="Times New Roman" w:hAnsi="Arial" w:cs="Arial"/>
          <w:sz w:val="20"/>
          <w:szCs w:val="20"/>
          <w:lang w:val="es-419" w:eastAsia="es-ES"/>
        </w:rPr>
        <w:tab/>
      </w:r>
      <w:r w:rsidRPr="00046913">
        <w:rPr>
          <w:rFonts w:ascii="Arial" w:eastAsia="Times New Roman" w:hAnsi="Arial" w:cs="Arial"/>
          <w:sz w:val="20"/>
          <w:szCs w:val="20"/>
          <w:lang w:val="es-419" w:eastAsia="es-ES"/>
        </w:rPr>
        <w:tab/>
      </w:r>
      <w:r w:rsidRPr="00046913">
        <w:rPr>
          <w:rFonts w:ascii="Arial" w:eastAsia="Times New Roman" w:hAnsi="Arial" w:cs="Arial"/>
          <w:sz w:val="20"/>
          <w:szCs w:val="20"/>
          <w:lang w:val="es-419" w:eastAsia="es-ES"/>
        </w:rPr>
        <w:tab/>
      </w:r>
    </w:p>
    <w:p w14:paraId="7AC23A7A" w14:textId="77777777" w:rsidR="00046913" w:rsidRPr="00046913" w:rsidRDefault="00046913" w:rsidP="00046913">
      <w:pPr>
        <w:spacing w:after="0" w:line="240" w:lineRule="auto"/>
        <w:jc w:val="both"/>
        <w:rPr>
          <w:rFonts w:ascii="Arial" w:eastAsia="Times New Roman" w:hAnsi="Arial" w:cs="Arial"/>
          <w:sz w:val="20"/>
          <w:szCs w:val="20"/>
          <w:lang w:val="es-419" w:eastAsia="es-ES"/>
        </w:rPr>
      </w:pPr>
      <w:r w:rsidRPr="00046913">
        <w:rPr>
          <w:rFonts w:ascii="Arial" w:eastAsia="Times New Roman" w:hAnsi="Arial" w:cs="Arial"/>
          <w:sz w:val="20"/>
          <w:szCs w:val="20"/>
          <w:lang w:val="es-419" w:eastAsia="es-ES"/>
        </w:rPr>
        <w:t>En desarrollo de esta norma superior… la Ley 1095 citada definió el hábeas corpus, precisamente, como un derecho fundamental y, a la vez, como una acción constitucional que tutela la libertad personal (i) cuando alguien es privado de ella con violación de las garantías constitucionales o legales o (ii) cuando la privación de la libertad se prolonga ilegalmente.</w:t>
      </w:r>
    </w:p>
    <w:p w14:paraId="084A4C97" w14:textId="77777777" w:rsidR="00046913" w:rsidRPr="00046913" w:rsidRDefault="00046913" w:rsidP="00046913">
      <w:pPr>
        <w:spacing w:after="0" w:line="240" w:lineRule="auto"/>
        <w:jc w:val="both"/>
        <w:rPr>
          <w:rFonts w:ascii="Arial" w:eastAsia="Times New Roman" w:hAnsi="Arial" w:cs="Arial"/>
          <w:sz w:val="20"/>
          <w:szCs w:val="20"/>
          <w:lang w:val="es-419" w:eastAsia="es-ES"/>
        </w:rPr>
      </w:pPr>
      <w:r w:rsidRPr="00046913">
        <w:rPr>
          <w:rFonts w:ascii="Arial" w:eastAsia="Times New Roman" w:hAnsi="Arial" w:cs="Arial"/>
          <w:sz w:val="20"/>
          <w:szCs w:val="20"/>
          <w:lang w:val="es-419" w:eastAsia="es-ES"/>
        </w:rPr>
        <w:t xml:space="preserve">  </w:t>
      </w:r>
      <w:r w:rsidRPr="00046913">
        <w:rPr>
          <w:rFonts w:ascii="Arial" w:eastAsia="Times New Roman" w:hAnsi="Arial" w:cs="Arial"/>
          <w:sz w:val="20"/>
          <w:szCs w:val="20"/>
          <w:lang w:val="es-419" w:eastAsia="es-ES"/>
        </w:rPr>
        <w:tab/>
      </w:r>
      <w:r w:rsidRPr="00046913">
        <w:rPr>
          <w:rFonts w:ascii="Arial" w:eastAsia="Times New Roman" w:hAnsi="Arial" w:cs="Arial"/>
          <w:sz w:val="20"/>
          <w:szCs w:val="20"/>
          <w:lang w:val="es-419" w:eastAsia="es-ES"/>
        </w:rPr>
        <w:tab/>
      </w:r>
      <w:r w:rsidRPr="00046913">
        <w:rPr>
          <w:rFonts w:ascii="Arial" w:eastAsia="Times New Roman" w:hAnsi="Arial" w:cs="Arial"/>
          <w:sz w:val="20"/>
          <w:szCs w:val="20"/>
          <w:lang w:val="es-419" w:eastAsia="es-ES"/>
        </w:rPr>
        <w:tab/>
      </w:r>
      <w:r w:rsidRPr="00046913">
        <w:rPr>
          <w:rFonts w:ascii="Arial" w:eastAsia="Times New Roman" w:hAnsi="Arial" w:cs="Arial"/>
          <w:sz w:val="20"/>
          <w:szCs w:val="20"/>
          <w:lang w:val="es-419" w:eastAsia="es-ES"/>
        </w:rPr>
        <w:tab/>
      </w:r>
    </w:p>
    <w:p w14:paraId="2568F07C" w14:textId="77777777" w:rsidR="00046913" w:rsidRPr="00046913" w:rsidRDefault="00046913" w:rsidP="00046913">
      <w:pPr>
        <w:spacing w:after="0" w:line="240" w:lineRule="auto"/>
        <w:jc w:val="both"/>
        <w:rPr>
          <w:rFonts w:ascii="Arial" w:eastAsia="Times New Roman" w:hAnsi="Arial" w:cs="Arial"/>
          <w:sz w:val="20"/>
          <w:szCs w:val="20"/>
          <w:lang w:val="es-419" w:eastAsia="es-ES"/>
        </w:rPr>
      </w:pPr>
      <w:r w:rsidRPr="00046913">
        <w:rPr>
          <w:rFonts w:ascii="Arial" w:eastAsia="Times New Roman" w:hAnsi="Arial" w:cs="Arial"/>
          <w:sz w:val="20"/>
          <w:szCs w:val="20"/>
          <w:lang w:val="es-419" w:eastAsia="es-ES"/>
        </w:rPr>
        <w:t>Del contenido expreso de la solicitud, se infiere que el actor subsume la cuestión en la segunda causal, en el entendido de que su proceso ha estado suspendido por largo tiempo debido a la inoperancia de empleados y funcionarios judiciales que han tenido bajo su cargo el asunto, lo cual ha derivado en el vencimiento los términos contemplados en la Ley 906 del 2004…</w:t>
      </w:r>
    </w:p>
    <w:p w14:paraId="45DE7E4B" w14:textId="77777777" w:rsidR="00046913" w:rsidRPr="00046913" w:rsidRDefault="00046913" w:rsidP="00046913">
      <w:pPr>
        <w:spacing w:after="0" w:line="240" w:lineRule="auto"/>
        <w:jc w:val="both"/>
        <w:rPr>
          <w:rFonts w:ascii="Arial" w:eastAsia="Times New Roman" w:hAnsi="Arial" w:cs="Arial"/>
          <w:sz w:val="20"/>
          <w:szCs w:val="20"/>
          <w:lang w:val="es-419" w:eastAsia="es-ES"/>
        </w:rPr>
      </w:pPr>
    </w:p>
    <w:p w14:paraId="0F936583" w14:textId="6AE54D10" w:rsidR="00046913" w:rsidRDefault="00D669F9" w:rsidP="00046913">
      <w:pPr>
        <w:spacing w:after="0" w:line="240" w:lineRule="auto"/>
        <w:jc w:val="both"/>
        <w:rPr>
          <w:rFonts w:ascii="Arial" w:eastAsia="Times New Roman" w:hAnsi="Arial" w:cs="Arial"/>
          <w:sz w:val="20"/>
          <w:szCs w:val="20"/>
          <w:lang w:val="es-419" w:eastAsia="es-ES"/>
        </w:rPr>
      </w:pPr>
      <w:r w:rsidRPr="00D669F9">
        <w:rPr>
          <w:rFonts w:ascii="Arial" w:eastAsia="Times New Roman" w:hAnsi="Arial" w:cs="Arial"/>
          <w:sz w:val="20"/>
          <w:szCs w:val="20"/>
          <w:lang w:val="es-419" w:eastAsia="es-ES"/>
        </w:rPr>
        <w:t>Descendiendo al caso concreto se tiene que el fundamento de la solicitud se erige en el defecto sustantivo en que supuestamente incurrió el Juzgado Cuarto Penal del Circuito de Conocimiento de Pereira en la decisión que desató la apelación y confirmó la de primera instancia, porque, en parecer de la parte actora, hubo una indebida interpretación del numeral 5° y el parágrafo 2° del artículo 317A del CPP.</w:t>
      </w:r>
      <w:r w:rsidR="00A5626B">
        <w:rPr>
          <w:rFonts w:ascii="Arial" w:eastAsia="Times New Roman" w:hAnsi="Arial" w:cs="Arial"/>
          <w:sz w:val="20"/>
          <w:szCs w:val="20"/>
          <w:lang w:val="es-419" w:eastAsia="es-ES"/>
        </w:rPr>
        <w:t xml:space="preserve"> (…)</w:t>
      </w:r>
    </w:p>
    <w:p w14:paraId="737C1684" w14:textId="7A78B12C" w:rsidR="00D669F9" w:rsidRDefault="00D669F9" w:rsidP="00046913">
      <w:pPr>
        <w:spacing w:after="0" w:line="240" w:lineRule="auto"/>
        <w:jc w:val="both"/>
        <w:rPr>
          <w:rFonts w:ascii="Arial" w:eastAsia="Times New Roman" w:hAnsi="Arial" w:cs="Arial"/>
          <w:sz w:val="20"/>
          <w:szCs w:val="20"/>
          <w:lang w:val="es-419" w:eastAsia="es-ES"/>
        </w:rPr>
      </w:pPr>
    </w:p>
    <w:p w14:paraId="0331E27E" w14:textId="44FCC251" w:rsidR="00D669F9" w:rsidRDefault="00A5626B" w:rsidP="00046913">
      <w:pPr>
        <w:spacing w:after="0" w:line="240" w:lineRule="auto"/>
        <w:jc w:val="both"/>
        <w:rPr>
          <w:rFonts w:ascii="Arial" w:eastAsia="Times New Roman" w:hAnsi="Arial" w:cs="Arial"/>
          <w:sz w:val="20"/>
          <w:szCs w:val="20"/>
          <w:lang w:val="es-419" w:eastAsia="es-ES"/>
        </w:rPr>
      </w:pPr>
      <w:r w:rsidRPr="00A5626B">
        <w:rPr>
          <w:rFonts w:ascii="Arial" w:eastAsia="Times New Roman" w:hAnsi="Arial" w:cs="Arial"/>
          <w:sz w:val="20"/>
          <w:szCs w:val="20"/>
          <w:lang w:val="es-419" w:eastAsia="es-ES"/>
        </w:rPr>
        <w:t>Para esta Sala esos argumentos no lucen antojadizos, ni subjetivos, menos que provengan de una interpretación contraevidente de las normas aplicables, por el contrario, la decisión está precedida de una razonable valoración de lo ocurrido en aquel asunto.</w:t>
      </w:r>
      <w:r>
        <w:rPr>
          <w:rFonts w:ascii="Arial" w:eastAsia="Times New Roman" w:hAnsi="Arial" w:cs="Arial"/>
          <w:sz w:val="20"/>
          <w:szCs w:val="20"/>
          <w:lang w:val="es-419" w:eastAsia="es-ES"/>
        </w:rPr>
        <w:t xml:space="preserve"> (…)</w:t>
      </w:r>
    </w:p>
    <w:p w14:paraId="49911789" w14:textId="77777777" w:rsidR="00A5626B" w:rsidRPr="00046913" w:rsidRDefault="00A5626B" w:rsidP="00046913">
      <w:pPr>
        <w:spacing w:after="0" w:line="240" w:lineRule="auto"/>
        <w:jc w:val="both"/>
        <w:rPr>
          <w:rFonts w:ascii="Arial" w:eastAsia="Times New Roman" w:hAnsi="Arial" w:cs="Arial"/>
          <w:sz w:val="20"/>
          <w:szCs w:val="20"/>
          <w:lang w:val="es-419" w:eastAsia="es-ES"/>
        </w:rPr>
      </w:pPr>
    </w:p>
    <w:p w14:paraId="09186D7B" w14:textId="61669E07" w:rsidR="00046913" w:rsidRPr="00046913" w:rsidRDefault="00A5626B" w:rsidP="00046913">
      <w:pPr>
        <w:spacing w:after="0" w:line="240" w:lineRule="auto"/>
        <w:jc w:val="both"/>
        <w:rPr>
          <w:rFonts w:ascii="Arial" w:eastAsia="Times New Roman" w:hAnsi="Arial" w:cs="Arial"/>
          <w:sz w:val="20"/>
          <w:szCs w:val="20"/>
          <w:lang w:val="es-ES" w:eastAsia="es-ES"/>
        </w:rPr>
      </w:pPr>
      <w:r w:rsidRPr="00A5626B">
        <w:rPr>
          <w:rFonts w:ascii="Arial" w:eastAsia="Times New Roman" w:hAnsi="Arial" w:cs="Arial"/>
          <w:sz w:val="20"/>
          <w:szCs w:val="20"/>
          <w:lang w:val="es-419" w:eastAsia="es-ES"/>
        </w:rPr>
        <w:t>En conclusión, la resolución judicial es razonable, por lo cual no puede ser descalificada en sede constitucional, debiéndose recordar que la acción de habeas corpus, en principio, y salvo que se demuestre una palmaria vía de hecho, no puede utilizarse para “(…) obtener una opinión diversa -a manera de instancia adicional- de la autoridad llamada a resolver lo atinente a la libertad de las personas.”</w:t>
      </w:r>
    </w:p>
    <w:p w14:paraId="092CBF22" w14:textId="77777777" w:rsidR="00046913" w:rsidRPr="00046913" w:rsidRDefault="00046913" w:rsidP="00046913">
      <w:pPr>
        <w:spacing w:after="0" w:line="240" w:lineRule="auto"/>
        <w:jc w:val="both"/>
        <w:rPr>
          <w:rFonts w:ascii="Arial" w:eastAsia="Times New Roman" w:hAnsi="Arial" w:cs="Arial"/>
          <w:sz w:val="20"/>
          <w:szCs w:val="20"/>
          <w:lang w:val="es-ES" w:eastAsia="es-ES"/>
        </w:rPr>
      </w:pPr>
    </w:p>
    <w:p w14:paraId="273DB101" w14:textId="77777777" w:rsidR="00A34818" w:rsidRPr="00A34818" w:rsidRDefault="00A34818" w:rsidP="00A34818">
      <w:pPr>
        <w:widowControl w:val="0"/>
        <w:autoSpaceDE w:val="0"/>
        <w:autoSpaceDN w:val="0"/>
        <w:spacing w:after="0" w:line="240" w:lineRule="auto"/>
        <w:jc w:val="both"/>
        <w:rPr>
          <w:rFonts w:ascii="Arial" w:eastAsia="Times New Roman" w:hAnsi="Arial" w:cs="Arial"/>
          <w:sz w:val="20"/>
          <w:szCs w:val="20"/>
          <w:lang w:val="es-ES" w:eastAsia="es-ES"/>
        </w:rPr>
      </w:pPr>
    </w:p>
    <w:p w14:paraId="04BC463D" w14:textId="77777777" w:rsidR="00A34818" w:rsidRPr="00A34818" w:rsidRDefault="00A34818" w:rsidP="00A34818">
      <w:pPr>
        <w:widowControl w:val="0"/>
        <w:autoSpaceDE w:val="0"/>
        <w:autoSpaceDN w:val="0"/>
        <w:spacing w:after="0" w:line="240" w:lineRule="auto"/>
        <w:jc w:val="both"/>
        <w:rPr>
          <w:rFonts w:ascii="Arial" w:eastAsia="Times New Roman" w:hAnsi="Arial" w:cs="Arial"/>
          <w:sz w:val="20"/>
          <w:szCs w:val="20"/>
          <w:lang w:val="es-ES" w:eastAsia="es-ES"/>
        </w:rPr>
      </w:pPr>
    </w:p>
    <w:p w14:paraId="45DF4197" w14:textId="77777777" w:rsidR="00A34818" w:rsidRPr="00A34818" w:rsidRDefault="00A34818" w:rsidP="00A34818">
      <w:pPr>
        <w:spacing w:after="0" w:line="240" w:lineRule="auto"/>
        <w:jc w:val="center"/>
        <w:rPr>
          <w:rFonts w:ascii="Bookman Old Style" w:eastAsia="Calibri" w:hAnsi="Bookman Old Style" w:cs="Times New Roman"/>
          <w:b/>
          <w:noProof/>
          <w:lang w:val="es-CO"/>
        </w:rPr>
      </w:pPr>
      <w:r w:rsidRPr="00A34818">
        <w:rPr>
          <w:rFonts w:ascii="Calibri" w:eastAsia="Calibri" w:hAnsi="Calibri" w:cs="Times New Roman"/>
          <w:noProof/>
          <w:lang w:val="en-US"/>
        </w:rPr>
        <w:drawing>
          <wp:inline distT="0" distB="0" distL="0" distR="0" wp14:anchorId="02869CB3" wp14:editId="013620D3">
            <wp:extent cx="1162050" cy="5905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050" cy="590550"/>
                    </a:xfrm>
                    <a:prstGeom prst="rect">
                      <a:avLst/>
                    </a:prstGeom>
                    <a:noFill/>
                    <a:ln>
                      <a:noFill/>
                    </a:ln>
                  </pic:spPr>
                </pic:pic>
              </a:graphicData>
            </a:graphic>
          </wp:inline>
        </w:drawing>
      </w:r>
    </w:p>
    <w:p w14:paraId="20E416DF" w14:textId="77777777" w:rsidR="00A34818" w:rsidRPr="00A34818" w:rsidRDefault="00A34818" w:rsidP="00A34818">
      <w:pPr>
        <w:tabs>
          <w:tab w:val="center" w:pos="4419"/>
          <w:tab w:val="right" w:pos="8838"/>
        </w:tabs>
        <w:spacing w:after="0" w:line="276" w:lineRule="auto"/>
        <w:jc w:val="center"/>
        <w:rPr>
          <w:rFonts w:ascii="Gadugi" w:eastAsia="Calibri" w:hAnsi="Gadugi" w:cs="Times New Roman"/>
          <w:b/>
          <w:noProof/>
          <w:sz w:val="24"/>
          <w:szCs w:val="24"/>
          <w:lang w:val="es-CO"/>
        </w:rPr>
      </w:pPr>
      <w:r w:rsidRPr="00A34818">
        <w:rPr>
          <w:rFonts w:ascii="Gadugi" w:eastAsia="Calibri" w:hAnsi="Gadugi" w:cs="Times New Roman"/>
          <w:b/>
          <w:noProof/>
          <w:sz w:val="24"/>
          <w:szCs w:val="24"/>
          <w:lang w:val="es-CO"/>
        </w:rPr>
        <w:t>TRIBUNAL SUPERIOR DEL DISTRITO JUDICIAL</w:t>
      </w:r>
    </w:p>
    <w:p w14:paraId="694E3AC2" w14:textId="77777777" w:rsidR="00A34818" w:rsidRPr="00A34818" w:rsidRDefault="00A34818" w:rsidP="00A34818">
      <w:pPr>
        <w:tabs>
          <w:tab w:val="center" w:pos="4419"/>
          <w:tab w:val="right" w:pos="8838"/>
        </w:tabs>
        <w:spacing w:after="0" w:line="276" w:lineRule="auto"/>
        <w:jc w:val="center"/>
        <w:rPr>
          <w:rFonts w:ascii="Gadugi" w:eastAsia="Calibri" w:hAnsi="Gadugi" w:cs="Times New Roman"/>
          <w:b/>
          <w:sz w:val="24"/>
          <w:szCs w:val="24"/>
          <w:lang w:val="es-CO"/>
        </w:rPr>
      </w:pPr>
      <w:r w:rsidRPr="00A34818">
        <w:rPr>
          <w:rFonts w:ascii="Gadugi" w:eastAsia="Calibri" w:hAnsi="Gadugi" w:cs="Times New Roman"/>
          <w:b/>
          <w:sz w:val="24"/>
          <w:szCs w:val="24"/>
          <w:lang w:val="es-CO"/>
        </w:rPr>
        <w:t>PEREIRA</w:t>
      </w:r>
    </w:p>
    <w:p w14:paraId="793104D5" w14:textId="6892651E" w:rsidR="00A34818" w:rsidRPr="00A34818" w:rsidRDefault="00A34818" w:rsidP="00A34818">
      <w:pPr>
        <w:tabs>
          <w:tab w:val="center" w:pos="4419"/>
          <w:tab w:val="right" w:pos="8838"/>
        </w:tabs>
        <w:spacing w:after="0" w:line="276" w:lineRule="auto"/>
        <w:jc w:val="center"/>
        <w:rPr>
          <w:rFonts w:ascii="Gadugi" w:eastAsia="Calibri" w:hAnsi="Gadugi" w:cs="Times New Roman"/>
          <w:b/>
          <w:sz w:val="24"/>
          <w:szCs w:val="24"/>
          <w:lang w:val="es-CO"/>
        </w:rPr>
      </w:pPr>
      <w:r w:rsidRPr="00A34818">
        <w:rPr>
          <w:rFonts w:ascii="Gadugi" w:eastAsia="Calibri" w:hAnsi="Gadugi" w:cs="Times New Roman"/>
          <w:b/>
          <w:sz w:val="24"/>
          <w:szCs w:val="24"/>
          <w:lang w:val="es-CO"/>
        </w:rPr>
        <w:t>SALA</w:t>
      </w:r>
      <w:r>
        <w:rPr>
          <w:rFonts w:ascii="Gadugi" w:eastAsia="Calibri" w:hAnsi="Gadugi" w:cs="Times New Roman"/>
          <w:b/>
          <w:sz w:val="24"/>
          <w:szCs w:val="24"/>
          <w:lang w:val="es-CO"/>
        </w:rPr>
        <w:t xml:space="preserve"> UNITARIA</w:t>
      </w:r>
      <w:r w:rsidRPr="00A34818">
        <w:rPr>
          <w:rFonts w:ascii="Gadugi" w:eastAsia="Calibri" w:hAnsi="Gadugi" w:cs="Times New Roman"/>
          <w:b/>
          <w:sz w:val="24"/>
          <w:szCs w:val="24"/>
          <w:lang w:val="es-CO"/>
        </w:rPr>
        <w:t xml:space="preserve"> CIVIL-FAMILIA</w:t>
      </w:r>
    </w:p>
    <w:p w14:paraId="68934FD8" w14:textId="77777777" w:rsidR="00A34818" w:rsidRPr="00A34818" w:rsidRDefault="00A34818" w:rsidP="00FF66F2">
      <w:pPr>
        <w:tabs>
          <w:tab w:val="left" w:pos="3261"/>
        </w:tabs>
        <w:spacing w:after="0" w:line="276" w:lineRule="auto"/>
        <w:jc w:val="both"/>
        <w:rPr>
          <w:rFonts w:ascii="Gadugi" w:eastAsia="Georgia" w:hAnsi="Gadugi" w:cs="Georgia"/>
          <w:b/>
          <w:sz w:val="24"/>
          <w:szCs w:val="24"/>
          <w:lang w:val="es" w:eastAsia="es-CO"/>
        </w:rPr>
      </w:pPr>
    </w:p>
    <w:p w14:paraId="766B0408" w14:textId="071423AD" w:rsidR="00A34818" w:rsidRPr="00A34818" w:rsidRDefault="00A34818" w:rsidP="00C80AB8">
      <w:pPr>
        <w:overflowPunct w:val="0"/>
        <w:autoSpaceDE w:val="0"/>
        <w:autoSpaceDN w:val="0"/>
        <w:adjustRightInd w:val="0"/>
        <w:spacing w:after="0" w:line="276" w:lineRule="auto"/>
        <w:ind w:left="1416" w:firstLine="708"/>
        <w:textAlignment w:val="baseline"/>
        <w:rPr>
          <w:rFonts w:ascii="Gadugi" w:eastAsia="Times New Roman" w:hAnsi="Gadugi" w:cs="Times New Roman"/>
          <w:sz w:val="24"/>
          <w:szCs w:val="24"/>
          <w:lang w:val="es-ES" w:eastAsia="es-ES"/>
        </w:rPr>
      </w:pPr>
      <w:r w:rsidRPr="00A34818">
        <w:rPr>
          <w:rFonts w:ascii="Gadugi" w:eastAsia="Times New Roman" w:hAnsi="Gadugi" w:cs="Times New Roman"/>
          <w:sz w:val="24"/>
          <w:szCs w:val="24"/>
          <w:lang w:val="es-ES" w:eastAsia="es-ES"/>
        </w:rPr>
        <w:t xml:space="preserve">Magistrado: </w:t>
      </w:r>
      <w:r w:rsidRPr="00A34818">
        <w:rPr>
          <w:rFonts w:ascii="Gadugi" w:eastAsia="Times New Roman" w:hAnsi="Gadugi" w:cs="Times New Roman"/>
          <w:sz w:val="24"/>
          <w:szCs w:val="24"/>
          <w:lang w:val="es-ES" w:eastAsia="es-ES"/>
        </w:rPr>
        <w:tab/>
      </w:r>
      <w:r w:rsidRPr="00A34818">
        <w:rPr>
          <w:rFonts w:ascii="Gadugi" w:eastAsia="Times New Roman" w:hAnsi="Gadugi" w:cs="Times New Roman"/>
          <w:b/>
          <w:sz w:val="24"/>
          <w:szCs w:val="24"/>
          <w:lang w:val="es-ES" w:eastAsia="es-ES"/>
        </w:rPr>
        <w:t>Jaime Alberto Saraza Naranjo</w:t>
      </w:r>
    </w:p>
    <w:p w14:paraId="52A946CC" w14:textId="16903CE9" w:rsidR="00881CC5" w:rsidRPr="00C80AB8" w:rsidRDefault="007F5F4C" w:rsidP="00C80AB8">
      <w:pPr>
        <w:overflowPunct w:val="0"/>
        <w:autoSpaceDE w:val="0"/>
        <w:autoSpaceDN w:val="0"/>
        <w:adjustRightInd w:val="0"/>
        <w:spacing w:after="0" w:line="276" w:lineRule="auto"/>
        <w:textAlignment w:val="baseline"/>
        <w:rPr>
          <w:rFonts w:ascii="Gadugi" w:eastAsia="Times New Roman" w:hAnsi="Gadugi" w:cs="Times New Roman"/>
          <w:sz w:val="24"/>
          <w:szCs w:val="24"/>
          <w:lang w:val="es-ES" w:eastAsia="es-ES"/>
        </w:rPr>
      </w:pPr>
      <w:r w:rsidRPr="00C80AB8">
        <w:rPr>
          <w:rFonts w:ascii="Gadugi" w:eastAsia="Times New Roman" w:hAnsi="Gadugi" w:cs="Times New Roman"/>
          <w:sz w:val="24"/>
          <w:szCs w:val="24"/>
          <w:lang w:val="es-ES" w:eastAsia="es-ES"/>
        </w:rPr>
        <w:tab/>
      </w:r>
      <w:r w:rsidRPr="00C80AB8">
        <w:rPr>
          <w:rFonts w:ascii="Gadugi" w:eastAsia="Times New Roman" w:hAnsi="Gadugi" w:cs="Times New Roman"/>
          <w:sz w:val="24"/>
          <w:szCs w:val="24"/>
          <w:lang w:val="es-ES" w:eastAsia="es-ES"/>
        </w:rPr>
        <w:tab/>
      </w:r>
      <w:r w:rsidRPr="00C80AB8">
        <w:rPr>
          <w:rFonts w:ascii="Gadugi" w:eastAsia="Times New Roman" w:hAnsi="Gadugi" w:cs="Times New Roman"/>
          <w:sz w:val="24"/>
          <w:szCs w:val="24"/>
          <w:lang w:val="es-ES" w:eastAsia="es-ES"/>
        </w:rPr>
        <w:tab/>
      </w:r>
      <w:r w:rsidR="00756044" w:rsidRPr="00C80AB8">
        <w:rPr>
          <w:rFonts w:ascii="Gadugi" w:eastAsia="Times New Roman" w:hAnsi="Gadugi" w:cs="Times New Roman"/>
          <w:sz w:val="24"/>
          <w:szCs w:val="24"/>
          <w:lang w:val="es-ES" w:eastAsia="es-ES"/>
        </w:rPr>
        <w:t>Pereira,</w:t>
      </w:r>
      <w:r w:rsidR="00184EDA" w:rsidRPr="00C80AB8">
        <w:rPr>
          <w:rFonts w:ascii="Gadugi" w:eastAsia="Times New Roman" w:hAnsi="Gadugi" w:cs="Times New Roman"/>
          <w:sz w:val="24"/>
          <w:szCs w:val="24"/>
          <w:lang w:val="es-ES" w:eastAsia="es-ES"/>
        </w:rPr>
        <w:t xml:space="preserve"> mayo once de dos mil veintitrés</w:t>
      </w:r>
      <w:r w:rsidR="00C80AB8">
        <w:rPr>
          <w:rFonts w:ascii="Gadugi" w:eastAsia="Times New Roman" w:hAnsi="Gadugi" w:cs="Times New Roman"/>
          <w:sz w:val="24"/>
          <w:szCs w:val="24"/>
          <w:lang w:val="es-ES" w:eastAsia="es-ES"/>
        </w:rPr>
        <w:tab/>
      </w:r>
    </w:p>
    <w:p w14:paraId="16C3BE50" w14:textId="69945D58" w:rsidR="005F6F58" w:rsidRPr="00C80AB8" w:rsidRDefault="00B71BD7" w:rsidP="00C80AB8">
      <w:pPr>
        <w:overflowPunct w:val="0"/>
        <w:autoSpaceDE w:val="0"/>
        <w:autoSpaceDN w:val="0"/>
        <w:adjustRightInd w:val="0"/>
        <w:spacing w:after="0" w:line="276" w:lineRule="auto"/>
        <w:textAlignment w:val="baseline"/>
        <w:rPr>
          <w:rFonts w:ascii="Gadugi" w:eastAsia="Times New Roman" w:hAnsi="Gadugi" w:cs="Times New Roman"/>
          <w:sz w:val="24"/>
          <w:szCs w:val="24"/>
          <w:lang w:val="es-ES" w:eastAsia="es-ES"/>
        </w:rPr>
      </w:pPr>
      <w:r w:rsidRPr="00C80AB8">
        <w:rPr>
          <w:rFonts w:ascii="Gadugi" w:eastAsia="Times New Roman" w:hAnsi="Gadugi" w:cs="Times New Roman"/>
          <w:sz w:val="24"/>
          <w:szCs w:val="24"/>
          <w:lang w:val="es-419" w:eastAsia="es-ES"/>
        </w:rPr>
        <w:tab/>
      </w:r>
      <w:r w:rsidR="007F5F4C" w:rsidRPr="00C80AB8">
        <w:rPr>
          <w:rFonts w:ascii="Gadugi" w:eastAsia="Times New Roman" w:hAnsi="Gadugi" w:cs="Times New Roman"/>
          <w:sz w:val="24"/>
          <w:szCs w:val="24"/>
          <w:lang w:val="es-419" w:eastAsia="es-ES"/>
        </w:rPr>
        <w:tab/>
      </w:r>
      <w:r w:rsidR="007F5F4C" w:rsidRPr="00C80AB8">
        <w:rPr>
          <w:rFonts w:ascii="Gadugi" w:eastAsia="Times New Roman" w:hAnsi="Gadugi" w:cs="Times New Roman"/>
          <w:sz w:val="24"/>
          <w:szCs w:val="24"/>
          <w:lang w:val="es-419" w:eastAsia="es-ES"/>
        </w:rPr>
        <w:tab/>
      </w:r>
      <w:r w:rsidR="00756044" w:rsidRPr="00C80AB8">
        <w:rPr>
          <w:rFonts w:ascii="Gadugi" w:eastAsia="Times New Roman" w:hAnsi="Gadugi" w:cs="Times New Roman"/>
          <w:sz w:val="24"/>
          <w:szCs w:val="24"/>
          <w:lang w:val="es-ES" w:eastAsia="es-ES"/>
        </w:rPr>
        <w:t>Expediente</w:t>
      </w:r>
      <w:r w:rsidR="00756044" w:rsidRPr="00C80AB8">
        <w:rPr>
          <w:rFonts w:ascii="Gadugi" w:eastAsia="Times New Roman" w:hAnsi="Gadugi" w:cs="Times New Roman"/>
          <w:sz w:val="24"/>
          <w:szCs w:val="24"/>
          <w:lang w:val="es-419" w:eastAsia="es-ES"/>
        </w:rPr>
        <w:t>s:</w:t>
      </w:r>
      <w:r w:rsidR="004F7764" w:rsidRPr="00C80AB8">
        <w:rPr>
          <w:rFonts w:ascii="Gadugi" w:eastAsia="Times New Roman" w:hAnsi="Gadugi" w:cs="Times New Roman"/>
          <w:sz w:val="24"/>
          <w:szCs w:val="24"/>
          <w:lang w:val="es-ES" w:eastAsia="es-ES"/>
        </w:rPr>
        <w:t xml:space="preserve"> </w:t>
      </w:r>
      <w:r w:rsidR="00C363FB" w:rsidRPr="00C80AB8">
        <w:rPr>
          <w:rFonts w:ascii="Gadugi" w:eastAsia="Times New Roman" w:hAnsi="Gadugi" w:cs="Times New Roman"/>
          <w:sz w:val="24"/>
          <w:szCs w:val="24"/>
          <w:lang w:val="es-ES" w:eastAsia="es-ES"/>
        </w:rPr>
        <w:t>66001</w:t>
      </w:r>
      <w:r w:rsidR="00651BCC">
        <w:rPr>
          <w:rFonts w:ascii="Gadugi" w:eastAsia="Times New Roman" w:hAnsi="Gadugi" w:cs="Times New Roman"/>
          <w:sz w:val="24"/>
          <w:szCs w:val="24"/>
          <w:lang w:val="es-ES" w:eastAsia="es-ES"/>
        </w:rPr>
        <w:t>-</w:t>
      </w:r>
      <w:r w:rsidR="00C363FB" w:rsidRPr="00C80AB8">
        <w:rPr>
          <w:rFonts w:ascii="Gadugi" w:eastAsia="Times New Roman" w:hAnsi="Gadugi" w:cs="Times New Roman"/>
          <w:sz w:val="24"/>
          <w:szCs w:val="24"/>
          <w:lang w:val="es-ES" w:eastAsia="es-ES"/>
        </w:rPr>
        <w:t>31</w:t>
      </w:r>
      <w:r w:rsidR="00651BCC">
        <w:rPr>
          <w:rFonts w:ascii="Gadugi" w:eastAsia="Times New Roman" w:hAnsi="Gadugi" w:cs="Times New Roman"/>
          <w:sz w:val="24"/>
          <w:szCs w:val="24"/>
          <w:lang w:val="es-ES" w:eastAsia="es-ES"/>
        </w:rPr>
        <w:t>-</w:t>
      </w:r>
      <w:r w:rsidR="00C363FB" w:rsidRPr="00C80AB8">
        <w:rPr>
          <w:rFonts w:ascii="Gadugi" w:eastAsia="Times New Roman" w:hAnsi="Gadugi" w:cs="Times New Roman"/>
          <w:sz w:val="24"/>
          <w:szCs w:val="24"/>
          <w:lang w:val="es-ES" w:eastAsia="es-ES"/>
        </w:rPr>
        <w:t>10</w:t>
      </w:r>
      <w:r w:rsidR="00651BCC">
        <w:rPr>
          <w:rFonts w:ascii="Gadugi" w:eastAsia="Times New Roman" w:hAnsi="Gadugi" w:cs="Times New Roman"/>
          <w:sz w:val="24"/>
          <w:szCs w:val="24"/>
          <w:lang w:val="es-ES" w:eastAsia="es-ES"/>
        </w:rPr>
        <w:t>-</w:t>
      </w:r>
      <w:r w:rsidR="00C363FB" w:rsidRPr="00C80AB8">
        <w:rPr>
          <w:rFonts w:ascii="Gadugi" w:eastAsia="Times New Roman" w:hAnsi="Gadugi" w:cs="Times New Roman"/>
          <w:sz w:val="24"/>
          <w:szCs w:val="24"/>
          <w:lang w:val="es-ES" w:eastAsia="es-ES"/>
        </w:rPr>
        <w:t>001</w:t>
      </w:r>
      <w:r w:rsidR="00651BCC">
        <w:rPr>
          <w:rFonts w:ascii="Gadugi" w:eastAsia="Times New Roman" w:hAnsi="Gadugi" w:cs="Times New Roman"/>
          <w:sz w:val="24"/>
          <w:szCs w:val="24"/>
          <w:lang w:val="es-ES" w:eastAsia="es-ES"/>
        </w:rPr>
        <w:t>-</w:t>
      </w:r>
      <w:r w:rsidR="00C363FB" w:rsidRPr="00C80AB8">
        <w:rPr>
          <w:rFonts w:ascii="Gadugi" w:eastAsia="Times New Roman" w:hAnsi="Gadugi" w:cs="Times New Roman"/>
          <w:sz w:val="24"/>
          <w:szCs w:val="24"/>
          <w:lang w:val="es-ES" w:eastAsia="es-ES"/>
        </w:rPr>
        <w:t>2023</w:t>
      </w:r>
      <w:r w:rsidR="00651BCC">
        <w:rPr>
          <w:rFonts w:ascii="Gadugi" w:eastAsia="Times New Roman" w:hAnsi="Gadugi" w:cs="Times New Roman"/>
          <w:sz w:val="24"/>
          <w:szCs w:val="24"/>
          <w:lang w:val="es-ES" w:eastAsia="es-ES"/>
        </w:rPr>
        <w:t>-</w:t>
      </w:r>
      <w:r w:rsidR="00C363FB" w:rsidRPr="00C80AB8">
        <w:rPr>
          <w:rFonts w:ascii="Gadugi" w:eastAsia="Times New Roman" w:hAnsi="Gadugi" w:cs="Times New Roman"/>
          <w:sz w:val="24"/>
          <w:szCs w:val="24"/>
          <w:lang w:val="es-ES" w:eastAsia="es-ES"/>
        </w:rPr>
        <w:t>00170</w:t>
      </w:r>
      <w:r w:rsidR="00651BCC">
        <w:rPr>
          <w:rFonts w:ascii="Gadugi" w:eastAsia="Times New Roman" w:hAnsi="Gadugi" w:cs="Times New Roman"/>
          <w:sz w:val="24"/>
          <w:szCs w:val="24"/>
          <w:lang w:val="es-ES" w:eastAsia="es-ES"/>
        </w:rPr>
        <w:t>-</w:t>
      </w:r>
      <w:bookmarkStart w:id="0" w:name="_GoBack"/>
      <w:bookmarkEnd w:id="0"/>
      <w:r w:rsidR="00C363FB" w:rsidRPr="00C80AB8">
        <w:rPr>
          <w:rFonts w:ascii="Gadugi" w:eastAsia="Times New Roman" w:hAnsi="Gadugi" w:cs="Times New Roman"/>
          <w:sz w:val="24"/>
          <w:szCs w:val="24"/>
          <w:lang w:val="es-ES" w:eastAsia="es-ES"/>
        </w:rPr>
        <w:t>01</w:t>
      </w:r>
    </w:p>
    <w:p w14:paraId="36D873CF" w14:textId="04D89360" w:rsidR="00422311" w:rsidRPr="00C80AB8" w:rsidRDefault="00426DA0" w:rsidP="00C80AB8">
      <w:pPr>
        <w:overflowPunct w:val="0"/>
        <w:autoSpaceDE w:val="0"/>
        <w:autoSpaceDN w:val="0"/>
        <w:adjustRightInd w:val="0"/>
        <w:spacing w:after="0" w:line="276" w:lineRule="auto"/>
        <w:textAlignment w:val="baseline"/>
        <w:rPr>
          <w:rFonts w:ascii="Gadugi" w:eastAsia="Times New Roman" w:hAnsi="Gadugi" w:cs="Times New Roman"/>
          <w:sz w:val="24"/>
          <w:szCs w:val="24"/>
          <w:lang w:val="es-419" w:eastAsia="es-ES"/>
        </w:rPr>
      </w:pPr>
      <w:r w:rsidRPr="00C80AB8">
        <w:rPr>
          <w:rFonts w:ascii="Gadugi" w:eastAsia="Times New Roman" w:hAnsi="Gadugi" w:cs="Times New Roman"/>
          <w:sz w:val="24"/>
          <w:szCs w:val="24"/>
          <w:lang w:val="es-ES" w:eastAsia="es-ES"/>
        </w:rPr>
        <w:tab/>
      </w:r>
      <w:r w:rsidR="00E44B84" w:rsidRPr="00C80AB8">
        <w:rPr>
          <w:rFonts w:ascii="Gadugi" w:eastAsia="Times New Roman" w:hAnsi="Gadugi" w:cs="Times New Roman"/>
          <w:sz w:val="24"/>
          <w:szCs w:val="24"/>
          <w:lang w:val="es-ES" w:eastAsia="es-ES"/>
        </w:rPr>
        <w:tab/>
      </w:r>
      <w:r w:rsidR="00D648B7" w:rsidRPr="00C80AB8">
        <w:rPr>
          <w:rFonts w:ascii="Gadugi" w:eastAsia="Times New Roman" w:hAnsi="Gadugi" w:cs="Times New Roman"/>
          <w:sz w:val="24"/>
          <w:szCs w:val="24"/>
          <w:lang w:val="es-ES" w:eastAsia="es-ES"/>
        </w:rPr>
        <w:tab/>
      </w:r>
      <w:r w:rsidR="00184EDA" w:rsidRPr="00C80AB8">
        <w:rPr>
          <w:rFonts w:ascii="Gadugi" w:eastAsia="Times New Roman" w:hAnsi="Gadugi" w:cs="Times New Roman"/>
          <w:sz w:val="24"/>
          <w:szCs w:val="24"/>
          <w:lang w:val="es-ES" w:eastAsia="es-ES"/>
        </w:rPr>
        <w:t>Auto</w:t>
      </w:r>
      <w:r w:rsidR="00E01B05" w:rsidRPr="00C80AB8">
        <w:rPr>
          <w:rFonts w:ascii="Gadugi" w:eastAsia="Times New Roman" w:hAnsi="Gadugi" w:cs="Times New Roman"/>
          <w:sz w:val="24"/>
          <w:szCs w:val="24"/>
          <w:lang w:val="es-419" w:eastAsia="es-ES"/>
        </w:rPr>
        <w:t xml:space="preserve">: </w:t>
      </w:r>
      <w:r w:rsidR="00184EDA" w:rsidRPr="00C80AB8">
        <w:rPr>
          <w:rFonts w:ascii="Gadugi" w:eastAsia="Times New Roman" w:hAnsi="Gadugi" w:cs="Times New Roman"/>
          <w:b/>
          <w:sz w:val="24"/>
          <w:szCs w:val="24"/>
          <w:lang w:val="es-419" w:eastAsia="es-ES"/>
        </w:rPr>
        <w:t>HC2-0001-2023</w:t>
      </w:r>
    </w:p>
    <w:p w14:paraId="28DF98C7" w14:textId="5A6F6A90" w:rsidR="00756044" w:rsidRPr="00C80AB8" w:rsidRDefault="00756044" w:rsidP="00C80AB8">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35D36383" w14:textId="07FE0CEE" w:rsidR="00C363FB" w:rsidRPr="00C80AB8" w:rsidRDefault="00C363FB" w:rsidP="00C80AB8">
      <w:pPr>
        <w:overflowPunct w:val="0"/>
        <w:autoSpaceDE w:val="0"/>
        <w:autoSpaceDN w:val="0"/>
        <w:adjustRightInd w:val="0"/>
        <w:spacing w:after="0" w:line="276" w:lineRule="auto"/>
        <w:jc w:val="both"/>
        <w:textAlignment w:val="baseline"/>
        <w:rPr>
          <w:rFonts w:ascii="Gadugi" w:eastAsia="Times New Roman" w:hAnsi="Gadugi" w:cs="Arial"/>
          <w:b/>
          <w:sz w:val="24"/>
          <w:szCs w:val="24"/>
          <w:lang w:val="es-ES" w:eastAsia="es-ES"/>
        </w:rPr>
      </w:pPr>
      <w:r w:rsidRPr="00C80AB8">
        <w:rPr>
          <w:rFonts w:ascii="Gadugi" w:eastAsia="Times New Roman" w:hAnsi="Gadugi" w:cs="Arial"/>
          <w:sz w:val="24"/>
          <w:szCs w:val="24"/>
          <w:lang w:val="es-ES" w:eastAsia="es-ES"/>
        </w:rPr>
        <w:t xml:space="preserve">Se decide la impugnación propuesta contra la decisión del 5 de mayo del presente año, mediante la cual el Juzgado Primero de Familia de Pereira resolvió desfavorablemente la solicitud de </w:t>
      </w:r>
      <w:r w:rsidRPr="00C80AB8">
        <w:rPr>
          <w:rFonts w:ascii="Gadugi" w:eastAsia="Times New Roman" w:hAnsi="Gadugi" w:cs="Arial"/>
          <w:i/>
          <w:sz w:val="24"/>
          <w:szCs w:val="24"/>
          <w:lang w:val="es-ES" w:eastAsia="es-ES"/>
        </w:rPr>
        <w:t>hábeas corpus</w:t>
      </w:r>
      <w:r w:rsidRPr="00C80AB8">
        <w:rPr>
          <w:rFonts w:ascii="Gadugi" w:eastAsia="Times New Roman" w:hAnsi="Gadugi" w:cs="Arial"/>
          <w:sz w:val="24"/>
          <w:szCs w:val="24"/>
          <w:lang w:val="es-ES" w:eastAsia="es-ES"/>
        </w:rPr>
        <w:t xml:space="preserve"> instaurada, mediante apoderado judicial, por </w:t>
      </w:r>
      <w:r w:rsidRPr="00C80AB8">
        <w:rPr>
          <w:rFonts w:ascii="Gadugi" w:eastAsia="Times New Roman" w:hAnsi="Gadugi" w:cs="Arial"/>
          <w:b/>
          <w:sz w:val="24"/>
          <w:szCs w:val="24"/>
          <w:lang w:val="es-ES" w:eastAsia="es-ES"/>
        </w:rPr>
        <w:t>JSR</w:t>
      </w:r>
      <w:r w:rsidRPr="00C80AB8">
        <w:rPr>
          <w:rFonts w:ascii="Gadugi" w:eastAsia="Times New Roman" w:hAnsi="Gadugi" w:cs="Arial"/>
          <w:sz w:val="24"/>
          <w:szCs w:val="24"/>
          <w:lang w:val="es-ES" w:eastAsia="es-ES"/>
        </w:rPr>
        <w:t xml:space="preserve">, </w:t>
      </w:r>
      <w:r w:rsidRPr="00C80AB8">
        <w:rPr>
          <w:rFonts w:ascii="Gadugi" w:eastAsia="Times New Roman" w:hAnsi="Gadugi" w:cs="Arial"/>
          <w:b/>
          <w:sz w:val="24"/>
          <w:szCs w:val="24"/>
          <w:lang w:val="es-ES" w:eastAsia="es-ES"/>
        </w:rPr>
        <w:t>JARP</w:t>
      </w:r>
      <w:r w:rsidRPr="00C80AB8">
        <w:rPr>
          <w:rFonts w:ascii="Gadugi" w:eastAsia="Times New Roman" w:hAnsi="Gadugi" w:cs="Arial"/>
          <w:sz w:val="24"/>
          <w:szCs w:val="24"/>
          <w:lang w:val="es-ES" w:eastAsia="es-ES"/>
        </w:rPr>
        <w:t xml:space="preserve"> y </w:t>
      </w:r>
      <w:r w:rsidRPr="00C80AB8">
        <w:rPr>
          <w:rFonts w:ascii="Gadugi" w:eastAsia="Times New Roman" w:hAnsi="Gadugi" w:cs="Arial"/>
          <w:b/>
          <w:sz w:val="24"/>
          <w:szCs w:val="24"/>
          <w:lang w:val="es-ES" w:eastAsia="es-ES"/>
        </w:rPr>
        <w:t>EAMV.</w:t>
      </w:r>
    </w:p>
    <w:p w14:paraId="1BC3FA8D" w14:textId="6DAD950F" w:rsidR="00756044" w:rsidRPr="00C80AB8" w:rsidRDefault="00756044" w:rsidP="00C80AB8">
      <w:pPr>
        <w:overflowPunct w:val="0"/>
        <w:autoSpaceDE w:val="0"/>
        <w:autoSpaceDN w:val="0"/>
        <w:adjustRightInd w:val="0"/>
        <w:spacing w:after="0" w:line="276" w:lineRule="auto"/>
        <w:jc w:val="both"/>
        <w:textAlignment w:val="baseline"/>
        <w:rPr>
          <w:rFonts w:ascii="Gadugi" w:eastAsia="Times New Roman" w:hAnsi="Gadugi" w:cs="Arial"/>
          <w:b/>
          <w:bCs/>
          <w:sz w:val="24"/>
          <w:szCs w:val="24"/>
          <w:lang w:val="es-ES" w:eastAsia="es-ES"/>
        </w:rPr>
      </w:pPr>
    </w:p>
    <w:p w14:paraId="486FC1D2" w14:textId="4CE609BE" w:rsidR="00756044" w:rsidRPr="00C80AB8" w:rsidRDefault="007F5F4C" w:rsidP="00C80AB8">
      <w:pPr>
        <w:overflowPunct w:val="0"/>
        <w:autoSpaceDE w:val="0"/>
        <w:autoSpaceDN w:val="0"/>
        <w:adjustRightInd w:val="0"/>
        <w:spacing w:after="0" w:line="276" w:lineRule="auto"/>
        <w:textAlignment w:val="baseline"/>
        <w:rPr>
          <w:rFonts w:ascii="Gadugi" w:eastAsia="Times New Roman" w:hAnsi="Gadugi" w:cs="Arial"/>
          <w:sz w:val="24"/>
          <w:szCs w:val="24"/>
          <w:lang w:val="es-ES" w:eastAsia="es-ES"/>
        </w:rPr>
      </w:pPr>
      <w:r w:rsidRPr="00C80AB8">
        <w:rPr>
          <w:rFonts w:ascii="Gadugi" w:eastAsia="Times New Roman" w:hAnsi="Gadugi" w:cs="Arial"/>
          <w:b/>
          <w:bCs/>
          <w:sz w:val="24"/>
          <w:szCs w:val="24"/>
          <w:lang w:val="es-ES" w:eastAsia="es-ES"/>
        </w:rPr>
        <w:t xml:space="preserve">1. </w:t>
      </w:r>
      <w:r w:rsidR="00756044" w:rsidRPr="00C80AB8">
        <w:rPr>
          <w:rFonts w:ascii="Gadugi" w:eastAsia="Times New Roman" w:hAnsi="Gadugi" w:cs="Arial"/>
          <w:b/>
          <w:bCs/>
          <w:sz w:val="24"/>
          <w:szCs w:val="24"/>
          <w:lang w:val="es-ES" w:eastAsia="es-ES"/>
        </w:rPr>
        <w:t>ANTECEDENTES</w:t>
      </w:r>
    </w:p>
    <w:p w14:paraId="71AF52D6" w14:textId="41081587" w:rsidR="00756044" w:rsidRPr="00C80AB8" w:rsidRDefault="00756044" w:rsidP="00C80AB8">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p>
    <w:p w14:paraId="50C4F38B" w14:textId="4F37BA6B" w:rsidR="00C363FB" w:rsidRPr="00C80AB8" w:rsidRDefault="57EBE2DF" w:rsidP="00C80AB8">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C80AB8">
        <w:rPr>
          <w:rFonts w:ascii="Gadugi" w:eastAsia="Times New Roman" w:hAnsi="Gadugi" w:cs="Arial"/>
          <w:sz w:val="24"/>
          <w:szCs w:val="24"/>
          <w:lang w:val="es-419" w:eastAsia="es-ES"/>
        </w:rPr>
        <w:lastRenderedPageBreak/>
        <w:t xml:space="preserve">1.1. </w:t>
      </w:r>
      <w:r w:rsidR="008F33F4" w:rsidRPr="00C80AB8">
        <w:rPr>
          <w:rFonts w:ascii="Gadugi" w:eastAsia="Times New Roman" w:hAnsi="Gadugi" w:cs="Arial"/>
          <w:sz w:val="24"/>
          <w:szCs w:val="24"/>
          <w:lang w:val="es-419" w:eastAsia="es-ES"/>
        </w:rPr>
        <w:t>Expone</w:t>
      </w:r>
      <w:r w:rsidR="00C363FB" w:rsidRPr="00C80AB8">
        <w:rPr>
          <w:rFonts w:ascii="Gadugi" w:eastAsia="Times New Roman" w:hAnsi="Gadugi" w:cs="Arial"/>
          <w:sz w:val="24"/>
          <w:szCs w:val="24"/>
          <w:lang w:val="es-419" w:eastAsia="es-ES"/>
        </w:rPr>
        <w:t xml:space="preserve"> la demanda que </w:t>
      </w:r>
      <w:r w:rsidR="00995D17" w:rsidRPr="00C80AB8">
        <w:rPr>
          <w:rFonts w:ascii="Gadugi" w:eastAsia="Times New Roman" w:hAnsi="Gadugi" w:cs="Arial"/>
          <w:sz w:val="24"/>
          <w:szCs w:val="24"/>
          <w:lang w:val="es-419" w:eastAsia="es-ES"/>
        </w:rPr>
        <w:t xml:space="preserve">los accionantes fueron capturados por el delito de </w:t>
      </w:r>
      <w:r w:rsidR="00995D17" w:rsidRPr="00C80AB8">
        <w:rPr>
          <w:rFonts w:ascii="Gadugi" w:eastAsia="Times New Roman" w:hAnsi="Gadugi" w:cs="Arial"/>
          <w:i/>
          <w:sz w:val="24"/>
          <w:szCs w:val="24"/>
          <w:lang w:val="es-419" w:eastAsia="es-ES"/>
        </w:rPr>
        <w:t>“</w:t>
      </w:r>
      <w:r w:rsidR="00995D17" w:rsidRPr="003A0E31">
        <w:rPr>
          <w:rFonts w:ascii="Gadugi" w:eastAsia="Times New Roman" w:hAnsi="Gadugi" w:cs="Arial"/>
          <w:i/>
          <w:szCs w:val="24"/>
          <w:lang w:val="es-419" w:eastAsia="es-ES"/>
        </w:rPr>
        <w:t>extorsión y concierto para delinquir con fines de extorsión</w:t>
      </w:r>
      <w:r w:rsidR="00995D17" w:rsidRPr="00C80AB8">
        <w:rPr>
          <w:rFonts w:ascii="Gadugi" w:eastAsia="Times New Roman" w:hAnsi="Gadugi" w:cs="Arial"/>
          <w:i/>
          <w:sz w:val="24"/>
          <w:szCs w:val="24"/>
          <w:lang w:val="es-419" w:eastAsia="es-ES"/>
        </w:rPr>
        <w:t>”</w:t>
      </w:r>
      <w:r w:rsidR="00D44DD4" w:rsidRPr="00C80AB8">
        <w:rPr>
          <w:rFonts w:ascii="Gadugi" w:eastAsia="Times New Roman" w:hAnsi="Gadugi" w:cs="Arial"/>
          <w:sz w:val="24"/>
          <w:szCs w:val="24"/>
          <w:lang w:val="es-419" w:eastAsia="es-ES"/>
        </w:rPr>
        <w:t>, y luego de que se realizaron de manera concentrada las audiencias preliminares, la Fiscalía Quinta Especializada de Pereira radicó el escrito de acusación</w:t>
      </w:r>
      <w:r w:rsidR="008F33F4" w:rsidRPr="00C80AB8">
        <w:rPr>
          <w:rFonts w:ascii="Gadugi" w:eastAsia="Times New Roman" w:hAnsi="Gadugi" w:cs="Arial"/>
          <w:sz w:val="24"/>
          <w:szCs w:val="24"/>
          <w:lang w:val="es-419" w:eastAsia="es-ES"/>
        </w:rPr>
        <w:t xml:space="preserve"> el 17 de noviembre de 2021</w:t>
      </w:r>
      <w:r w:rsidR="00D44DD4" w:rsidRPr="00C80AB8">
        <w:rPr>
          <w:rFonts w:ascii="Gadugi" w:eastAsia="Times New Roman" w:hAnsi="Gadugi" w:cs="Arial"/>
          <w:sz w:val="24"/>
          <w:szCs w:val="24"/>
          <w:lang w:val="es-419" w:eastAsia="es-ES"/>
        </w:rPr>
        <w:t xml:space="preserve">, correspondiéndole el caso al Juzgado Segundo Penal del Circuito Especializado. </w:t>
      </w:r>
    </w:p>
    <w:p w14:paraId="70225B9E" w14:textId="77777777" w:rsidR="00D44DD4" w:rsidRPr="00C80AB8" w:rsidRDefault="00D44DD4" w:rsidP="00C80AB8">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5D73AFB9" w14:textId="710B4FF4" w:rsidR="00D44DD4" w:rsidRPr="00C80AB8" w:rsidRDefault="00D44DD4" w:rsidP="00C80AB8">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C80AB8">
        <w:rPr>
          <w:rFonts w:ascii="Gadugi" w:eastAsia="Times New Roman" w:hAnsi="Gadugi" w:cs="Arial"/>
          <w:sz w:val="24"/>
          <w:szCs w:val="24"/>
          <w:lang w:val="es-419" w:eastAsia="es-ES"/>
        </w:rPr>
        <w:t xml:space="preserve">Se agregó que </w:t>
      </w:r>
      <w:r w:rsidRPr="00C80AB8">
        <w:rPr>
          <w:rFonts w:ascii="Gadugi" w:eastAsia="Times New Roman" w:hAnsi="Gadugi" w:cs="Arial"/>
          <w:i/>
          <w:sz w:val="24"/>
          <w:szCs w:val="24"/>
          <w:lang w:val="es-419" w:eastAsia="es-ES"/>
        </w:rPr>
        <w:t>“</w:t>
      </w:r>
      <w:r w:rsidRPr="003A0E31">
        <w:rPr>
          <w:rFonts w:ascii="Gadugi" w:eastAsia="Times New Roman" w:hAnsi="Gadugi" w:cs="Arial"/>
          <w:i/>
          <w:szCs w:val="24"/>
          <w:lang w:val="es-419" w:eastAsia="es-ES"/>
        </w:rPr>
        <w:t>(…) desde la fecha de radicación del escrito de acusación, el 17 de noviembre del año 2021, han transcurrido a la fecha 534 días, sin que se haya dado inicio a la audiencia de juicio oral (…)</w:t>
      </w:r>
      <w:r w:rsidRPr="00C80AB8">
        <w:rPr>
          <w:rFonts w:ascii="Gadugi" w:eastAsia="Times New Roman" w:hAnsi="Gadugi" w:cs="Arial"/>
          <w:i/>
          <w:sz w:val="24"/>
          <w:szCs w:val="24"/>
          <w:lang w:val="es-419" w:eastAsia="es-ES"/>
        </w:rPr>
        <w:t>”</w:t>
      </w:r>
      <w:r w:rsidRPr="00C80AB8">
        <w:rPr>
          <w:rFonts w:ascii="Gadugi" w:eastAsia="Times New Roman" w:hAnsi="Gadugi" w:cs="Arial"/>
          <w:sz w:val="24"/>
          <w:szCs w:val="24"/>
          <w:lang w:val="es-419" w:eastAsia="es-ES"/>
        </w:rPr>
        <w:t xml:space="preserve">, </w:t>
      </w:r>
      <w:r w:rsidR="008F33F4" w:rsidRPr="00C80AB8">
        <w:rPr>
          <w:rFonts w:ascii="Gadugi" w:eastAsia="Times New Roman" w:hAnsi="Gadugi" w:cs="Arial"/>
          <w:sz w:val="24"/>
          <w:szCs w:val="24"/>
          <w:lang w:val="es-419" w:eastAsia="es-ES"/>
        </w:rPr>
        <w:t xml:space="preserve">lo cual contraría el término previsto en el artículo 317A del Código de Procedimiento Penal -CPP-, finalmente se aseguró que la dilación del proceso no es atribuible a la defensa, sino a la judicatura. </w:t>
      </w:r>
    </w:p>
    <w:p w14:paraId="5AE6FEEC" w14:textId="77777777" w:rsidR="00C80AB8" w:rsidRDefault="00C80AB8" w:rsidP="00C80AB8">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22088123" w14:textId="039A8B84" w:rsidR="008F33F4" w:rsidRPr="00C80AB8" w:rsidRDefault="008F33F4" w:rsidP="00C80AB8">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C80AB8">
        <w:rPr>
          <w:rFonts w:ascii="Gadugi" w:eastAsia="Times New Roman" w:hAnsi="Gadugi" w:cs="Arial"/>
          <w:sz w:val="24"/>
          <w:szCs w:val="24"/>
          <w:lang w:val="es-419" w:eastAsia="es-ES"/>
        </w:rPr>
        <w:t>Se pretende,</w:t>
      </w:r>
      <w:r w:rsidR="000F4B5A" w:rsidRPr="00C80AB8">
        <w:rPr>
          <w:rFonts w:ascii="Gadugi" w:eastAsia="Times New Roman" w:hAnsi="Gadugi" w:cs="Arial"/>
          <w:sz w:val="24"/>
          <w:szCs w:val="24"/>
          <w:lang w:val="es-419" w:eastAsia="es-ES"/>
        </w:rPr>
        <w:t xml:space="preserve"> entonces, </w:t>
      </w:r>
      <w:r w:rsidRPr="00C80AB8">
        <w:rPr>
          <w:rFonts w:ascii="Gadugi" w:eastAsia="Times New Roman" w:hAnsi="Gadugi" w:cs="Arial"/>
          <w:sz w:val="24"/>
          <w:szCs w:val="24"/>
          <w:lang w:val="es-419" w:eastAsia="es-ES"/>
        </w:rPr>
        <w:t>la emisión de un “</w:t>
      </w:r>
      <w:r w:rsidRPr="003A0E31">
        <w:rPr>
          <w:rFonts w:ascii="Gadugi" w:eastAsia="Times New Roman" w:hAnsi="Gadugi" w:cs="Arial"/>
          <w:i/>
          <w:szCs w:val="24"/>
          <w:lang w:val="es-419" w:eastAsia="es-ES"/>
        </w:rPr>
        <w:t>auto de libertad provisional inmediata</w:t>
      </w:r>
      <w:r w:rsidRPr="003A0E31">
        <w:rPr>
          <w:rFonts w:ascii="Gadugi" w:eastAsia="Times New Roman" w:hAnsi="Gadugi" w:cs="Arial"/>
          <w:szCs w:val="24"/>
          <w:lang w:val="es-419" w:eastAsia="es-ES"/>
        </w:rPr>
        <w:t>”</w:t>
      </w:r>
      <w:r w:rsidR="000F4B5A" w:rsidRPr="003A0E31">
        <w:rPr>
          <w:rFonts w:ascii="Gadugi" w:eastAsia="Times New Roman" w:hAnsi="Gadugi" w:cs="Arial"/>
          <w:szCs w:val="24"/>
          <w:lang w:val="es-419" w:eastAsia="es-ES"/>
        </w:rPr>
        <w:t xml:space="preserve"> para los accionantes</w:t>
      </w:r>
      <w:r w:rsidR="000F4B5A" w:rsidRPr="00C80AB8">
        <w:rPr>
          <w:rFonts w:ascii="Gadugi" w:eastAsia="Times New Roman" w:hAnsi="Gadugi" w:cs="Arial"/>
          <w:sz w:val="24"/>
          <w:szCs w:val="24"/>
          <w:lang w:val="es-419" w:eastAsia="es-ES"/>
        </w:rPr>
        <w:t>.</w:t>
      </w:r>
      <w:r w:rsidR="007C6797" w:rsidRPr="00C80AB8">
        <w:rPr>
          <w:rStyle w:val="Refdenotaalpie"/>
          <w:rFonts w:ascii="Gadugi" w:eastAsia="Times New Roman" w:hAnsi="Gadugi"/>
          <w:sz w:val="24"/>
          <w:szCs w:val="24"/>
          <w:lang w:val="es-419" w:eastAsia="es-ES"/>
        </w:rPr>
        <w:footnoteReference w:id="1"/>
      </w:r>
      <w:r w:rsidR="000F4B5A" w:rsidRPr="00C80AB8">
        <w:rPr>
          <w:rFonts w:ascii="Gadugi" w:eastAsia="Times New Roman" w:hAnsi="Gadugi" w:cs="Arial"/>
          <w:sz w:val="24"/>
          <w:szCs w:val="24"/>
          <w:lang w:val="es-419" w:eastAsia="es-ES"/>
        </w:rPr>
        <w:t xml:space="preserve"> </w:t>
      </w:r>
    </w:p>
    <w:p w14:paraId="5C3B84B6" w14:textId="77777777" w:rsidR="000F4B5A" w:rsidRPr="00C80AB8" w:rsidRDefault="000F4B5A" w:rsidP="00C80AB8">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53F886B8" w14:textId="798B5FC6" w:rsidR="000F4B5A" w:rsidRPr="00C80AB8" w:rsidRDefault="000F4B5A" w:rsidP="00C80AB8">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C80AB8">
        <w:rPr>
          <w:rFonts w:ascii="Gadugi" w:eastAsia="Times New Roman" w:hAnsi="Gadugi" w:cs="Arial"/>
          <w:sz w:val="24"/>
          <w:szCs w:val="24"/>
          <w:lang w:val="es-419" w:eastAsia="es-ES"/>
        </w:rPr>
        <w:t>1.2. Recibida la solicitud por el Juzgado Primero de Familia local, con fundamento en las previsiones de la Ley 1095 de 2006, se asumió el conocimiento de la acción el 5 de mayo de 2023, y se dispuso oficiar a distintas autoridades para recol</w:t>
      </w:r>
      <w:r w:rsidR="00003359" w:rsidRPr="00C80AB8">
        <w:rPr>
          <w:rFonts w:ascii="Gadugi" w:eastAsia="Times New Roman" w:hAnsi="Gadugi" w:cs="Arial"/>
          <w:sz w:val="24"/>
          <w:szCs w:val="24"/>
          <w:lang w:val="es-419" w:eastAsia="es-ES"/>
        </w:rPr>
        <w:t>ect</w:t>
      </w:r>
      <w:r w:rsidRPr="00C80AB8">
        <w:rPr>
          <w:rFonts w:ascii="Gadugi" w:eastAsia="Times New Roman" w:hAnsi="Gadugi" w:cs="Arial"/>
          <w:sz w:val="24"/>
          <w:szCs w:val="24"/>
          <w:lang w:val="es-419" w:eastAsia="es-ES"/>
        </w:rPr>
        <w:t>ar pruebas e información necesaria para resolver la demanda.</w:t>
      </w:r>
      <w:r w:rsidR="006150A7" w:rsidRPr="00C80AB8">
        <w:rPr>
          <w:rStyle w:val="Refdenotaalpie"/>
          <w:rFonts w:ascii="Gadugi" w:eastAsia="Times New Roman" w:hAnsi="Gadugi"/>
          <w:sz w:val="24"/>
          <w:szCs w:val="24"/>
          <w:lang w:val="es-419" w:eastAsia="es-ES"/>
        </w:rPr>
        <w:footnoteReference w:id="2"/>
      </w:r>
    </w:p>
    <w:p w14:paraId="5C82F685" w14:textId="77777777" w:rsidR="000F4B5A" w:rsidRPr="00C80AB8" w:rsidRDefault="000F4B5A" w:rsidP="00C80AB8">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799B6568" w14:textId="30ACF4C5" w:rsidR="007E4184" w:rsidRPr="00C80AB8" w:rsidRDefault="008D1DDD" w:rsidP="00C80AB8">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C80AB8">
        <w:rPr>
          <w:rFonts w:ascii="Gadugi" w:eastAsia="Times New Roman" w:hAnsi="Gadugi" w:cs="Arial"/>
          <w:sz w:val="24"/>
          <w:szCs w:val="24"/>
          <w:lang w:val="es-419" w:eastAsia="es-ES"/>
        </w:rPr>
        <w:t xml:space="preserve">1.3. El Juzgado Primero Penal Municipal con función de Control de Garantías de Pereira informó que le correspondió una </w:t>
      </w:r>
      <w:r w:rsidRPr="00C80AB8">
        <w:rPr>
          <w:rFonts w:ascii="Gadugi" w:eastAsia="Times New Roman" w:hAnsi="Gadugi" w:cs="Arial"/>
          <w:i/>
          <w:sz w:val="24"/>
          <w:szCs w:val="24"/>
          <w:lang w:val="es-419" w:eastAsia="es-ES"/>
        </w:rPr>
        <w:t>“</w:t>
      </w:r>
      <w:r w:rsidRPr="003A0E31">
        <w:rPr>
          <w:rFonts w:ascii="Gadugi" w:eastAsia="Times New Roman" w:hAnsi="Gadugi" w:cs="Arial"/>
          <w:i/>
          <w:szCs w:val="24"/>
          <w:lang w:val="es-419" w:eastAsia="es-ES"/>
        </w:rPr>
        <w:t>(…) solicitud de audiencia de libertad por vencimiento de términos con el número de noticia criminal 660016000035202001399</w:t>
      </w:r>
      <w:r w:rsidRPr="00C80AB8">
        <w:rPr>
          <w:rFonts w:ascii="Gadugi" w:eastAsia="Times New Roman" w:hAnsi="Gadugi" w:cs="Arial"/>
          <w:i/>
          <w:sz w:val="24"/>
          <w:szCs w:val="24"/>
          <w:lang w:val="es-419" w:eastAsia="es-ES"/>
        </w:rPr>
        <w:t>”</w:t>
      </w:r>
      <w:r w:rsidR="007E4184" w:rsidRPr="00C80AB8">
        <w:rPr>
          <w:rFonts w:ascii="Gadugi" w:eastAsia="Times New Roman" w:hAnsi="Gadugi" w:cs="Arial"/>
          <w:i/>
          <w:sz w:val="24"/>
          <w:szCs w:val="24"/>
          <w:lang w:val="es-419" w:eastAsia="es-ES"/>
        </w:rPr>
        <w:t xml:space="preserve">, </w:t>
      </w:r>
      <w:r w:rsidR="007E4184" w:rsidRPr="00C80AB8">
        <w:rPr>
          <w:rFonts w:ascii="Gadugi" w:eastAsia="Times New Roman" w:hAnsi="Gadugi" w:cs="Arial"/>
          <w:sz w:val="24"/>
          <w:szCs w:val="24"/>
          <w:lang w:val="es-419" w:eastAsia="es-ES"/>
        </w:rPr>
        <w:t>la cual se celebró el 25 de abril de 2023 y allí se negó lo pedido, al no haberse superado el término legal, incumpliéndose, entonces, “</w:t>
      </w:r>
      <w:r w:rsidR="007E4184" w:rsidRPr="003A0E31">
        <w:rPr>
          <w:rFonts w:ascii="Gadugi" w:eastAsia="Times New Roman" w:hAnsi="Gadugi" w:cs="Arial"/>
          <w:i/>
          <w:szCs w:val="24"/>
          <w:lang w:val="es-419" w:eastAsia="es-ES"/>
        </w:rPr>
        <w:t>los requisitos para conceder libertad del modo reglado en el artículo 317A numeral 5 del C. de P.P.</w:t>
      </w:r>
      <w:r w:rsidR="007E4184" w:rsidRPr="00C80AB8">
        <w:rPr>
          <w:rFonts w:ascii="Gadugi" w:eastAsia="Times New Roman" w:hAnsi="Gadugi" w:cs="Arial"/>
          <w:i/>
          <w:sz w:val="24"/>
          <w:szCs w:val="24"/>
          <w:lang w:val="es-419" w:eastAsia="es-ES"/>
        </w:rPr>
        <w:t>”.</w:t>
      </w:r>
    </w:p>
    <w:p w14:paraId="411B10BE" w14:textId="35B38437" w:rsidR="007E4184" w:rsidRPr="00C80AB8" w:rsidRDefault="007E4184" w:rsidP="00C80AB8">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42E3F44B" w14:textId="7D761B2F" w:rsidR="007E4184" w:rsidRPr="00C80AB8" w:rsidRDefault="007E4184" w:rsidP="00C80AB8">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C80AB8">
        <w:rPr>
          <w:rFonts w:ascii="Gadugi" w:eastAsia="Times New Roman" w:hAnsi="Gadugi" w:cs="Arial"/>
          <w:sz w:val="24"/>
          <w:szCs w:val="24"/>
          <w:lang w:val="es-419" w:eastAsia="es-ES"/>
        </w:rPr>
        <w:t>Que esa decisión fue apelada y confirmada por el Juzgado Cuarto Penal del Circuito de Pereira mediante auto del 3 de mayo de 2023.</w:t>
      </w:r>
    </w:p>
    <w:p w14:paraId="58D5BEC2" w14:textId="0DC6F3AE" w:rsidR="008D1DDD" w:rsidRPr="00C80AB8" w:rsidRDefault="008D1DDD" w:rsidP="00C80AB8">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247F1CD3" w14:textId="4C7F49B3" w:rsidR="007E4184" w:rsidRPr="00C80AB8" w:rsidRDefault="007E4184" w:rsidP="00C80AB8">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C80AB8">
        <w:rPr>
          <w:rFonts w:ascii="Gadugi" w:eastAsia="Times New Roman" w:hAnsi="Gadugi" w:cs="Arial"/>
          <w:sz w:val="24"/>
          <w:szCs w:val="24"/>
          <w:lang w:val="es-419" w:eastAsia="es-ES"/>
        </w:rPr>
        <w:t xml:space="preserve">Dijo que ordenar la libertad de los accionantes en este juicio, sería tanto como desplazar la competencia de los jueces naturales y, en todo caso, agregó que </w:t>
      </w:r>
      <w:r w:rsidRPr="00C80AB8">
        <w:rPr>
          <w:rFonts w:ascii="Gadugi" w:eastAsia="Times New Roman" w:hAnsi="Gadugi" w:cs="Arial"/>
          <w:i/>
          <w:sz w:val="24"/>
          <w:szCs w:val="24"/>
          <w:lang w:val="es-419" w:eastAsia="es-ES"/>
        </w:rPr>
        <w:t>“</w:t>
      </w:r>
      <w:r w:rsidRPr="003A0E31">
        <w:rPr>
          <w:rFonts w:ascii="Gadugi" w:eastAsia="Times New Roman" w:hAnsi="Gadugi" w:cs="Arial"/>
          <w:i/>
          <w:szCs w:val="24"/>
          <w:lang w:val="es-419" w:eastAsia="es-ES"/>
        </w:rPr>
        <w:t>(…) el defensor de los accionantes se encuentra facultado para solicitar en el momento que así lo estime, una nueva audiencia de libertad por vencimiento de términos para que sea un juez de control de garantías quien decida sobre dicho pedimento, toda vez que el artículo 317 del C. de P.P. no limita las oportunidades para presentarla</w:t>
      </w:r>
      <w:r w:rsidRPr="00C80AB8">
        <w:rPr>
          <w:rFonts w:ascii="Gadugi" w:eastAsia="Times New Roman" w:hAnsi="Gadugi" w:cs="Arial"/>
          <w:i/>
          <w:sz w:val="24"/>
          <w:szCs w:val="24"/>
          <w:lang w:val="es-419" w:eastAsia="es-ES"/>
        </w:rPr>
        <w:t>.”.</w:t>
      </w:r>
      <w:r w:rsidR="006150A7" w:rsidRPr="00C80AB8">
        <w:rPr>
          <w:rStyle w:val="Refdenotaalpie"/>
          <w:rFonts w:ascii="Gadugi" w:eastAsia="Times New Roman" w:hAnsi="Gadugi"/>
          <w:i/>
          <w:sz w:val="24"/>
          <w:szCs w:val="24"/>
          <w:lang w:val="es-419" w:eastAsia="es-ES"/>
        </w:rPr>
        <w:footnoteReference w:id="3"/>
      </w:r>
    </w:p>
    <w:p w14:paraId="12A534AF" w14:textId="77777777" w:rsidR="00C80AB8" w:rsidRDefault="00C80AB8" w:rsidP="00C80AB8">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567ED534" w14:textId="6ACE97DF" w:rsidR="00C75332" w:rsidRPr="00C80AB8" w:rsidRDefault="007E4184" w:rsidP="00C80AB8">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C80AB8">
        <w:rPr>
          <w:rFonts w:ascii="Gadugi" w:eastAsia="Times New Roman" w:hAnsi="Gadugi" w:cs="Arial"/>
          <w:sz w:val="24"/>
          <w:szCs w:val="24"/>
          <w:lang w:val="es-419" w:eastAsia="es-ES"/>
        </w:rPr>
        <w:t xml:space="preserve">1.4. El Juzgado Cuarto Penal del Circuito de Pereira, informó que le correspondió resolver la apelación </w:t>
      </w:r>
      <w:r w:rsidR="00C75332" w:rsidRPr="00C80AB8">
        <w:rPr>
          <w:rFonts w:ascii="Gadugi" w:eastAsia="Times New Roman" w:hAnsi="Gadugi" w:cs="Arial"/>
          <w:sz w:val="24"/>
          <w:szCs w:val="24"/>
          <w:lang w:val="es-419" w:eastAsia="es-ES"/>
        </w:rPr>
        <w:t>fren</w:t>
      </w:r>
      <w:r w:rsidR="00003359" w:rsidRPr="00C80AB8">
        <w:rPr>
          <w:rFonts w:ascii="Gadugi" w:eastAsia="Times New Roman" w:hAnsi="Gadugi" w:cs="Arial"/>
          <w:sz w:val="24"/>
          <w:szCs w:val="24"/>
          <w:lang w:val="es-419" w:eastAsia="es-ES"/>
        </w:rPr>
        <w:t>t</w:t>
      </w:r>
      <w:r w:rsidR="00C75332" w:rsidRPr="00C80AB8">
        <w:rPr>
          <w:rFonts w:ascii="Gadugi" w:eastAsia="Times New Roman" w:hAnsi="Gadugi" w:cs="Arial"/>
          <w:sz w:val="24"/>
          <w:szCs w:val="24"/>
          <w:lang w:val="es-419" w:eastAsia="es-ES"/>
        </w:rPr>
        <w:t xml:space="preserve">e al auto mediante el cual se les negó a los accionantes la </w:t>
      </w:r>
      <w:r w:rsidR="00C75332" w:rsidRPr="00C80AB8">
        <w:rPr>
          <w:rFonts w:ascii="Gadugi" w:eastAsia="Times New Roman" w:hAnsi="Gadugi" w:cs="Arial"/>
          <w:sz w:val="24"/>
          <w:szCs w:val="24"/>
          <w:lang w:val="es-419" w:eastAsia="es-ES"/>
        </w:rPr>
        <w:lastRenderedPageBreak/>
        <w:t xml:space="preserve">solicitud por vencimiento de términos; hizo saber que a ello le dio solución con proveído del 3 de mayo de 2023, confirmando la decisión de primera instancia. </w:t>
      </w:r>
    </w:p>
    <w:p w14:paraId="7C7D0A15" w14:textId="77777777" w:rsidR="00C75332" w:rsidRPr="00C80AB8" w:rsidRDefault="00C75332" w:rsidP="00C80AB8">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2944C6CC" w14:textId="2274CE13" w:rsidR="00716CC6" w:rsidRPr="00C80AB8" w:rsidRDefault="00C75332" w:rsidP="00C80AB8">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C80AB8">
        <w:rPr>
          <w:rFonts w:ascii="Gadugi" w:eastAsia="Times New Roman" w:hAnsi="Gadugi" w:cs="Arial"/>
          <w:sz w:val="24"/>
          <w:szCs w:val="24"/>
          <w:lang w:val="es-419" w:eastAsia="es-ES"/>
        </w:rPr>
        <w:t xml:space="preserve">Adujo que </w:t>
      </w:r>
      <w:r w:rsidR="001E23F6" w:rsidRPr="00C80AB8">
        <w:rPr>
          <w:rFonts w:ascii="Gadugi" w:eastAsia="Times New Roman" w:hAnsi="Gadugi" w:cs="Arial"/>
          <w:sz w:val="24"/>
          <w:szCs w:val="24"/>
          <w:lang w:val="es-419" w:eastAsia="es-ES"/>
        </w:rPr>
        <w:t>la inconformidad</w:t>
      </w:r>
      <w:r w:rsidRPr="00C80AB8">
        <w:rPr>
          <w:rFonts w:ascii="Gadugi" w:eastAsia="Times New Roman" w:hAnsi="Gadugi" w:cs="Arial"/>
          <w:sz w:val="24"/>
          <w:szCs w:val="24"/>
          <w:lang w:val="es-419" w:eastAsia="es-ES"/>
        </w:rPr>
        <w:t xml:space="preserve"> del abogado de los accionantes </w:t>
      </w:r>
      <w:r w:rsidR="00716CC6" w:rsidRPr="00C80AB8">
        <w:rPr>
          <w:rFonts w:ascii="Gadugi" w:eastAsia="Times New Roman" w:hAnsi="Gadugi" w:cs="Arial"/>
          <w:sz w:val="24"/>
          <w:szCs w:val="24"/>
          <w:lang w:val="es-419" w:eastAsia="es-ES"/>
        </w:rPr>
        <w:t xml:space="preserve">no deviene por las actuaciones adelantadas en sede </w:t>
      </w:r>
      <w:r w:rsidR="00003359" w:rsidRPr="00C80AB8">
        <w:rPr>
          <w:rFonts w:ascii="Gadugi" w:eastAsia="Times New Roman" w:hAnsi="Gadugi" w:cs="Arial"/>
          <w:sz w:val="24"/>
          <w:szCs w:val="24"/>
          <w:lang w:val="es-419" w:eastAsia="es-ES"/>
        </w:rPr>
        <w:t xml:space="preserve">de </w:t>
      </w:r>
      <w:r w:rsidR="00716CC6" w:rsidRPr="00C80AB8">
        <w:rPr>
          <w:rFonts w:ascii="Gadugi" w:eastAsia="Times New Roman" w:hAnsi="Gadugi" w:cs="Arial"/>
          <w:sz w:val="24"/>
          <w:szCs w:val="24"/>
          <w:lang w:val="es-419" w:eastAsia="es-ES"/>
        </w:rPr>
        <w:t>garantías, en primera o segunda instancia, sino en la decisión de fondo que se tomó en relación con la libertad solicitada, la cual es legal y constitucional.</w:t>
      </w:r>
      <w:r w:rsidR="006150A7" w:rsidRPr="00C80AB8">
        <w:rPr>
          <w:rStyle w:val="Refdenotaalpie"/>
          <w:rFonts w:ascii="Gadugi" w:eastAsia="Times New Roman" w:hAnsi="Gadugi"/>
          <w:sz w:val="24"/>
          <w:szCs w:val="24"/>
          <w:lang w:val="es-419" w:eastAsia="es-ES"/>
        </w:rPr>
        <w:footnoteReference w:id="4"/>
      </w:r>
      <w:r w:rsidR="00716CC6" w:rsidRPr="00C80AB8">
        <w:rPr>
          <w:rFonts w:ascii="Gadugi" w:eastAsia="Times New Roman" w:hAnsi="Gadugi" w:cs="Arial"/>
          <w:sz w:val="24"/>
          <w:szCs w:val="24"/>
          <w:lang w:val="es-419" w:eastAsia="es-ES"/>
        </w:rPr>
        <w:t xml:space="preserve">  </w:t>
      </w:r>
    </w:p>
    <w:p w14:paraId="5331AF02" w14:textId="51C5AFF3" w:rsidR="00716CC6" w:rsidRPr="00C80AB8" w:rsidRDefault="00716CC6" w:rsidP="00C80AB8">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7D716A1A" w14:textId="00A38F41" w:rsidR="00433289" w:rsidRPr="00C80AB8" w:rsidRDefault="00716CC6" w:rsidP="00C80AB8">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C80AB8">
        <w:rPr>
          <w:rFonts w:ascii="Gadugi" w:eastAsia="Times New Roman" w:hAnsi="Gadugi" w:cs="Arial"/>
          <w:sz w:val="24"/>
          <w:szCs w:val="24"/>
          <w:lang w:val="es-419" w:eastAsia="es-ES"/>
        </w:rPr>
        <w:t xml:space="preserve">1.5. El Juzgado Tercero Penal del Circuito de Pereira, </w:t>
      </w:r>
      <w:r w:rsidR="00433289" w:rsidRPr="00C80AB8">
        <w:rPr>
          <w:rFonts w:ascii="Gadugi" w:eastAsia="Times New Roman" w:hAnsi="Gadugi" w:cs="Arial"/>
          <w:sz w:val="24"/>
          <w:szCs w:val="24"/>
          <w:lang w:val="es-419" w:eastAsia="es-ES"/>
        </w:rPr>
        <w:t xml:space="preserve">informó que conoce del proceso cuestionado, el cual se identifica con el radicado 660016000035202001399, y rindió informe detallado sobre lo ocurrido en ese juicio; indicó que existe un </w:t>
      </w:r>
      <w:r w:rsidR="00433289" w:rsidRPr="00C80AB8">
        <w:rPr>
          <w:rFonts w:ascii="Gadugi" w:eastAsia="Times New Roman" w:hAnsi="Gadugi" w:cs="Arial"/>
          <w:i/>
          <w:sz w:val="24"/>
          <w:szCs w:val="24"/>
          <w:lang w:val="es-419" w:eastAsia="es-ES"/>
        </w:rPr>
        <w:t>“</w:t>
      </w:r>
      <w:r w:rsidR="00433289" w:rsidRPr="003A0E31">
        <w:rPr>
          <w:rFonts w:ascii="Gadugi" w:eastAsia="Times New Roman" w:hAnsi="Gadugi" w:cs="Arial"/>
          <w:i/>
          <w:szCs w:val="24"/>
          <w:lang w:val="es-419" w:eastAsia="es-ES"/>
        </w:rPr>
        <w:t>(…) mecanismo idóneo de defensa judicial para sustentar las pretensiones en torno a la libertad por vencimiento de términos (…)</w:t>
      </w:r>
      <w:r w:rsidR="00433289" w:rsidRPr="00C80AB8">
        <w:rPr>
          <w:rFonts w:ascii="Gadugi" w:eastAsia="Times New Roman" w:hAnsi="Gadugi" w:cs="Arial"/>
          <w:i/>
          <w:sz w:val="24"/>
          <w:szCs w:val="24"/>
          <w:lang w:val="es-419" w:eastAsia="es-ES"/>
        </w:rPr>
        <w:t>”,</w:t>
      </w:r>
      <w:r w:rsidR="00433289" w:rsidRPr="00C80AB8">
        <w:rPr>
          <w:rFonts w:ascii="Gadugi" w:eastAsia="Times New Roman" w:hAnsi="Gadugi" w:cs="Arial"/>
          <w:sz w:val="24"/>
          <w:szCs w:val="24"/>
          <w:lang w:val="es-419" w:eastAsia="es-ES"/>
        </w:rPr>
        <w:t xml:space="preserve"> lo cual hace improcedente </w:t>
      </w:r>
      <w:r w:rsidR="0056639A" w:rsidRPr="00C80AB8">
        <w:rPr>
          <w:rFonts w:ascii="Gadugi" w:eastAsia="Times New Roman" w:hAnsi="Gadugi" w:cs="Arial"/>
          <w:sz w:val="24"/>
          <w:szCs w:val="24"/>
          <w:lang w:val="es-419" w:eastAsia="es-ES"/>
        </w:rPr>
        <w:t>esta acción constitucional.</w:t>
      </w:r>
      <w:r w:rsidR="006150A7" w:rsidRPr="00C80AB8">
        <w:rPr>
          <w:rStyle w:val="Refdenotaalpie"/>
          <w:rFonts w:ascii="Gadugi" w:eastAsia="Times New Roman" w:hAnsi="Gadugi"/>
          <w:sz w:val="24"/>
          <w:szCs w:val="24"/>
          <w:lang w:val="es-419" w:eastAsia="es-ES"/>
        </w:rPr>
        <w:footnoteReference w:id="5"/>
      </w:r>
      <w:r w:rsidR="0056639A" w:rsidRPr="00C80AB8">
        <w:rPr>
          <w:rFonts w:ascii="Gadugi" w:eastAsia="Times New Roman" w:hAnsi="Gadugi" w:cs="Arial"/>
          <w:sz w:val="24"/>
          <w:szCs w:val="24"/>
          <w:lang w:val="es-419" w:eastAsia="es-ES"/>
        </w:rPr>
        <w:t xml:space="preserve"> </w:t>
      </w:r>
      <w:r w:rsidR="00433289" w:rsidRPr="00C80AB8">
        <w:rPr>
          <w:rFonts w:ascii="Gadugi" w:eastAsia="Times New Roman" w:hAnsi="Gadugi" w:cs="Arial"/>
          <w:sz w:val="24"/>
          <w:szCs w:val="24"/>
          <w:lang w:val="es-419" w:eastAsia="es-ES"/>
        </w:rPr>
        <w:t xml:space="preserve"> </w:t>
      </w:r>
    </w:p>
    <w:p w14:paraId="3F72F5A0" w14:textId="6B751A16" w:rsidR="00433289" w:rsidRPr="00C80AB8" w:rsidRDefault="00433289" w:rsidP="00C80AB8">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0676AF23" w14:textId="6DA49A63" w:rsidR="00433289" w:rsidRPr="00C80AB8" w:rsidRDefault="00433289" w:rsidP="00C80AB8">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C80AB8">
        <w:rPr>
          <w:rFonts w:ascii="Gadugi" w:eastAsia="Times New Roman" w:hAnsi="Gadugi" w:cs="Arial"/>
          <w:sz w:val="24"/>
          <w:szCs w:val="24"/>
          <w:lang w:val="es-419" w:eastAsia="es-ES"/>
        </w:rPr>
        <w:t xml:space="preserve">1.6. </w:t>
      </w:r>
      <w:r w:rsidR="0056639A" w:rsidRPr="00C80AB8">
        <w:rPr>
          <w:rFonts w:ascii="Gadugi" w:eastAsia="Times New Roman" w:hAnsi="Gadugi" w:cs="Arial"/>
          <w:sz w:val="24"/>
          <w:szCs w:val="24"/>
          <w:lang w:val="es-419" w:eastAsia="es-ES"/>
        </w:rPr>
        <w:t xml:space="preserve">Sobrevino la decisión de primera instancia que declaró improcedente el </w:t>
      </w:r>
      <w:r w:rsidR="0056639A" w:rsidRPr="00C80AB8">
        <w:rPr>
          <w:rFonts w:ascii="Gadugi" w:eastAsia="Times New Roman" w:hAnsi="Gadugi" w:cs="Arial"/>
          <w:i/>
          <w:sz w:val="24"/>
          <w:szCs w:val="24"/>
          <w:lang w:val="es-419" w:eastAsia="es-ES"/>
        </w:rPr>
        <w:t xml:space="preserve">habeas corpus, </w:t>
      </w:r>
      <w:r w:rsidR="0056639A" w:rsidRPr="00C80AB8">
        <w:rPr>
          <w:rFonts w:ascii="Gadugi" w:eastAsia="Times New Roman" w:hAnsi="Gadugi" w:cs="Arial"/>
          <w:sz w:val="24"/>
          <w:szCs w:val="24"/>
          <w:lang w:val="es-419" w:eastAsia="es-ES"/>
        </w:rPr>
        <w:t>luego de concluir que las providencias mediante las cuales se negó la solicitud de libertad por vencimiento de términos, se encuentran ajustadas a la ley.</w:t>
      </w:r>
      <w:r w:rsidR="006150A7" w:rsidRPr="00C80AB8">
        <w:rPr>
          <w:rStyle w:val="Refdenotaalpie"/>
          <w:rFonts w:ascii="Gadugi" w:eastAsia="Times New Roman" w:hAnsi="Gadugi"/>
          <w:sz w:val="24"/>
          <w:szCs w:val="24"/>
          <w:lang w:val="es-419" w:eastAsia="es-ES"/>
        </w:rPr>
        <w:footnoteReference w:id="6"/>
      </w:r>
      <w:r w:rsidR="0056639A" w:rsidRPr="00C80AB8">
        <w:rPr>
          <w:rFonts w:ascii="Gadugi" w:eastAsia="Times New Roman" w:hAnsi="Gadugi" w:cs="Arial"/>
          <w:sz w:val="24"/>
          <w:szCs w:val="24"/>
          <w:lang w:val="es-419" w:eastAsia="es-ES"/>
        </w:rPr>
        <w:t xml:space="preserve"> </w:t>
      </w:r>
    </w:p>
    <w:p w14:paraId="29DE7685" w14:textId="1B8A65EB" w:rsidR="0056639A" w:rsidRPr="00C80AB8" w:rsidRDefault="0056639A" w:rsidP="00C80AB8">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2774B3E4" w14:textId="7636F7F0" w:rsidR="0056639A" w:rsidRPr="00C80AB8" w:rsidRDefault="0056639A" w:rsidP="00C80AB8">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C80AB8">
        <w:rPr>
          <w:rFonts w:ascii="Gadugi" w:eastAsia="Times New Roman" w:hAnsi="Gadugi" w:cs="Arial"/>
          <w:sz w:val="24"/>
          <w:szCs w:val="24"/>
          <w:lang w:val="es-419" w:eastAsia="es-ES"/>
        </w:rPr>
        <w:t xml:space="preserve">1.7. Impugnó la parte actora, </w:t>
      </w:r>
      <w:r w:rsidR="00003359" w:rsidRPr="00C80AB8">
        <w:rPr>
          <w:rFonts w:ascii="Gadugi" w:eastAsia="Times New Roman" w:hAnsi="Gadugi" w:cs="Arial"/>
          <w:sz w:val="24"/>
          <w:szCs w:val="24"/>
          <w:lang w:val="es-419" w:eastAsia="es-ES"/>
        </w:rPr>
        <w:t xml:space="preserve">con el </w:t>
      </w:r>
      <w:r w:rsidR="00312CDD" w:rsidRPr="00C80AB8">
        <w:rPr>
          <w:rFonts w:ascii="Gadugi" w:eastAsia="Times New Roman" w:hAnsi="Gadugi" w:cs="Arial"/>
          <w:sz w:val="24"/>
          <w:szCs w:val="24"/>
          <w:lang w:val="es-419" w:eastAsia="es-ES"/>
        </w:rPr>
        <w:t xml:space="preserve">siguiente argumento: </w:t>
      </w:r>
      <w:r w:rsidR="00312CDD" w:rsidRPr="00C80AB8">
        <w:rPr>
          <w:rFonts w:ascii="Gadugi" w:eastAsia="Times New Roman" w:hAnsi="Gadugi" w:cs="Arial"/>
          <w:i/>
          <w:sz w:val="24"/>
          <w:szCs w:val="24"/>
          <w:lang w:val="es-419" w:eastAsia="es-ES"/>
        </w:rPr>
        <w:t>“</w:t>
      </w:r>
      <w:r w:rsidR="00312CDD" w:rsidRPr="003A0E31">
        <w:rPr>
          <w:rFonts w:ascii="Gadugi" w:eastAsia="Times New Roman" w:hAnsi="Gadugi" w:cs="Arial"/>
          <w:i/>
          <w:szCs w:val="24"/>
          <w:lang w:val="es-419" w:eastAsia="es-ES"/>
        </w:rPr>
        <w:t>Podemos concluir que al no centrarse el análisis en establecer que la causa de la demora judicial NO es imputable a este defensor o mis defendidos, no hay lugar a decidir en que los términos están bien contabilizados, si los mismos, respetando el buen actuar no solo de nosotros, sino de los demás abogados que se encuentran en el proceso, al no haber efectuado una sola artimaña que genere esa mora judicial, se deben tomar de forma ininterrumpida como bien lo ha preceptuado la Corte</w:t>
      </w:r>
      <w:r w:rsidR="00312CDD" w:rsidRPr="00C80AB8">
        <w:rPr>
          <w:rFonts w:ascii="Gadugi" w:eastAsia="Times New Roman" w:hAnsi="Gadugi" w:cs="Arial"/>
          <w:i/>
          <w:sz w:val="24"/>
          <w:szCs w:val="24"/>
          <w:lang w:val="es-419" w:eastAsia="es-ES"/>
        </w:rPr>
        <w:t>.”</w:t>
      </w:r>
      <w:r w:rsidR="003A0E31">
        <w:rPr>
          <w:rFonts w:ascii="Gadugi" w:eastAsia="Times New Roman" w:hAnsi="Gadugi" w:cs="Arial"/>
          <w:i/>
          <w:sz w:val="24"/>
          <w:szCs w:val="24"/>
          <w:lang w:val="es-419" w:eastAsia="es-ES"/>
        </w:rPr>
        <w:t xml:space="preserve"> </w:t>
      </w:r>
      <w:r w:rsidR="006150A7" w:rsidRPr="00C80AB8">
        <w:rPr>
          <w:rStyle w:val="Refdenotaalpie"/>
          <w:rFonts w:ascii="Gadugi" w:eastAsia="Times New Roman" w:hAnsi="Gadugi"/>
          <w:i/>
          <w:sz w:val="24"/>
          <w:szCs w:val="24"/>
          <w:lang w:val="es-419" w:eastAsia="es-ES"/>
        </w:rPr>
        <w:footnoteReference w:id="7"/>
      </w:r>
      <w:r w:rsidR="00312CDD" w:rsidRPr="00C80AB8">
        <w:rPr>
          <w:rFonts w:ascii="Gadugi" w:eastAsia="Times New Roman" w:hAnsi="Gadugi" w:cs="Arial"/>
          <w:i/>
          <w:sz w:val="24"/>
          <w:szCs w:val="24"/>
          <w:lang w:val="es-419" w:eastAsia="es-ES"/>
        </w:rPr>
        <w:cr/>
      </w:r>
    </w:p>
    <w:p w14:paraId="228C5B09" w14:textId="492B36A4" w:rsidR="0056639A" w:rsidRPr="00C80AB8" w:rsidRDefault="00312CDD" w:rsidP="00C80AB8">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C80AB8">
        <w:rPr>
          <w:rFonts w:ascii="Gadugi" w:eastAsia="Times New Roman" w:hAnsi="Gadugi" w:cs="Arial"/>
          <w:sz w:val="24"/>
          <w:szCs w:val="24"/>
          <w:lang w:val="es-419" w:eastAsia="es-ES"/>
        </w:rPr>
        <w:t xml:space="preserve">1.8. Después de la decisión de primera instancia, aparece una contestación del Fiscal Primero Especializado GAULA, quien adelanta el proceso contra los accionantes, asegurando que a ellos se les han respetado sus garantías procesales, </w:t>
      </w:r>
      <w:r w:rsidRPr="00C80AB8">
        <w:rPr>
          <w:rFonts w:ascii="Gadugi" w:eastAsia="Times New Roman" w:hAnsi="Gadugi" w:cs="Arial"/>
          <w:i/>
          <w:sz w:val="24"/>
          <w:szCs w:val="24"/>
          <w:lang w:val="es-419" w:eastAsia="es-ES"/>
        </w:rPr>
        <w:t>“</w:t>
      </w:r>
      <w:r w:rsidRPr="003A0E31">
        <w:rPr>
          <w:rFonts w:ascii="Gadugi" w:eastAsia="Times New Roman" w:hAnsi="Gadugi" w:cs="Arial"/>
          <w:i/>
          <w:szCs w:val="24"/>
          <w:lang w:val="es-419" w:eastAsia="es-ES"/>
        </w:rPr>
        <w:t>(…)</w:t>
      </w:r>
      <w:r w:rsidRPr="003A0E31">
        <w:rPr>
          <w:rFonts w:ascii="Gadugi" w:eastAsia="Times New Roman" w:hAnsi="Gadugi" w:cs="Arial"/>
          <w:szCs w:val="24"/>
          <w:lang w:val="es-419" w:eastAsia="es-ES"/>
        </w:rPr>
        <w:t xml:space="preserve"> </w:t>
      </w:r>
      <w:r w:rsidRPr="003A0E31">
        <w:rPr>
          <w:rFonts w:ascii="Gadugi" w:eastAsia="Times New Roman" w:hAnsi="Gadugi" w:cs="Arial"/>
          <w:i/>
          <w:szCs w:val="24"/>
          <w:lang w:val="es-419" w:eastAsia="es-ES"/>
        </w:rPr>
        <w:t>pues son los jueces de la república, que han tomado las decisiones (…) que concluyen que no se cumplen los requisitos legales, respecto de la solicitud elevada por la defensa de los procesados</w:t>
      </w:r>
      <w:r w:rsidRPr="00C80AB8">
        <w:rPr>
          <w:rFonts w:ascii="Gadugi" w:eastAsia="Times New Roman" w:hAnsi="Gadugi" w:cs="Arial"/>
          <w:i/>
          <w:sz w:val="24"/>
          <w:szCs w:val="24"/>
          <w:lang w:val="es-419" w:eastAsia="es-ES"/>
        </w:rPr>
        <w:t>”.</w:t>
      </w:r>
      <w:r w:rsidR="006150A7" w:rsidRPr="00C80AB8">
        <w:rPr>
          <w:rStyle w:val="Refdenotaalpie"/>
          <w:rFonts w:ascii="Gadugi" w:eastAsia="Times New Roman" w:hAnsi="Gadugi"/>
          <w:i/>
          <w:sz w:val="24"/>
          <w:szCs w:val="24"/>
          <w:lang w:val="es-419" w:eastAsia="es-ES"/>
        </w:rPr>
        <w:footnoteReference w:id="8"/>
      </w:r>
    </w:p>
    <w:p w14:paraId="71282BFE" w14:textId="2D2CA549" w:rsidR="0056639A" w:rsidRPr="00C80AB8" w:rsidRDefault="0056639A" w:rsidP="00C80AB8">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24CDBEA8" w14:textId="36DC7099" w:rsidR="0056639A" w:rsidRPr="00C80AB8" w:rsidRDefault="00312CDD" w:rsidP="00C80AB8">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C80AB8">
        <w:rPr>
          <w:rFonts w:ascii="Gadugi" w:eastAsia="Times New Roman" w:hAnsi="Gadugi" w:cs="Arial"/>
          <w:sz w:val="24"/>
          <w:szCs w:val="24"/>
          <w:lang w:val="es-419" w:eastAsia="es-ES"/>
        </w:rPr>
        <w:t xml:space="preserve">1.9. También hay un concepto del Procurador 290 Judicial I Penal Pereira, en el sentido de que </w:t>
      </w:r>
      <w:r w:rsidRPr="00C80AB8">
        <w:rPr>
          <w:rFonts w:ascii="Gadugi" w:eastAsia="Times New Roman" w:hAnsi="Gadugi" w:cs="Arial"/>
          <w:i/>
          <w:sz w:val="24"/>
          <w:szCs w:val="24"/>
          <w:lang w:val="es-419" w:eastAsia="es-ES"/>
        </w:rPr>
        <w:t>“</w:t>
      </w:r>
      <w:r w:rsidRPr="00D62727">
        <w:rPr>
          <w:rFonts w:ascii="Gadugi" w:eastAsia="Times New Roman" w:hAnsi="Gadugi" w:cs="Arial"/>
          <w:i/>
          <w:szCs w:val="24"/>
          <w:lang w:val="es-419" w:eastAsia="es-ES"/>
        </w:rPr>
        <w:t>(…) es el proceso penal propiamente dicho, a través de las respectivas solicitudes y los recursos ordinarios, el escenario en donde se definen situaciones como las planteadas por el agente procesal oficioso, como lo ha venido haciendo, sólo que sus fallidas intenciones no pueden ser suplidas por este mecanismo o alguno similar. Por lo tanto, mi concepto es de INVIBILIDAD o IMPROCEDENCIA</w:t>
      </w:r>
      <w:r w:rsidRPr="00C80AB8">
        <w:rPr>
          <w:rFonts w:ascii="Gadugi" w:eastAsia="Times New Roman" w:hAnsi="Gadugi" w:cs="Arial"/>
          <w:i/>
          <w:sz w:val="24"/>
          <w:szCs w:val="24"/>
          <w:lang w:val="es-419" w:eastAsia="es-ES"/>
        </w:rPr>
        <w:t>.”</w:t>
      </w:r>
      <w:r w:rsidR="00D62727">
        <w:rPr>
          <w:rFonts w:ascii="Gadugi" w:eastAsia="Times New Roman" w:hAnsi="Gadugi" w:cs="Arial"/>
          <w:i/>
          <w:sz w:val="24"/>
          <w:szCs w:val="24"/>
          <w:lang w:val="es-419" w:eastAsia="es-ES"/>
        </w:rPr>
        <w:t xml:space="preserve"> </w:t>
      </w:r>
      <w:r w:rsidR="006150A7" w:rsidRPr="00C80AB8">
        <w:rPr>
          <w:rStyle w:val="Refdenotaalpie"/>
          <w:rFonts w:ascii="Gadugi" w:eastAsia="Times New Roman" w:hAnsi="Gadugi"/>
          <w:i/>
          <w:sz w:val="24"/>
          <w:szCs w:val="24"/>
          <w:lang w:val="es-419" w:eastAsia="es-ES"/>
        </w:rPr>
        <w:footnoteReference w:id="9"/>
      </w:r>
    </w:p>
    <w:p w14:paraId="28352B3C" w14:textId="77777777" w:rsidR="00965D52" w:rsidRPr="00C80AB8" w:rsidRDefault="00965D52" w:rsidP="00C80AB8">
      <w:pPr>
        <w:overflowPunct w:val="0"/>
        <w:autoSpaceDE w:val="0"/>
        <w:autoSpaceDN w:val="0"/>
        <w:adjustRightInd w:val="0"/>
        <w:spacing w:after="0" w:line="276" w:lineRule="auto"/>
        <w:jc w:val="both"/>
        <w:textAlignment w:val="baseline"/>
        <w:rPr>
          <w:rFonts w:ascii="Gadugi" w:eastAsia="Times New Roman" w:hAnsi="Gadugi" w:cs="Arial"/>
          <w:b/>
          <w:sz w:val="24"/>
          <w:szCs w:val="24"/>
          <w:lang w:val="es-ES" w:eastAsia="es-ES"/>
        </w:rPr>
      </w:pPr>
    </w:p>
    <w:p w14:paraId="04D9C565" w14:textId="65953593" w:rsidR="00756044" w:rsidRPr="00C80AB8" w:rsidRDefault="007F5F4C" w:rsidP="00C80AB8">
      <w:pPr>
        <w:overflowPunct w:val="0"/>
        <w:autoSpaceDE w:val="0"/>
        <w:autoSpaceDN w:val="0"/>
        <w:adjustRightInd w:val="0"/>
        <w:spacing w:after="0" w:line="276" w:lineRule="auto"/>
        <w:jc w:val="both"/>
        <w:textAlignment w:val="baseline"/>
        <w:rPr>
          <w:rFonts w:ascii="Gadugi" w:eastAsia="Times New Roman" w:hAnsi="Gadugi" w:cs="Arial"/>
          <w:b/>
          <w:sz w:val="24"/>
          <w:szCs w:val="24"/>
          <w:lang w:val="es-ES" w:eastAsia="es-ES"/>
        </w:rPr>
      </w:pPr>
      <w:r w:rsidRPr="00C80AB8">
        <w:rPr>
          <w:rFonts w:ascii="Gadugi" w:eastAsia="Times New Roman" w:hAnsi="Gadugi" w:cs="Arial"/>
          <w:b/>
          <w:sz w:val="24"/>
          <w:szCs w:val="24"/>
          <w:lang w:val="es-ES" w:eastAsia="es-ES"/>
        </w:rPr>
        <w:lastRenderedPageBreak/>
        <w:t xml:space="preserve">2. </w:t>
      </w:r>
      <w:r w:rsidR="00756044" w:rsidRPr="00C80AB8">
        <w:rPr>
          <w:rFonts w:ascii="Gadugi" w:eastAsia="Times New Roman" w:hAnsi="Gadugi" w:cs="Arial"/>
          <w:b/>
          <w:sz w:val="24"/>
          <w:szCs w:val="24"/>
          <w:lang w:val="es-ES" w:eastAsia="es-ES"/>
        </w:rPr>
        <w:t>CONSIDERACIONES</w:t>
      </w:r>
    </w:p>
    <w:p w14:paraId="28BF3302" w14:textId="51A75D74" w:rsidR="00756044" w:rsidRPr="00C80AB8" w:rsidRDefault="00756044" w:rsidP="00C80AB8">
      <w:pPr>
        <w:autoSpaceDE w:val="0"/>
        <w:autoSpaceDN w:val="0"/>
        <w:adjustRightInd w:val="0"/>
        <w:spacing w:after="0" w:line="276" w:lineRule="auto"/>
        <w:jc w:val="both"/>
        <w:rPr>
          <w:rFonts w:ascii="Gadugi" w:eastAsia="Times New Roman" w:hAnsi="Gadugi" w:cs="Arial"/>
          <w:sz w:val="24"/>
          <w:szCs w:val="24"/>
          <w:lang w:val="es-ES" w:eastAsia="es-ES"/>
        </w:rPr>
      </w:pPr>
    </w:p>
    <w:p w14:paraId="4BC4D9C0" w14:textId="4DBFC7C8" w:rsidR="00E53385" w:rsidRPr="00C80AB8" w:rsidRDefault="00E53385" w:rsidP="00C80AB8">
      <w:pPr>
        <w:autoSpaceDE w:val="0"/>
        <w:autoSpaceDN w:val="0"/>
        <w:adjustRightInd w:val="0"/>
        <w:spacing w:after="0" w:line="276" w:lineRule="auto"/>
        <w:jc w:val="both"/>
        <w:rPr>
          <w:rFonts w:ascii="Gadugi" w:eastAsia="Times New Roman" w:hAnsi="Gadugi" w:cs="Arial"/>
          <w:sz w:val="24"/>
          <w:szCs w:val="24"/>
          <w:lang w:val="es-ES" w:eastAsia="es-ES"/>
        </w:rPr>
      </w:pPr>
      <w:r w:rsidRPr="00C80AB8">
        <w:rPr>
          <w:rFonts w:ascii="Gadugi" w:eastAsia="Times New Roman" w:hAnsi="Gadugi" w:cs="Arial"/>
          <w:sz w:val="24"/>
          <w:szCs w:val="24"/>
          <w:lang w:val="es-ES" w:eastAsia="es-ES"/>
        </w:rPr>
        <w:t xml:space="preserve">2.1. Siguiendo la previsión del numeral 2° del artículo 3º de la Ley 1095 de 2006, es evidente que </w:t>
      </w:r>
      <w:r w:rsidR="006150A7" w:rsidRPr="00C80AB8">
        <w:rPr>
          <w:rFonts w:ascii="Gadugi" w:eastAsia="Times New Roman" w:hAnsi="Gadugi" w:cs="Arial"/>
          <w:sz w:val="24"/>
          <w:szCs w:val="24"/>
          <w:lang w:val="es-ES" w:eastAsia="es-ES"/>
        </w:rPr>
        <w:t>el abogado Andrés Alberto Chaves Méndez,</w:t>
      </w:r>
      <w:r w:rsidRPr="00C80AB8">
        <w:rPr>
          <w:rFonts w:ascii="Gadugi" w:eastAsia="Times New Roman" w:hAnsi="Gadugi" w:cs="Arial"/>
          <w:sz w:val="24"/>
          <w:szCs w:val="24"/>
          <w:lang w:val="es-ES" w:eastAsia="es-ES"/>
        </w:rPr>
        <w:t xml:space="preserve"> está legitimad</w:t>
      </w:r>
      <w:r w:rsidR="006150A7" w:rsidRPr="00C80AB8">
        <w:rPr>
          <w:rFonts w:ascii="Gadugi" w:eastAsia="Times New Roman" w:hAnsi="Gadugi" w:cs="Arial"/>
          <w:sz w:val="24"/>
          <w:szCs w:val="24"/>
          <w:lang w:val="es-ES" w:eastAsia="es-ES"/>
        </w:rPr>
        <w:t>o</w:t>
      </w:r>
      <w:r w:rsidRPr="00C80AB8">
        <w:rPr>
          <w:rFonts w:ascii="Gadugi" w:eastAsia="Times New Roman" w:hAnsi="Gadugi" w:cs="Arial"/>
          <w:sz w:val="24"/>
          <w:szCs w:val="24"/>
          <w:lang w:val="es-ES" w:eastAsia="es-ES"/>
        </w:rPr>
        <w:t xml:space="preserve"> para invocar la presente acción en representación </w:t>
      </w:r>
      <w:r w:rsidR="006150A7" w:rsidRPr="00C80AB8">
        <w:rPr>
          <w:rFonts w:ascii="Gadugi" w:eastAsia="Times New Roman" w:hAnsi="Gadugi" w:cs="Arial"/>
          <w:sz w:val="24"/>
          <w:szCs w:val="24"/>
          <w:lang w:val="es-ES" w:eastAsia="es-ES"/>
        </w:rPr>
        <w:t xml:space="preserve">de los accionantes. </w:t>
      </w:r>
    </w:p>
    <w:p w14:paraId="2D221619" w14:textId="77777777" w:rsidR="00FC50B7" w:rsidRDefault="00FC50B7" w:rsidP="00C80AB8">
      <w:pPr>
        <w:autoSpaceDE w:val="0"/>
        <w:autoSpaceDN w:val="0"/>
        <w:adjustRightInd w:val="0"/>
        <w:spacing w:after="0" w:line="276" w:lineRule="auto"/>
        <w:jc w:val="both"/>
        <w:rPr>
          <w:rFonts w:ascii="Gadugi" w:eastAsia="Times New Roman" w:hAnsi="Gadugi" w:cs="Arial"/>
          <w:sz w:val="24"/>
          <w:szCs w:val="24"/>
          <w:lang w:val="es-ES" w:eastAsia="es-ES"/>
        </w:rPr>
      </w:pPr>
    </w:p>
    <w:p w14:paraId="5F85B7B1" w14:textId="41B3E341" w:rsidR="00E53385" w:rsidRPr="00C80AB8" w:rsidRDefault="00E53385" w:rsidP="00C80AB8">
      <w:pPr>
        <w:autoSpaceDE w:val="0"/>
        <w:autoSpaceDN w:val="0"/>
        <w:adjustRightInd w:val="0"/>
        <w:spacing w:after="0" w:line="276" w:lineRule="auto"/>
        <w:jc w:val="both"/>
        <w:rPr>
          <w:rFonts w:ascii="Gadugi" w:eastAsia="Times New Roman" w:hAnsi="Gadugi" w:cs="Arial"/>
          <w:sz w:val="24"/>
          <w:szCs w:val="24"/>
          <w:lang w:val="es-ES" w:eastAsia="es-ES"/>
        </w:rPr>
      </w:pPr>
      <w:r w:rsidRPr="00C80AB8">
        <w:rPr>
          <w:rFonts w:ascii="Gadugi" w:eastAsia="Times New Roman" w:hAnsi="Gadugi" w:cs="Arial"/>
          <w:sz w:val="24"/>
          <w:szCs w:val="24"/>
          <w:lang w:val="es-ES" w:eastAsia="es-ES"/>
        </w:rPr>
        <w:t xml:space="preserve">En los términos del artículo 7° de la Ley 1095 de 2006, esta Sala es competente para resolver la impugnación de la decisión proferida por el Juzgado Cuarto </w:t>
      </w:r>
      <w:r w:rsidR="006150A7" w:rsidRPr="00C80AB8">
        <w:rPr>
          <w:rFonts w:ascii="Gadugi" w:eastAsia="Times New Roman" w:hAnsi="Gadugi" w:cs="Arial"/>
          <w:sz w:val="24"/>
          <w:szCs w:val="24"/>
          <w:lang w:val="es-ES" w:eastAsia="es-ES"/>
        </w:rPr>
        <w:t>Primero de Familia de Pereira</w:t>
      </w:r>
      <w:r w:rsidRPr="00C80AB8">
        <w:rPr>
          <w:rFonts w:ascii="Gadugi" w:eastAsia="Times New Roman" w:hAnsi="Gadugi" w:cs="Arial"/>
          <w:sz w:val="24"/>
          <w:szCs w:val="24"/>
          <w:lang w:val="es-ES" w:eastAsia="es-ES"/>
        </w:rPr>
        <w:t>.</w:t>
      </w:r>
    </w:p>
    <w:p w14:paraId="27E4D96B" w14:textId="77777777" w:rsidR="00E53385" w:rsidRPr="00C80AB8" w:rsidRDefault="00E53385" w:rsidP="00C80AB8">
      <w:pPr>
        <w:autoSpaceDE w:val="0"/>
        <w:autoSpaceDN w:val="0"/>
        <w:adjustRightInd w:val="0"/>
        <w:spacing w:after="0" w:line="276" w:lineRule="auto"/>
        <w:jc w:val="both"/>
        <w:rPr>
          <w:rFonts w:ascii="Gadugi" w:eastAsia="Times New Roman" w:hAnsi="Gadugi" w:cs="Arial"/>
          <w:sz w:val="24"/>
          <w:szCs w:val="24"/>
          <w:lang w:val="es-ES" w:eastAsia="es-ES"/>
        </w:rPr>
      </w:pPr>
    </w:p>
    <w:p w14:paraId="1175A8BA" w14:textId="7E151FD9" w:rsidR="00E53385" w:rsidRPr="00C80AB8" w:rsidRDefault="006150A7" w:rsidP="00C80AB8">
      <w:pPr>
        <w:autoSpaceDE w:val="0"/>
        <w:autoSpaceDN w:val="0"/>
        <w:adjustRightInd w:val="0"/>
        <w:spacing w:after="0" w:line="276" w:lineRule="auto"/>
        <w:jc w:val="both"/>
        <w:rPr>
          <w:rFonts w:ascii="Gadugi" w:eastAsia="Times New Roman" w:hAnsi="Gadugi" w:cs="Arial"/>
          <w:sz w:val="24"/>
          <w:szCs w:val="24"/>
          <w:lang w:val="es-ES" w:eastAsia="es-ES"/>
        </w:rPr>
      </w:pPr>
      <w:r w:rsidRPr="00C80AB8">
        <w:rPr>
          <w:rFonts w:ascii="Gadugi" w:eastAsia="Times New Roman" w:hAnsi="Gadugi" w:cs="Arial"/>
          <w:sz w:val="24"/>
          <w:szCs w:val="24"/>
          <w:lang w:val="es-ES" w:eastAsia="es-ES"/>
        </w:rPr>
        <w:t>2.2</w:t>
      </w:r>
      <w:bookmarkStart w:id="1" w:name="_Hlk139454282"/>
      <w:r w:rsidRPr="00C80AB8">
        <w:rPr>
          <w:rFonts w:ascii="Gadugi" w:eastAsia="Times New Roman" w:hAnsi="Gadugi" w:cs="Arial"/>
          <w:sz w:val="24"/>
          <w:szCs w:val="24"/>
          <w:lang w:val="es-ES" w:eastAsia="es-ES"/>
        </w:rPr>
        <w:t xml:space="preserve">. </w:t>
      </w:r>
      <w:r w:rsidR="00E53385" w:rsidRPr="00C80AB8">
        <w:rPr>
          <w:rFonts w:ascii="Gadugi" w:eastAsia="Times New Roman" w:hAnsi="Gadugi" w:cs="Arial"/>
          <w:sz w:val="24"/>
          <w:szCs w:val="24"/>
          <w:lang w:val="es-ES" w:eastAsia="es-ES"/>
        </w:rPr>
        <w:t xml:space="preserve">Establece </w:t>
      </w:r>
      <w:r w:rsidR="002066EB" w:rsidRPr="00C80AB8">
        <w:rPr>
          <w:rFonts w:ascii="Gadugi" w:eastAsia="Times New Roman" w:hAnsi="Gadugi" w:cs="Arial"/>
          <w:sz w:val="24"/>
          <w:szCs w:val="24"/>
          <w:lang w:val="es-ES" w:eastAsia="es-ES"/>
        </w:rPr>
        <w:t xml:space="preserve">el artículo </w:t>
      </w:r>
      <w:r w:rsidR="00E53385" w:rsidRPr="00C80AB8">
        <w:rPr>
          <w:rFonts w:ascii="Gadugi" w:eastAsia="Times New Roman" w:hAnsi="Gadugi" w:cs="Arial"/>
          <w:sz w:val="24"/>
          <w:szCs w:val="24"/>
          <w:lang w:val="es-ES" w:eastAsia="es-ES"/>
        </w:rPr>
        <w:t xml:space="preserve">30 de la Constitución </w:t>
      </w:r>
      <w:r w:rsidR="002066EB" w:rsidRPr="00C80AB8">
        <w:rPr>
          <w:rFonts w:ascii="Gadugi" w:eastAsia="Times New Roman" w:hAnsi="Gadugi" w:cs="Arial"/>
          <w:sz w:val="24"/>
          <w:szCs w:val="24"/>
          <w:lang w:val="es-ES" w:eastAsia="es-ES"/>
        </w:rPr>
        <w:t xml:space="preserve">Política </w:t>
      </w:r>
      <w:r w:rsidR="00E53385" w:rsidRPr="00C80AB8">
        <w:rPr>
          <w:rFonts w:ascii="Gadugi" w:eastAsia="Times New Roman" w:hAnsi="Gadugi" w:cs="Arial"/>
          <w:sz w:val="24"/>
          <w:szCs w:val="24"/>
          <w:lang w:val="es-ES" w:eastAsia="es-ES"/>
        </w:rPr>
        <w:t>como derecho fundamental el hábeas corpus que puede invocar quien se halle privado de la libertad y crea estarlo ilegalmente, acción que se le permite ejercitar por sí mismo o por interpuesta persona.</w:t>
      </w:r>
      <w:bookmarkEnd w:id="1"/>
    </w:p>
    <w:p w14:paraId="69D6ACA7" w14:textId="18C253B5" w:rsidR="00E53385" w:rsidRPr="00C80AB8" w:rsidRDefault="00E53385" w:rsidP="00C80AB8">
      <w:pPr>
        <w:autoSpaceDE w:val="0"/>
        <w:autoSpaceDN w:val="0"/>
        <w:adjustRightInd w:val="0"/>
        <w:spacing w:after="0" w:line="276" w:lineRule="auto"/>
        <w:jc w:val="both"/>
        <w:rPr>
          <w:rFonts w:ascii="Gadugi" w:eastAsia="Times New Roman" w:hAnsi="Gadugi" w:cs="Arial"/>
          <w:sz w:val="24"/>
          <w:szCs w:val="24"/>
          <w:lang w:val="es-ES" w:eastAsia="es-ES"/>
        </w:rPr>
      </w:pPr>
    </w:p>
    <w:p w14:paraId="6BAA6EA3" w14:textId="77777777" w:rsidR="00E53385" w:rsidRPr="00C80AB8" w:rsidRDefault="00E53385" w:rsidP="00C80AB8">
      <w:pPr>
        <w:autoSpaceDE w:val="0"/>
        <w:autoSpaceDN w:val="0"/>
        <w:adjustRightInd w:val="0"/>
        <w:spacing w:after="0" w:line="276" w:lineRule="auto"/>
        <w:jc w:val="both"/>
        <w:rPr>
          <w:rFonts w:ascii="Gadugi" w:eastAsia="Times New Roman" w:hAnsi="Gadugi" w:cs="Arial"/>
          <w:sz w:val="24"/>
          <w:szCs w:val="24"/>
          <w:lang w:val="es-ES" w:eastAsia="es-ES"/>
        </w:rPr>
      </w:pPr>
      <w:r w:rsidRPr="00C80AB8">
        <w:rPr>
          <w:rFonts w:ascii="Gadugi" w:eastAsia="Times New Roman" w:hAnsi="Gadugi" w:cs="Arial"/>
          <w:sz w:val="24"/>
          <w:szCs w:val="24"/>
          <w:lang w:val="es-ES" w:eastAsia="es-ES"/>
        </w:rPr>
        <w:t>En desarrollo de esta norma superior, y acogiendo instrumentos internacionales como la Declaración Universal de los Derechos Humanos, el Pacto Internacional sobre Derechos Civiles y Políticos, la Convención Americana sobre Derechos Humanos, la Declaración Americana de Derechos y Deberes del Hombre y la Convención Americana de Derechos Humanos, que integran el bloque de constitucionalidad (art. 93 C.P.), la Ley 1095 citada definió el hábeas corpus, precisamente, como un derecho fundamental y, a la vez, como una acción constitucional que tutela la libertad personal (i) cuando alguien es privado de ella con violación de las garantías constitucionales o legales o (ii) cuando la privación de la libertad se prolonga ilegalmente.</w:t>
      </w:r>
    </w:p>
    <w:p w14:paraId="0463599B" w14:textId="06A7DF24" w:rsidR="00E53385" w:rsidRPr="00C80AB8" w:rsidRDefault="00E53385" w:rsidP="00C80AB8">
      <w:pPr>
        <w:autoSpaceDE w:val="0"/>
        <w:autoSpaceDN w:val="0"/>
        <w:adjustRightInd w:val="0"/>
        <w:spacing w:after="0" w:line="276" w:lineRule="auto"/>
        <w:jc w:val="both"/>
        <w:rPr>
          <w:rFonts w:ascii="Gadugi" w:eastAsia="Times New Roman" w:hAnsi="Gadugi" w:cs="Arial"/>
          <w:sz w:val="24"/>
          <w:szCs w:val="24"/>
          <w:lang w:val="es-ES" w:eastAsia="es-ES"/>
        </w:rPr>
      </w:pPr>
    </w:p>
    <w:p w14:paraId="6FDAE7DA" w14:textId="7755C586" w:rsidR="00E53385" w:rsidRPr="00C80AB8" w:rsidRDefault="00E53385" w:rsidP="00C80AB8">
      <w:pPr>
        <w:autoSpaceDE w:val="0"/>
        <w:autoSpaceDN w:val="0"/>
        <w:adjustRightInd w:val="0"/>
        <w:spacing w:after="0" w:line="276" w:lineRule="auto"/>
        <w:jc w:val="both"/>
        <w:rPr>
          <w:rFonts w:ascii="Gadugi" w:eastAsia="Times New Roman" w:hAnsi="Gadugi" w:cs="Arial"/>
          <w:sz w:val="24"/>
          <w:szCs w:val="24"/>
          <w:lang w:val="es-ES" w:eastAsia="es-ES"/>
        </w:rPr>
      </w:pPr>
      <w:r w:rsidRPr="00C80AB8">
        <w:rPr>
          <w:rFonts w:ascii="Gadugi" w:eastAsia="Times New Roman" w:hAnsi="Gadugi" w:cs="Arial"/>
          <w:sz w:val="24"/>
          <w:szCs w:val="24"/>
          <w:lang w:val="es-ES" w:eastAsia="es-ES"/>
        </w:rPr>
        <w:t>Del contenido expreso de la solicitud, se infiere que el actor subsume la cuestión en la segunda causal, en el entendido de que su proceso ha estado suspendido por largo tiempo debido a la inoperancia de empleados y funcionarios judiciales que han tenido bajo su cargo el asunto, lo cual ha derivado en el vencimiento los términos contemplados en la Ley 906 del 2004, y, en consecuencia, en una inminente orden de libertad.</w:t>
      </w:r>
    </w:p>
    <w:p w14:paraId="56EDBA47" w14:textId="79101087" w:rsidR="00E53385" w:rsidRPr="00C80AB8" w:rsidRDefault="00E53385" w:rsidP="00C80AB8">
      <w:pPr>
        <w:autoSpaceDE w:val="0"/>
        <w:autoSpaceDN w:val="0"/>
        <w:adjustRightInd w:val="0"/>
        <w:spacing w:after="0" w:line="276" w:lineRule="auto"/>
        <w:jc w:val="both"/>
        <w:rPr>
          <w:rFonts w:ascii="Gadugi" w:eastAsia="Times New Roman" w:hAnsi="Gadugi" w:cs="Arial"/>
          <w:sz w:val="24"/>
          <w:szCs w:val="24"/>
          <w:lang w:val="es-ES" w:eastAsia="es-ES"/>
        </w:rPr>
      </w:pPr>
    </w:p>
    <w:p w14:paraId="785709F8" w14:textId="386497CB" w:rsidR="00E53385" w:rsidRPr="00C80AB8" w:rsidRDefault="00290301" w:rsidP="00C80AB8">
      <w:pPr>
        <w:autoSpaceDE w:val="0"/>
        <w:autoSpaceDN w:val="0"/>
        <w:adjustRightInd w:val="0"/>
        <w:spacing w:after="0" w:line="276" w:lineRule="auto"/>
        <w:jc w:val="both"/>
        <w:rPr>
          <w:rFonts w:ascii="Gadugi" w:eastAsia="Times New Roman" w:hAnsi="Gadugi" w:cs="Arial"/>
          <w:sz w:val="24"/>
          <w:szCs w:val="24"/>
          <w:lang w:val="es-ES" w:eastAsia="es-ES"/>
        </w:rPr>
      </w:pPr>
      <w:r w:rsidRPr="00C80AB8">
        <w:rPr>
          <w:rFonts w:ascii="Gadugi" w:eastAsia="Times New Roman" w:hAnsi="Gadugi" w:cs="Arial"/>
          <w:sz w:val="24"/>
          <w:szCs w:val="24"/>
          <w:lang w:val="es-ES" w:eastAsia="es-ES"/>
        </w:rPr>
        <w:t>2.</w:t>
      </w:r>
      <w:r w:rsidR="006150A7" w:rsidRPr="00C80AB8">
        <w:rPr>
          <w:rFonts w:ascii="Gadugi" w:eastAsia="Times New Roman" w:hAnsi="Gadugi" w:cs="Arial"/>
          <w:sz w:val="24"/>
          <w:szCs w:val="24"/>
          <w:lang w:val="es-ES" w:eastAsia="es-ES"/>
        </w:rPr>
        <w:t>3</w:t>
      </w:r>
      <w:r w:rsidRPr="00C80AB8">
        <w:rPr>
          <w:rFonts w:ascii="Gadugi" w:eastAsia="Times New Roman" w:hAnsi="Gadugi" w:cs="Arial"/>
          <w:sz w:val="24"/>
          <w:szCs w:val="24"/>
          <w:lang w:val="es-ES" w:eastAsia="es-ES"/>
        </w:rPr>
        <w:t>. Sobre la procedencia de la acción de habeas corpus es preciso recordar que</w:t>
      </w:r>
      <w:r w:rsidR="00A03A1F" w:rsidRPr="00C80AB8">
        <w:rPr>
          <w:rStyle w:val="Refdenotaalpie"/>
          <w:rFonts w:ascii="Gadugi" w:eastAsia="Times New Roman" w:hAnsi="Gadugi"/>
          <w:sz w:val="24"/>
          <w:szCs w:val="24"/>
          <w:lang w:val="es-ES" w:eastAsia="es-ES"/>
        </w:rPr>
        <w:footnoteReference w:id="10"/>
      </w:r>
      <w:r w:rsidRPr="00C80AB8">
        <w:rPr>
          <w:rFonts w:ascii="Gadugi" w:eastAsia="Times New Roman" w:hAnsi="Gadugi" w:cs="Arial"/>
          <w:sz w:val="24"/>
          <w:szCs w:val="24"/>
          <w:lang w:val="es-ES" w:eastAsia="es-ES"/>
        </w:rPr>
        <w:t xml:space="preserve">: </w:t>
      </w:r>
    </w:p>
    <w:p w14:paraId="61D39C03" w14:textId="0E150C0A" w:rsidR="00E53385" w:rsidRPr="00C80AB8" w:rsidRDefault="00E53385" w:rsidP="00C80AB8">
      <w:pPr>
        <w:autoSpaceDE w:val="0"/>
        <w:autoSpaceDN w:val="0"/>
        <w:adjustRightInd w:val="0"/>
        <w:spacing w:after="0" w:line="276" w:lineRule="auto"/>
        <w:jc w:val="both"/>
        <w:rPr>
          <w:rFonts w:ascii="Gadugi" w:eastAsia="Times New Roman" w:hAnsi="Gadugi" w:cs="Arial"/>
          <w:sz w:val="24"/>
          <w:szCs w:val="24"/>
          <w:lang w:val="es-ES" w:eastAsia="es-ES"/>
        </w:rPr>
      </w:pPr>
    </w:p>
    <w:p w14:paraId="5EDF39F0" w14:textId="7F37DBD1" w:rsidR="00290301" w:rsidRPr="003A0E31" w:rsidRDefault="00290301" w:rsidP="003A0E31">
      <w:pPr>
        <w:spacing w:after="0" w:line="240" w:lineRule="auto"/>
        <w:ind w:left="426" w:right="420"/>
        <w:jc w:val="both"/>
        <w:rPr>
          <w:rFonts w:ascii="Gadugi" w:hAnsi="Gadugi" w:cs="Arial"/>
          <w:szCs w:val="24"/>
        </w:rPr>
      </w:pPr>
      <w:r w:rsidRPr="003A0E31">
        <w:rPr>
          <w:rFonts w:ascii="Gadugi" w:hAnsi="Gadugi" w:cs="Arial"/>
          <w:szCs w:val="24"/>
        </w:rPr>
        <w:t>“(…) reconoce la jurisprudencia que</w:t>
      </w:r>
      <w:r w:rsidR="00A03A1F" w:rsidRPr="003A0E31">
        <w:rPr>
          <w:rFonts w:ascii="Gadugi" w:hAnsi="Gadugi" w:cs="Arial"/>
          <w:szCs w:val="24"/>
        </w:rPr>
        <w:t>,</w:t>
      </w:r>
      <w:r w:rsidRPr="003A0E31">
        <w:rPr>
          <w:rFonts w:ascii="Gadugi" w:hAnsi="Gadugi" w:cs="Arial"/>
          <w:szCs w:val="24"/>
        </w:rPr>
        <w:t xml:space="preserve"> dada la naturaleza constitucional de esta acción, es apenas razonable que se le apliquen los principios predicables de la acción de tutela, y es por ello que la subsidiariedad o la residualidad son inherentes a esta extraordinaria herramienta de amparo a la libertad personal. Así lo ha doctrinado la </w:t>
      </w:r>
      <w:r w:rsidRPr="003A0E31">
        <w:rPr>
          <w:rFonts w:ascii="Gadugi" w:hAnsi="Gadugi" w:cs="Arial"/>
          <w:szCs w:val="24"/>
        </w:rPr>
        <w:lastRenderedPageBreak/>
        <w:t>CSJ</w:t>
      </w:r>
      <w:r w:rsidRPr="003A0E31">
        <w:rPr>
          <w:rStyle w:val="Refdenotaalpie"/>
          <w:rFonts w:ascii="Gadugi" w:hAnsi="Gadugi"/>
          <w:szCs w:val="24"/>
        </w:rPr>
        <w:footnoteReference w:id="11"/>
      </w:r>
      <w:r w:rsidRPr="003A0E31">
        <w:rPr>
          <w:rFonts w:ascii="Gadugi" w:hAnsi="Gadugi" w:cs="Arial"/>
          <w:szCs w:val="24"/>
          <w:vertAlign w:val="superscript"/>
        </w:rPr>
        <w:t>-</w:t>
      </w:r>
      <w:r w:rsidRPr="003A0E31">
        <w:rPr>
          <w:rStyle w:val="Refdenotaalpie"/>
          <w:rFonts w:ascii="Gadugi" w:hAnsi="Gadugi" w:cs="Arial"/>
          <w:szCs w:val="24"/>
          <w:lang w:eastAsia="es-ES"/>
        </w:rPr>
        <w:footnoteReference w:id="12"/>
      </w:r>
      <w:r w:rsidRPr="003A0E31">
        <w:rPr>
          <w:rFonts w:ascii="Gadugi" w:hAnsi="Gadugi" w:cs="Arial"/>
          <w:szCs w:val="24"/>
          <w:vertAlign w:val="superscript"/>
        </w:rPr>
        <w:t>-</w:t>
      </w:r>
      <w:r w:rsidRPr="003A0E31">
        <w:rPr>
          <w:rStyle w:val="Refdenotaalpie"/>
          <w:rFonts w:ascii="Gadugi" w:hAnsi="Gadugi"/>
          <w:szCs w:val="24"/>
        </w:rPr>
        <w:footnoteReference w:id="13"/>
      </w:r>
      <w:r w:rsidRPr="003A0E31">
        <w:rPr>
          <w:rFonts w:ascii="Gadugi" w:hAnsi="Gadugi" w:cs="Arial"/>
          <w:szCs w:val="24"/>
          <w:vertAlign w:val="superscript"/>
        </w:rPr>
        <w:t>-</w:t>
      </w:r>
      <w:r w:rsidRPr="003A0E31">
        <w:rPr>
          <w:rStyle w:val="Refdenotaalpie"/>
          <w:rFonts w:ascii="Gadugi" w:hAnsi="Gadugi"/>
          <w:szCs w:val="24"/>
        </w:rPr>
        <w:footnoteReference w:id="14"/>
      </w:r>
      <w:r w:rsidRPr="003A0E31">
        <w:rPr>
          <w:rFonts w:ascii="Gadugi" w:hAnsi="Gadugi" w:cs="Arial"/>
          <w:szCs w:val="24"/>
          <w:vertAlign w:val="superscript"/>
        </w:rPr>
        <w:t xml:space="preserve"> </w:t>
      </w:r>
      <w:r w:rsidRPr="003A0E31">
        <w:rPr>
          <w:rFonts w:ascii="Gadugi" w:hAnsi="Gadugi" w:cs="Arial"/>
          <w:szCs w:val="24"/>
        </w:rPr>
        <w:t>en su jurisprudencia. Este parecer también ha tenido reconocimiento en el pensamiento de la CC</w:t>
      </w:r>
      <w:r w:rsidRPr="003A0E31">
        <w:rPr>
          <w:rStyle w:val="Refdenotaalpie"/>
          <w:rFonts w:ascii="Gadugi" w:hAnsi="Gadugi"/>
          <w:szCs w:val="24"/>
        </w:rPr>
        <w:footnoteReference w:id="15"/>
      </w:r>
      <w:r w:rsidRPr="003A0E31">
        <w:rPr>
          <w:rFonts w:ascii="Gadugi" w:hAnsi="Gadugi" w:cs="Arial"/>
          <w:szCs w:val="24"/>
        </w:rPr>
        <w:t xml:space="preserve">.  </w:t>
      </w:r>
    </w:p>
    <w:p w14:paraId="45ED6EC0" w14:textId="77777777" w:rsidR="003A0E31" w:rsidRDefault="003A0E31" w:rsidP="003A0E31">
      <w:pPr>
        <w:spacing w:after="0" w:line="240" w:lineRule="auto"/>
        <w:ind w:left="426" w:right="420"/>
        <w:jc w:val="both"/>
        <w:rPr>
          <w:rFonts w:ascii="Gadugi" w:hAnsi="Gadugi" w:cs="Arial"/>
          <w:szCs w:val="24"/>
        </w:rPr>
      </w:pPr>
    </w:p>
    <w:p w14:paraId="34BE96ED" w14:textId="3D38C514" w:rsidR="00290301" w:rsidRPr="003A0E31" w:rsidRDefault="00290301" w:rsidP="003A0E31">
      <w:pPr>
        <w:spacing w:after="0" w:line="240" w:lineRule="auto"/>
        <w:ind w:left="426" w:right="420"/>
        <w:jc w:val="both"/>
        <w:rPr>
          <w:rFonts w:ascii="Gadugi" w:hAnsi="Gadugi" w:cs="Arial"/>
          <w:szCs w:val="24"/>
        </w:rPr>
      </w:pPr>
      <w:r w:rsidRPr="003A0E31">
        <w:rPr>
          <w:rFonts w:ascii="Gadugi" w:hAnsi="Gadugi" w:cs="Arial"/>
          <w:szCs w:val="24"/>
        </w:rPr>
        <w:t>Y resulta apenas lógico que sea de la manera acabada de exponer, pues obrar en contrario abriría paso al vaciamiento de las competencias legales que han sido asignadas en el ordenamiento jurídico a los juzgadores ordinarios, quienes son los facultados para la resolución de tales cuestiones, en el escenario natural que es el proceso legal, de tal manera que en verdad el conocimiento constitucional sea un examen de ese talante, y en todo caso extraordinario. Ese criterio se ha mantenido por la distintas Salas de la CSJ</w:t>
      </w:r>
      <w:r w:rsidRPr="003A0E31">
        <w:rPr>
          <w:rStyle w:val="Refdenotaalpie"/>
          <w:rFonts w:ascii="Gadugi" w:hAnsi="Gadugi"/>
          <w:szCs w:val="24"/>
        </w:rPr>
        <w:footnoteReference w:id="16"/>
      </w:r>
      <w:r w:rsidRPr="003A0E31">
        <w:rPr>
          <w:rFonts w:ascii="Gadugi" w:hAnsi="Gadugi" w:cs="Arial"/>
          <w:szCs w:val="24"/>
        </w:rPr>
        <w:t xml:space="preserve"> (2019).</w:t>
      </w:r>
      <w:r w:rsidR="00A03A1F" w:rsidRPr="003A0E31">
        <w:rPr>
          <w:rFonts w:ascii="Gadugi" w:hAnsi="Gadugi" w:cs="Arial"/>
          <w:szCs w:val="24"/>
        </w:rPr>
        <w:t>”</w:t>
      </w:r>
    </w:p>
    <w:p w14:paraId="587B9327" w14:textId="17C92FDD" w:rsidR="00E53385" w:rsidRPr="00C80AB8" w:rsidRDefault="00E53385" w:rsidP="00C80AB8">
      <w:pPr>
        <w:autoSpaceDE w:val="0"/>
        <w:autoSpaceDN w:val="0"/>
        <w:adjustRightInd w:val="0"/>
        <w:spacing w:after="0" w:line="276" w:lineRule="auto"/>
        <w:jc w:val="both"/>
        <w:rPr>
          <w:rFonts w:ascii="Gadugi" w:eastAsia="Times New Roman" w:hAnsi="Gadugi" w:cs="Arial"/>
          <w:sz w:val="24"/>
          <w:szCs w:val="24"/>
          <w:lang w:val="es-ES" w:eastAsia="es-ES"/>
        </w:rPr>
      </w:pPr>
    </w:p>
    <w:p w14:paraId="62645A1D" w14:textId="16980E4F" w:rsidR="00E273F1" w:rsidRPr="00C80AB8" w:rsidRDefault="00A03A1F" w:rsidP="00C80AB8">
      <w:pPr>
        <w:autoSpaceDE w:val="0"/>
        <w:autoSpaceDN w:val="0"/>
        <w:adjustRightInd w:val="0"/>
        <w:spacing w:after="0" w:line="276" w:lineRule="auto"/>
        <w:jc w:val="both"/>
        <w:rPr>
          <w:rFonts w:ascii="Gadugi" w:eastAsia="Times New Roman" w:hAnsi="Gadugi" w:cs="Arial"/>
          <w:sz w:val="24"/>
          <w:szCs w:val="24"/>
          <w:lang w:val="es-ES" w:eastAsia="es-ES"/>
        </w:rPr>
      </w:pPr>
      <w:r w:rsidRPr="00C80AB8">
        <w:rPr>
          <w:rFonts w:ascii="Gadugi" w:eastAsia="Times New Roman" w:hAnsi="Gadugi" w:cs="Arial"/>
          <w:sz w:val="24"/>
          <w:szCs w:val="24"/>
          <w:lang w:val="es-ES" w:eastAsia="es-ES"/>
        </w:rPr>
        <w:t>2.</w:t>
      </w:r>
      <w:r w:rsidR="006150A7" w:rsidRPr="00C80AB8">
        <w:rPr>
          <w:rFonts w:ascii="Gadugi" w:eastAsia="Times New Roman" w:hAnsi="Gadugi" w:cs="Arial"/>
          <w:sz w:val="24"/>
          <w:szCs w:val="24"/>
          <w:lang w:val="es-ES" w:eastAsia="es-ES"/>
        </w:rPr>
        <w:t>4</w:t>
      </w:r>
      <w:r w:rsidRPr="00C80AB8">
        <w:rPr>
          <w:rFonts w:ascii="Gadugi" w:eastAsia="Times New Roman" w:hAnsi="Gadugi" w:cs="Arial"/>
          <w:sz w:val="24"/>
          <w:szCs w:val="24"/>
          <w:lang w:val="es-ES" w:eastAsia="es-ES"/>
        </w:rPr>
        <w:t xml:space="preserve">. </w:t>
      </w:r>
      <w:r w:rsidR="00E273F1" w:rsidRPr="00C80AB8">
        <w:rPr>
          <w:rFonts w:ascii="Gadugi" w:eastAsia="Times New Roman" w:hAnsi="Gadugi" w:cs="Arial"/>
          <w:sz w:val="24"/>
          <w:szCs w:val="24"/>
          <w:lang w:val="es-ES" w:eastAsia="es-ES"/>
        </w:rPr>
        <w:t xml:space="preserve">En el asunto objeto de estudio se advierte superado el presupuesto de la subsidiariedad, habida cuenta de que los accionantes formularon la solicitud de libertad por vencimiento de términos ante el juez de control de garantías y ejercieron el recurso de apelación procedente frente a la negativa impartida en primera instancia. </w:t>
      </w:r>
    </w:p>
    <w:p w14:paraId="7BBB0044" w14:textId="219D200A" w:rsidR="00E273F1" w:rsidRPr="00C80AB8" w:rsidRDefault="00E273F1" w:rsidP="00C80AB8">
      <w:pPr>
        <w:autoSpaceDE w:val="0"/>
        <w:autoSpaceDN w:val="0"/>
        <w:adjustRightInd w:val="0"/>
        <w:spacing w:after="0" w:line="276" w:lineRule="auto"/>
        <w:jc w:val="both"/>
        <w:rPr>
          <w:rFonts w:ascii="Gadugi" w:eastAsia="Times New Roman" w:hAnsi="Gadugi" w:cs="Arial"/>
          <w:sz w:val="24"/>
          <w:szCs w:val="24"/>
          <w:lang w:val="es-ES" w:eastAsia="es-ES"/>
        </w:rPr>
      </w:pPr>
    </w:p>
    <w:p w14:paraId="66560D3C" w14:textId="2F6749D9" w:rsidR="00E273F1" w:rsidRPr="00C80AB8" w:rsidRDefault="00E273F1" w:rsidP="00C80AB8">
      <w:pPr>
        <w:autoSpaceDE w:val="0"/>
        <w:autoSpaceDN w:val="0"/>
        <w:adjustRightInd w:val="0"/>
        <w:spacing w:after="0" w:line="276" w:lineRule="auto"/>
        <w:jc w:val="both"/>
        <w:rPr>
          <w:rFonts w:ascii="Gadugi" w:eastAsia="Times New Roman" w:hAnsi="Gadugi" w:cs="Arial"/>
          <w:sz w:val="24"/>
          <w:szCs w:val="24"/>
          <w:lang w:val="es-ES" w:eastAsia="es-ES"/>
        </w:rPr>
      </w:pPr>
      <w:r w:rsidRPr="00C80AB8">
        <w:rPr>
          <w:rFonts w:ascii="Gadugi" w:eastAsia="Times New Roman" w:hAnsi="Gadugi" w:cs="Arial"/>
          <w:sz w:val="24"/>
          <w:szCs w:val="24"/>
          <w:lang w:val="es-ES" w:eastAsia="es-ES"/>
        </w:rPr>
        <w:t>2.</w:t>
      </w:r>
      <w:r w:rsidR="004E36F7" w:rsidRPr="00C80AB8">
        <w:rPr>
          <w:rFonts w:ascii="Gadugi" w:eastAsia="Times New Roman" w:hAnsi="Gadugi" w:cs="Arial"/>
          <w:sz w:val="24"/>
          <w:szCs w:val="24"/>
          <w:lang w:val="es-ES" w:eastAsia="es-ES"/>
        </w:rPr>
        <w:t>5</w:t>
      </w:r>
      <w:r w:rsidRPr="00C80AB8">
        <w:rPr>
          <w:rFonts w:ascii="Gadugi" w:eastAsia="Times New Roman" w:hAnsi="Gadugi" w:cs="Arial"/>
          <w:sz w:val="24"/>
          <w:szCs w:val="24"/>
          <w:lang w:val="es-ES" w:eastAsia="es-ES"/>
        </w:rPr>
        <w:t xml:space="preserve">. Descendiendo al caso concreto se tiene que el fundamento de la solicitud se erige en el defecto sustantivo en que supuestamente incurrió el Juzgado Cuarto Penal del Circuito de Conocimiento de Pereira en la decisión que desató la apelación y confirmó la de primera instancia, porque, en parecer de la parte actora, </w:t>
      </w:r>
      <w:r w:rsidR="00E10990" w:rsidRPr="00C80AB8">
        <w:rPr>
          <w:rFonts w:ascii="Gadugi" w:eastAsia="Times New Roman" w:hAnsi="Gadugi" w:cs="Arial"/>
          <w:sz w:val="24"/>
          <w:szCs w:val="24"/>
          <w:lang w:val="es-ES" w:eastAsia="es-ES"/>
        </w:rPr>
        <w:t>hubo una indebida interpretación del numeral 5° y el parágrafo 2° del artículo 317A del CPP</w:t>
      </w:r>
      <w:r w:rsidR="00634A02" w:rsidRPr="00C80AB8">
        <w:rPr>
          <w:rFonts w:ascii="Gadugi" w:eastAsia="Times New Roman" w:hAnsi="Gadugi" w:cs="Arial"/>
          <w:sz w:val="24"/>
          <w:szCs w:val="24"/>
          <w:lang w:val="es-ES" w:eastAsia="es-ES"/>
        </w:rPr>
        <w:t>.</w:t>
      </w:r>
    </w:p>
    <w:p w14:paraId="39A92F23" w14:textId="2A822945" w:rsidR="00634A02" w:rsidRPr="00C80AB8" w:rsidRDefault="00634A02" w:rsidP="00C80AB8">
      <w:pPr>
        <w:autoSpaceDE w:val="0"/>
        <w:autoSpaceDN w:val="0"/>
        <w:adjustRightInd w:val="0"/>
        <w:spacing w:after="0" w:line="276" w:lineRule="auto"/>
        <w:jc w:val="both"/>
        <w:rPr>
          <w:rFonts w:ascii="Gadugi" w:eastAsia="Times New Roman" w:hAnsi="Gadugi" w:cs="Arial"/>
          <w:sz w:val="24"/>
          <w:szCs w:val="24"/>
          <w:lang w:val="es-ES" w:eastAsia="es-ES"/>
        </w:rPr>
      </w:pPr>
    </w:p>
    <w:p w14:paraId="5E760C3D" w14:textId="5C2A8277" w:rsidR="00634A02" w:rsidRPr="00C80AB8" w:rsidRDefault="00634A02" w:rsidP="00C80AB8">
      <w:pPr>
        <w:autoSpaceDE w:val="0"/>
        <w:autoSpaceDN w:val="0"/>
        <w:adjustRightInd w:val="0"/>
        <w:spacing w:after="0" w:line="276" w:lineRule="auto"/>
        <w:jc w:val="both"/>
        <w:rPr>
          <w:rFonts w:ascii="Gadugi" w:eastAsia="Times New Roman" w:hAnsi="Gadugi" w:cs="Arial"/>
          <w:sz w:val="24"/>
          <w:szCs w:val="24"/>
          <w:lang w:val="es-ES" w:eastAsia="es-ES"/>
        </w:rPr>
      </w:pPr>
      <w:r w:rsidRPr="00C80AB8">
        <w:rPr>
          <w:rFonts w:ascii="Gadugi" w:eastAsia="Times New Roman" w:hAnsi="Gadugi" w:cs="Arial"/>
          <w:sz w:val="24"/>
          <w:szCs w:val="24"/>
          <w:lang w:val="es-ES" w:eastAsia="es-ES"/>
        </w:rPr>
        <w:t>Sobre esas normas y su aplicación</w:t>
      </w:r>
      <w:r w:rsidR="006150A7" w:rsidRPr="00C80AB8">
        <w:rPr>
          <w:rFonts w:ascii="Gadugi" w:eastAsia="Times New Roman" w:hAnsi="Gadugi" w:cs="Arial"/>
          <w:sz w:val="24"/>
          <w:szCs w:val="24"/>
          <w:lang w:val="es-ES" w:eastAsia="es-ES"/>
        </w:rPr>
        <w:t xml:space="preserve"> en el caso puesto a su conocimiento, </w:t>
      </w:r>
      <w:r w:rsidRPr="00C80AB8">
        <w:rPr>
          <w:rFonts w:ascii="Gadugi" w:eastAsia="Times New Roman" w:hAnsi="Gadugi" w:cs="Arial"/>
          <w:sz w:val="24"/>
          <w:szCs w:val="24"/>
          <w:lang w:val="es-ES" w:eastAsia="es-ES"/>
        </w:rPr>
        <w:t>el juzgado explicó</w:t>
      </w:r>
      <w:r w:rsidR="006150A7" w:rsidRPr="00C80AB8">
        <w:rPr>
          <w:rStyle w:val="Refdenotaalpie"/>
          <w:rFonts w:ascii="Gadugi" w:eastAsia="Times New Roman" w:hAnsi="Gadugi"/>
          <w:sz w:val="24"/>
          <w:szCs w:val="24"/>
          <w:lang w:val="es-ES" w:eastAsia="es-ES"/>
        </w:rPr>
        <w:footnoteReference w:id="17"/>
      </w:r>
      <w:r w:rsidRPr="00C80AB8">
        <w:rPr>
          <w:rFonts w:ascii="Gadugi" w:eastAsia="Times New Roman" w:hAnsi="Gadugi" w:cs="Arial"/>
          <w:sz w:val="24"/>
          <w:szCs w:val="24"/>
          <w:lang w:val="es-ES" w:eastAsia="es-ES"/>
        </w:rPr>
        <w:t>:</w:t>
      </w:r>
    </w:p>
    <w:p w14:paraId="7D54AC22" w14:textId="345C7EFA" w:rsidR="00634A02" w:rsidRPr="00C80AB8" w:rsidRDefault="00634A02" w:rsidP="00C80AB8">
      <w:pPr>
        <w:autoSpaceDE w:val="0"/>
        <w:autoSpaceDN w:val="0"/>
        <w:adjustRightInd w:val="0"/>
        <w:spacing w:after="0" w:line="276" w:lineRule="auto"/>
        <w:ind w:left="567" w:right="618"/>
        <w:jc w:val="both"/>
        <w:rPr>
          <w:rFonts w:ascii="Gadugi" w:eastAsia="Times New Roman" w:hAnsi="Gadugi" w:cs="Arial"/>
          <w:sz w:val="24"/>
          <w:szCs w:val="24"/>
          <w:lang w:val="es-ES" w:eastAsia="es-ES"/>
        </w:rPr>
      </w:pPr>
    </w:p>
    <w:p w14:paraId="5B800294" w14:textId="5CFD2627" w:rsidR="00634A02" w:rsidRPr="003A0E31" w:rsidRDefault="00475BE1" w:rsidP="003A0E31">
      <w:pPr>
        <w:autoSpaceDE w:val="0"/>
        <w:autoSpaceDN w:val="0"/>
        <w:adjustRightInd w:val="0"/>
        <w:spacing w:after="0" w:line="240" w:lineRule="auto"/>
        <w:ind w:left="426" w:right="420"/>
        <w:jc w:val="both"/>
        <w:rPr>
          <w:rFonts w:ascii="Gadugi" w:eastAsia="Times New Roman" w:hAnsi="Gadugi" w:cs="Arial"/>
          <w:szCs w:val="24"/>
          <w:lang w:val="es-ES" w:eastAsia="es-ES"/>
        </w:rPr>
      </w:pPr>
      <w:r w:rsidRPr="003A0E31">
        <w:rPr>
          <w:rFonts w:ascii="Gadugi" w:eastAsia="Times New Roman" w:hAnsi="Gadugi" w:cs="Arial"/>
          <w:szCs w:val="24"/>
          <w:lang w:val="es-ES" w:eastAsia="es-ES"/>
        </w:rPr>
        <w:t>“</w:t>
      </w:r>
      <w:r w:rsidR="00634A02" w:rsidRPr="003A0E31">
        <w:rPr>
          <w:rFonts w:ascii="Gadugi" w:eastAsia="Times New Roman" w:hAnsi="Gadugi" w:cs="Arial"/>
          <w:szCs w:val="24"/>
          <w:lang w:val="es-ES" w:eastAsia="es-ES"/>
        </w:rPr>
        <w:t>Para el Despacho es claro lo dispuesto por el artículo 317 del Código de</w:t>
      </w:r>
      <w:r w:rsidRPr="003A0E31">
        <w:rPr>
          <w:rFonts w:ascii="Gadugi" w:eastAsia="Times New Roman" w:hAnsi="Gadugi" w:cs="Arial"/>
          <w:szCs w:val="24"/>
          <w:lang w:val="es-ES" w:eastAsia="es-ES"/>
        </w:rPr>
        <w:t xml:space="preserve"> </w:t>
      </w:r>
      <w:r w:rsidR="00634A02" w:rsidRPr="003A0E31">
        <w:rPr>
          <w:rFonts w:ascii="Gadugi" w:eastAsia="Times New Roman" w:hAnsi="Gadugi" w:cs="Arial"/>
          <w:szCs w:val="24"/>
          <w:lang w:val="es-ES" w:eastAsia="es-ES"/>
        </w:rPr>
        <w:t>Procedimiento Penal</w:t>
      </w:r>
      <w:r w:rsidRPr="003A0E31">
        <w:rPr>
          <w:rFonts w:ascii="Gadugi" w:eastAsia="Times New Roman" w:hAnsi="Gadugi" w:cs="Arial"/>
          <w:szCs w:val="24"/>
          <w:lang w:val="es-ES" w:eastAsia="es-ES"/>
        </w:rPr>
        <w:t xml:space="preserve"> (…) </w:t>
      </w:r>
      <w:r w:rsidR="00634A02" w:rsidRPr="003A0E31">
        <w:rPr>
          <w:rFonts w:ascii="Gadugi" w:eastAsia="Times New Roman" w:hAnsi="Gadugi" w:cs="Arial"/>
          <w:szCs w:val="24"/>
          <w:lang w:val="es-ES" w:eastAsia="es-ES"/>
        </w:rPr>
        <w:t>“</w:t>
      </w:r>
      <w:r w:rsidR="00634A02" w:rsidRPr="003A0E31">
        <w:rPr>
          <w:rFonts w:ascii="Gadugi" w:eastAsia="Times New Roman" w:hAnsi="Gadugi" w:cs="Arial"/>
          <w:i/>
          <w:szCs w:val="24"/>
          <w:lang w:val="es-ES" w:eastAsia="es-ES"/>
        </w:rPr>
        <w:t>Cuando transcurridos quinientos (500) días contados a partir de la fecha de</w:t>
      </w:r>
      <w:r w:rsidRPr="003A0E31">
        <w:rPr>
          <w:rFonts w:ascii="Gadugi" w:eastAsia="Times New Roman" w:hAnsi="Gadugi" w:cs="Arial"/>
          <w:i/>
          <w:szCs w:val="24"/>
          <w:lang w:val="es-ES" w:eastAsia="es-ES"/>
        </w:rPr>
        <w:t xml:space="preserve"> </w:t>
      </w:r>
      <w:r w:rsidR="00634A02" w:rsidRPr="003A0E31">
        <w:rPr>
          <w:rFonts w:ascii="Gadugi" w:eastAsia="Times New Roman" w:hAnsi="Gadugi" w:cs="Arial"/>
          <w:i/>
          <w:szCs w:val="24"/>
          <w:lang w:val="es-ES" w:eastAsia="es-ES"/>
        </w:rPr>
        <w:t>presentación del escrito de acusación, no se haya dado inicio a la audiencia de juicio por</w:t>
      </w:r>
      <w:r w:rsidRPr="003A0E31">
        <w:rPr>
          <w:rFonts w:ascii="Gadugi" w:eastAsia="Times New Roman" w:hAnsi="Gadugi" w:cs="Arial"/>
          <w:i/>
          <w:szCs w:val="24"/>
          <w:lang w:val="es-ES" w:eastAsia="es-ES"/>
        </w:rPr>
        <w:t xml:space="preserve"> </w:t>
      </w:r>
      <w:r w:rsidR="00634A02" w:rsidRPr="003A0E31">
        <w:rPr>
          <w:rFonts w:ascii="Gadugi" w:eastAsia="Times New Roman" w:hAnsi="Gadugi" w:cs="Arial"/>
          <w:i/>
          <w:szCs w:val="24"/>
          <w:lang w:val="es-ES" w:eastAsia="es-ES"/>
        </w:rPr>
        <w:t>causa no imputable al procesado o a su defensa”,</w:t>
      </w:r>
      <w:r w:rsidR="00634A02" w:rsidRPr="003A0E31">
        <w:rPr>
          <w:rFonts w:ascii="Gadugi" w:eastAsia="Times New Roman" w:hAnsi="Gadugi" w:cs="Arial"/>
          <w:szCs w:val="24"/>
          <w:lang w:val="es-ES" w:eastAsia="es-ES"/>
        </w:rPr>
        <w:t xml:space="preserve"> lo cual es pertinente al presente</w:t>
      </w:r>
      <w:r w:rsidRPr="003A0E31">
        <w:rPr>
          <w:rFonts w:ascii="Gadugi" w:eastAsia="Times New Roman" w:hAnsi="Gadugi" w:cs="Arial"/>
          <w:szCs w:val="24"/>
          <w:lang w:val="es-ES" w:eastAsia="es-ES"/>
        </w:rPr>
        <w:t xml:space="preserve"> </w:t>
      </w:r>
      <w:r w:rsidR="00634A02" w:rsidRPr="003A0E31">
        <w:rPr>
          <w:rFonts w:ascii="Gadugi" w:eastAsia="Times New Roman" w:hAnsi="Gadugi" w:cs="Arial"/>
          <w:szCs w:val="24"/>
          <w:lang w:val="es-ES" w:eastAsia="es-ES"/>
        </w:rPr>
        <w:t>caso por tratarse de una conducta punible atribuida a miembros de grupos</w:t>
      </w:r>
      <w:r w:rsidRPr="003A0E31">
        <w:rPr>
          <w:rFonts w:ascii="Gadugi" w:eastAsia="Times New Roman" w:hAnsi="Gadugi" w:cs="Arial"/>
          <w:szCs w:val="24"/>
          <w:lang w:val="es-ES" w:eastAsia="es-ES"/>
        </w:rPr>
        <w:t xml:space="preserve"> </w:t>
      </w:r>
      <w:r w:rsidR="00634A02" w:rsidRPr="003A0E31">
        <w:rPr>
          <w:rFonts w:ascii="Gadugi" w:eastAsia="Times New Roman" w:hAnsi="Gadugi" w:cs="Arial"/>
          <w:szCs w:val="24"/>
          <w:lang w:val="es-ES" w:eastAsia="es-ES"/>
        </w:rPr>
        <w:t>delictivos organizados y grupos armados organizados.</w:t>
      </w:r>
    </w:p>
    <w:p w14:paraId="45E0CB13" w14:textId="1E2CA0B5" w:rsidR="00E273F1" w:rsidRPr="003A0E31" w:rsidRDefault="00E273F1" w:rsidP="003A0E31">
      <w:pPr>
        <w:autoSpaceDE w:val="0"/>
        <w:autoSpaceDN w:val="0"/>
        <w:adjustRightInd w:val="0"/>
        <w:spacing w:after="0" w:line="240" w:lineRule="auto"/>
        <w:ind w:left="426" w:right="420"/>
        <w:jc w:val="both"/>
        <w:rPr>
          <w:rFonts w:ascii="Gadugi" w:eastAsia="Times New Roman" w:hAnsi="Gadugi" w:cs="Arial"/>
          <w:szCs w:val="24"/>
          <w:lang w:val="es-ES" w:eastAsia="es-ES"/>
        </w:rPr>
      </w:pPr>
    </w:p>
    <w:p w14:paraId="311DFB2C" w14:textId="4471F018" w:rsidR="00475BE1" w:rsidRPr="003A0E31" w:rsidRDefault="00475BE1" w:rsidP="003A0E31">
      <w:pPr>
        <w:autoSpaceDE w:val="0"/>
        <w:autoSpaceDN w:val="0"/>
        <w:adjustRightInd w:val="0"/>
        <w:spacing w:after="0" w:line="240" w:lineRule="auto"/>
        <w:ind w:left="426" w:right="420"/>
        <w:jc w:val="both"/>
        <w:rPr>
          <w:rFonts w:ascii="Gadugi" w:eastAsia="Times New Roman" w:hAnsi="Gadugi" w:cs="Arial"/>
          <w:szCs w:val="24"/>
          <w:lang w:val="es-ES" w:eastAsia="es-ES"/>
        </w:rPr>
      </w:pPr>
      <w:r w:rsidRPr="003A0E31">
        <w:rPr>
          <w:rFonts w:ascii="Gadugi" w:eastAsia="Times New Roman" w:hAnsi="Gadugi" w:cs="Arial"/>
          <w:szCs w:val="24"/>
          <w:lang w:val="es-ES" w:eastAsia="es-ES"/>
        </w:rPr>
        <w:t>(…)</w:t>
      </w:r>
    </w:p>
    <w:p w14:paraId="638C7335" w14:textId="77777777" w:rsidR="00475BE1" w:rsidRPr="003A0E31" w:rsidRDefault="00475BE1" w:rsidP="003A0E31">
      <w:pPr>
        <w:autoSpaceDE w:val="0"/>
        <w:autoSpaceDN w:val="0"/>
        <w:adjustRightInd w:val="0"/>
        <w:spacing w:after="0" w:line="240" w:lineRule="auto"/>
        <w:ind w:left="426" w:right="420"/>
        <w:jc w:val="both"/>
        <w:rPr>
          <w:rFonts w:ascii="Gadugi" w:eastAsia="Times New Roman" w:hAnsi="Gadugi" w:cs="Arial"/>
          <w:szCs w:val="24"/>
          <w:lang w:val="es-ES" w:eastAsia="es-ES"/>
        </w:rPr>
      </w:pPr>
    </w:p>
    <w:p w14:paraId="7F322103" w14:textId="77777777" w:rsidR="002938AD" w:rsidRPr="003A0E31" w:rsidRDefault="00475BE1" w:rsidP="003A0E31">
      <w:pPr>
        <w:autoSpaceDE w:val="0"/>
        <w:autoSpaceDN w:val="0"/>
        <w:adjustRightInd w:val="0"/>
        <w:spacing w:after="0" w:line="240" w:lineRule="auto"/>
        <w:ind w:left="426" w:right="420"/>
        <w:jc w:val="both"/>
        <w:rPr>
          <w:rFonts w:ascii="Gadugi" w:eastAsia="Times New Roman" w:hAnsi="Gadugi" w:cs="Arial"/>
          <w:szCs w:val="24"/>
          <w:lang w:val="es-ES" w:eastAsia="es-ES"/>
        </w:rPr>
      </w:pPr>
      <w:r w:rsidRPr="003A0E31">
        <w:rPr>
          <w:rFonts w:ascii="Gadugi" w:eastAsia="Times New Roman" w:hAnsi="Gadugi" w:cs="Arial"/>
          <w:szCs w:val="24"/>
          <w:lang w:val="es-ES" w:eastAsia="es-ES"/>
        </w:rPr>
        <w:t xml:space="preserve">El primer elemento a tener en cuenta para determinar si a los acusados les asiste o no derecho a recibir la libertad, consiste en verificar si objetivamente, ha transcurrido el término dispuesto por la ley para tal efecto. En este orden de ideas para la fecha en que se decide la solicitud de libertad por vencimiento de términos -25 de abril-, habían contabilizados un total de quinientos veinticuatro (524 días) y no cuatrocientos </w:t>
      </w:r>
      <w:r w:rsidRPr="003A0E31">
        <w:rPr>
          <w:rFonts w:ascii="Gadugi" w:eastAsia="Times New Roman" w:hAnsi="Gadugi" w:cs="Arial"/>
          <w:szCs w:val="24"/>
          <w:lang w:val="es-ES" w:eastAsia="es-ES"/>
        </w:rPr>
        <w:lastRenderedPageBreak/>
        <w:t xml:space="preserve">noventa y tres como los contabilizó el A Quo, tomando como fecha inicial el 17 de noviembre de 2021 -fecha en la que se presentó el escrito de acusación-; en tal sentido sí le asiste razón al abogado defensor al momento de sustentar la alzada. </w:t>
      </w:r>
    </w:p>
    <w:p w14:paraId="6F9D29C8" w14:textId="77777777" w:rsidR="002938AD" w:rsidRPr="003A0E31" w:rsidRDefault="002938AD" w:rsidP="003A0E31">
      <w:pPr>
        <w:autoSpaceDE w:val="0"/>
        <w:autoSpaceDN w:val="0"/>
        <w:adjustRightInd w:val="0"/>
        <w:spacing w:after="0" w:line="240" w:lineRule="auto"/>
        <w:ind w:left="426" w:right="420"/>
        <w:jc w:val="both"/>
        <w:rPr>
          <w:rFonts w:ascii="Gadugi" w:eastAsia="Times New Roman" w:hAnsi="Gadugi" w:cs="Arial"/>
          <w:szCs w:val="24"/>
          <w:lang w:val="es-ES" w:eastAsia="es-ES"/>
        </w:rPr>
      </w:pPr>
    </w:p>
    <w:p w14:paraId="75141B59" w14:textId="41297C95" w:rsidR="00475BE1" w:rsidRPr="003A0E31" w:rsidRDefault="00475BE1" w:rsidP="003A0E31">
      <w:pPr>
        <w:autoSpaceDE w:val="0"/>
        <w:autoSpaceDN w:val="0"/>
        <w:adjustRightInd w:val="0"/>
        <w:spacing w:after="0" w:line="240" w:lineRule="auto"/>
        <w:ind w:left="426" w:right="420"/>
        <w:jc w:val="both"/>
        <w:rPr>
          <w:rFonts w:ascii="Gadugi" w:eastAsia="Times New Roman" w:hAnsi="Gadugi" w:cs="Arial"/>
          <w:szCs w:val="24"/>
          <w:lang w:val="es-ES" w:eastAsia="es-ES"/>
        </w:rPr>
      </w:pPr>
      <w:r w:rsidRPr="003A0E31">
        <w:rPr>
          <w:rFonts w:ascii="Gadugi" w:eastAsia="Times New Roman" w:hAnsi="Gadugi" w:cs="Arial"/>
          <w:szCs w:val="24"/>
          <w:lang w:val="es-ES" w:eastAsia="es-ES"/>
        </w:rPr>
        <w:t>No obstante, de este tiempo transcurrido, hay doscientos cuarenta (240 días) atribuibles a la defensa, teniendo como fecha de la suspensión de la audiencia el 9 de febrero de 2022 y su continuación el 7 de octubre, discriminados así: 19 días en febrero, 31 días de marzo, 30 días de abril, 31 días de mayo, 30 días de junio, 31 días de julio, 31 días de agosto, 30 días de septiembre, y siete días de octubre. Sustrayendo esos doscientos cuarenta días a los 524 días totales, da un total de doscientos ochenta y cuatro (284) días efectivos. Aun aplicando el plazo razonable de sesenta días, daría un total de 464 días, es decir, que no supera el límite de los 500 que dispone la ley.</w:t>
      </w:r>
    </w:p>
    <w:p w14:paraId="29681524" w14:textId="18FFD97A" w:rsidR="00475BE1" w:rsidRPr="003A0E31" w:rsidRDefault="00475BE1" w:rsidP="003A0E31">
      <w:pPr>
        <w:autoSpaceDE w:val="0"/>
        <w:autoSpaceDN w:val="0"/>
        <w:adjustRightInd w:val="0"/>
        <w:spacing w:after="0" w:line="240" w:lineRule="auto"/>
        <w:ind w:left="426" w:right="420"/>
        <w:jc w:val="both"/>
        <w:rPr>
          <w:rFonts w:ascii="Gadugi" w:eastAsia="Times New Roman" w:hAnsi="Gadugi" w:cs="Arial"/>
          <w:szCs w:val="24"/>
          <w:lang w:val="es-ES" w:eastAsia="es-ES"/>
        </w:rPr>
      </w:pPr>
    </w:p>
    <w:p w14:paraId="6718AE56" w14:textId="77777777" w:rsidR="00475BE1" w:rsidRPr="003A0E31" w:rsidRDefault="00475BE1" w:rsidP="003A0E31">
      <w:pPr>
        <w:autoSpaceDE w:val="0"/>
        <w:autoSpaceDN w:val="0"/>
        <w:adjustRightInd w:val="0"/>
        <w:spacing w:after="0" w:line="240" w:lineRule="auto"/>
        <w:ind w:left="426" w:right="420"/>
        <w:jc w:val="both"/>
        <w:rPr>
          <w:rFonts w:ascii="Gadugi" w:eastAsia="Times New Roman" w:hAnsi="Gadugi" w:cs="Arial"/>
          <w:szCs w:val="24"/>
          <w:lang w:val="es-ES" w:eastAsia="es-ES"/>
        </w:rPr>
      </w:pPr>
      <w:r w:rsidRPr="003A0E31">
        <w:rPr>
          <w:rFonts w:ascii="Gadugi" w:eastAsia="Times New Roman" w:hAnsi="Gadugi" w:cs="Arial"/>
          <w:szCs w:val="24"/>
          <w:lang w:val="es-ES" w:eastAsia="es-ES"/>
        </w:rPr>
        <w:t xml:space="preserve">La prueba de que esos días son atribuibles a la defensa puede verse en el oficio de 9 de febrero de 2022 -Referencia: Reprogramación audiencia formulación acusación “Por medio del presente y toda vez que el defensor público doctor Felipe Alberto Botero García, no le es posible asistir a la audiencia programada el día de hoy, por cuanto se le cruza con un juicio oral con detenido programado con el Juzgado 3 Penal del Circuito de esta ciudad, aunado al hecho que no había sido notificado de esta diligencia, pues la defensora publica que asistía a sus representados no le comunicó de esta diligencia, así  como tampoco informó a este despacho dicha situación al momento de ser notificada sino que lo hizo apenas el día de hoy una vez recibió el link para conexión de esta audiencia, SE APLAZA la audiencia de FORMULACIÓN DE ACUSACIÓN Y SE fija como nueva fecha el SIETE (7) DE OCTUBREDE DOS MIL VEINTIDOS a partir de las 8:00 a.m.”. </w:t>
      </w:r>
    </w:p>
    <w:p w14:paraId="47AC407C" w14:textId="77777777" w:rsidR="00475BE1" w:rsidRPr="003A0E31" w:rsidRDefault="00475BE1" w:rsidP="003A0E31">
      <w:pPr>
        <w:autoSpaceDE w:val="0"/>
        <w:autoSpaceDN w:val="0"/>
        <w:adjustRightInd w:val="0"/>
        <w:spacing w:after="0" w:line="240" w:lineRule="auto"/>
        <w:ind w:left="426" w:right="420"/>
        <w:jc w:val="both"/>
        <w:rPr>
          <w:rFonts w:ascii="Gadugi" w:eastAsia="Times New Roman" w:hAnsi="Gadugi" w:cs="Arial"/>
          <w:szCs w:val="24"/>
          <w:lang w:val="es-ES" w:eastAsia="es-ES"/>
        </w:rPr>
      </w:pPr>
    </w:p>
    <w:p w14:paraId="34540750" w14:textId="0EB536DD" w:rsidR="00686F0E" w:rsidRPr="003A0E31" w:rsidRDefault="00475BE1" w:rsidP="003A0E31">
      <w:pPr>
        <w:autoSpaceDE w:val="0"/>
        <w:autoSpaceDN w:val="0"/>
        <w:adjustRightInd w:val="0"/>
        <w:spacing w:after="0" w:line="240" w:lineRule="auto"/>
        <w:ind w:left="426" w:right="420"/>
        <w:jc w:val="both"/>
        <w:rPr>
          <w:rFonts w:ascii="Gadugi" w:eastAsia="Times New Roman" w:hAnsi="Gadugi" w:cs="Arial"/>
          <w:szCs w:val="24"/>
          <w:lang w:val="es-ES" w:eastAsia="es-ES"/>
        </w:rPr>
      </w:pPr>
      <w:r w:rsidRPr="003A0E31">
        <w:rPr>
          <w:rFonts w:ascii="Gadugi" w:eastAsia="Times New Roman" w:hAnsi="Gadugi" w:cs="Arial"/>
          <w:szCs w:val="24"/>
          <w:lang w:val="es-ES" w:eastAsia="es-ES"/>
        </w:rPr>
        <w:t xml:space="preserve">Es claro que, la defensora debía informar diligentemente al abogado que debía asumir la representación de esta persona y acreditarse ante el juzgado para esta audiencia, además de no obrar causal justificativa de no presentarse a la misma. </w:t>
      </w:r>
      <w:r w:rsidRPr="003A0E31">
        <w:rPr>
          <w:rFonts w:ascii="Gadugi" w:eastAsia="Times New Roman" w:hAnsi="Gadugi" w:cs="Arial"/>
          <w:b/>
          <w:szCs w:val="24"/>
          <w:lang w:val="es-ES" w:eastAsia="es-ES"/>
        </w:rPr>
        <w:t>No fue un error en la notificación por parte del Despacho o del centro de servicios, sino de la abogada que tenía conocimiento de la realización de dicha audiencia y, por razones que se le escapan a ese Despacho</w:t>
      </w:r>
      <w:r w:rsidRPr="003A0E31">
        <w:rPr>
          <w:rFonts w:ascii="Gadugi" w:eastAsia="Times New Roman" w:hAnsi="Gadugi" w:cs="Arial"/>
          <w:szCs w:val="24"/>
          <w:lang w:val="es-ES" w:eastAsia="es-ES"/>
        </w:rPr>
        <w:t xml:space="preserve">, no informó oportunamente a la institución ni al otro apoderado de presentarse y asumir la defensa de manera oportuna, razón por la cual causó la reprogramación y </w:t>
      </w:r>
      <w:r w:rsidRPr="003A0E31">
        <w:rPr>
          <w:rFonts w:ascii="Gadugi" w:eastAsia="Times New Roman" w:hAnsi="Gadugi" w:cs="Arial"/>
          <w:b/>
          <w:szCs w:val="24"/>
          <w:lang w:val="es-ES" w:eastAsia="es-ES"/>
        </w:rPr>
        <w:t>de la cual los apoderados no se opusieron, ni solicitaron -como sucedió posteriormente- la ruptura de la unidad procesal, para evitar más dilaciones, es decir, aprobaron tácitamente la postergación de la audiencia para eventualmente aprovecharse de la misma y solicitar una libertad por vencimiento de</w:t>
      </w:r>
      <w:r w:rsidR="00686F0E" w:rsidRPr="003A0E31">
        <w:rPr>
          <w:rFonts w:ascii="Gadugi" w:eastAsia="Times New Roman" w:hAnsi="Gadugi" w:cs="Arial"/>
          <w:b/>
          <w:szCs w:val="24"/>
          <w:lang w:val="es-ES" w:eastAsia="es-ES"/>
        </w:rPr>
        <w:t xml:space="preserve"> </w:t>
      </w:r>
      <w:r w:rsidRPr="003A0E31">
        <w:rPr>
          <w:rFonts w:ascii="Gadugi" w:eastAsia="Times New Roman" w:hAnsi="Gadugi" w:cs="Arial"/>
          <w:b/>
          <w:szCs w:val="24"/>
          <w:lang w:val="es-ES" w:eastAsia="es-ES"/>
        </w:rPr>
        <w:t>términos</w:t>
      </w:r>
      <w:r w:rsidRPr="003A0E31">
        <w:rPr>
          <w:rFonts w:ascii="Gadugi" w:eastAsia="Times New Roman" w:hAnsi="Gadugi" w:cs="Arial"/>
          <w:szCs w:val="24"/>
          <w:lang w:val="es-ES" w:eastAsia="es-ES"/>
        </w:rPr>
        <w:t>.”</w:t>
      </w:r>
      <w:r w:rsidR="00686F0E" w:rsidRPr="003A0E31">
        <w:rPr>
          <w:rFonts w:ascii="Gadugi" w:eastAsia="Times New Roman" w:hAnsi="Gadugi" w:cs="Arial"/>
          <w:szCs w:val="24"/>
          <w:lang w:val="es-ES" w:eastAsia="es-ES"/>
        </w:rPr>
        <w:t xml:space="preserve"> (Destaca la Sala)</w:t>
      </w:r>
    </w:p>
    <w:p w14:paraId="2321279A" w14:textId="7C2FD452" w:rsidR="00E273F1" w:rsidRPr="00C80AB8" w:rsidRDefault="00E273F1" w:rsidP="00C80AB8">
      <w:pPr>
        <w:autoSpaceDE w:val="0"/>
        <w:autoSpaceDN w:val="0"/>
        <w:adjustRightInd w:val="0"/>
        <w:spacing w:after="0" w:line="276" w:lineRule="auto"/>
        <w:jc w:val="both"/>
        <w:rPr>
          <w:rFonts w:ascii="Gadugi" w:eastAsia="Times New Roman" w:hAnsi="Gadugi" w:cs="Arial"/>
          <w:sz w:val="24"/>
          <w:szCs w:val="24"/>
          <w:lang w:val="es-ES" w:eastAsia="es-ES"/>
        </w:rPr>
      </w:pPr>
    </w:p>
    <w:p w14:paraId="5CBED452" w14:textId="048A05F5" w:rsidR="002938AD" w:rsidRPr="00C80AB8" w:rsidRDefault="002938AD" w:rsidP="00C80AB8">
      <w:pPr>
        <w:autoSpaceDE w:val="0"/>
        <w:autoSpaceDN w:val="0"/>
        <w:adjustRightInd w:val="0"/>
        <w:spacing w:after="0" w:line="276" w:lineRule="auto"/>
        <w:jc w:val="both"/>
        <w:rPr>
          <w:rFonts w:ascii="Gadugi" w:eastAsia="Times New Roman" w:hAnsi="Gadugi" w:cs="Arial"/>
          <w:sz w:val="24"/>
          <w:szCs w:val="24"/>
          <w:lang w:val="es-ES" w:eastAsia="es-ES"/>
        </w:rPr>
      </w:pPr>
      <w:bookmarkStart w:id="2" w:name="_Hlk139454675"/>
      <w:r w:rsidRPr="00C80AB8">
        <w:rPr>
          <w:rFonts w:ascii="Gadugi" w:eastAsia="Times New Roman" w:hAnsi="Gadugi" w:cs="Arial"/>
          <w:sz w:val="24"/>
          <w:szCs w:val="24"/>
          <w:lang w:val="es-ES" w:eastAsia="es-ES"/>
        </w:rPr>
        <w:t xml:space="preserve">Para esta Sala esos argumentos no lucen antojadizos, ni subjetivos, menos que provengan de una interpretación contraevidente de las normas aplicables, por el contrario, la decisión está precedida de una razonable valoración de lo ocurrido en </w:t>
      </w:r>
      <w:r w:rsidR="00F81E70" w:rsidRPr="00C80AB8">
        <w:rPr>
          <w:rFonts w:ascii="Gadugi" w:eastAsia="Times New Roman" w:hAnsi="Gadugi" w:cs="Arial"/>
          <w:sz w:val="24"/>
          <w:szCs w:val="24"/>
          <w:lang w:val="es-ES" w:eastAsia="es-ES"/>
        </w:rPr>
        <w:t>aquel asunto</w:t>
      </w:r>
      <w:r w:rsidRPr="00C80AB8">
        <w:rPr>
          <w:rFonts w:ascii="Gadugi" w:eastAsia="Times New Roman" w:hAnsi="Gadugi" w:cs="Arial"/>
          <w:sz w:val="24"/>
          <w:szCs w:val="24"/>
          <w:lang w:val="es-ES" w:eastAsia="es-ES"/>
        </w:rPr>
        <w:t>.</w:t>
      </w:r>
    </w:p>
    <w:bookmarkEnd w:id="2"/>
    <w:p w14:paraId="0E302468" w14:textId="77777777" w:rsidR="002938AD" w:rsidRPr="00C80AB8" w:rsidRDefault="002938AD" w:rsidP="00C80AB8">
      <w:pPr>
        <w:autoSpaceDE w:val="0"/>
        <w:autoSpaceDN w:val="0"/>
        <w:adjustRightInd w:val="0"/>
        <w:spacing w:after="0" w:line="276" w:lineRule="auto"/>
        <w:jc w:val="both"/>
        <w:rPr>
          <w:rFonts w:ascii="Gadugi" w:eastAsia="Times New Roman" w:hAnsi="Gadugi" w:cs="Arial"/>
          <w:sz w:val="24"/>
          <w:szCs w:val="24"/>
          <w:lang w:val="es-ES" w:eastAsia="es-ES"/>
        </w:rPr>
      </w:pPr>
    </w:p>
    <w:p w14:paraId="071DEB55" w14:textId="41D8667D" w:rsidR="002938AD" w:rsidRPr="00C80AB8" w:rsidRDefault="002938AD" w:rsidP="00C80AB8">
      <w:pPr>
        <w:autoSpaceDE w:val="0"/>
        <w:autoSpaceDN w:val="0"/>
        <w:adjustRightInd w:val="0"/>
        <w:spacing w:after="0" w:line="276" w:lineRule="auto"/>
        <w:jc w:val="both"/>
        <w:rPr>
          <w:rFonts w:ascii="Gadugi" w:eastAsia="Times New Roman" w:hAnsi="Gadugi" w:cs="Arial"/>
          <w:sz w:val="24"/>
          <w:szCs w:val="24"/>
          <w:lang w:val="es-ES" w:eastAsia="es-ES"/>
        </w:rPr>
      </w:pPr>
      <w:r w:rsidRPr="00C80AB8">
        <w:rPr>
          <w:rFonts w:ascii="Gadugi" w:eastAsia="Times New Roman" w:hAnsi="Gadugi" w:cs="Arial"/>
          <w:sz w:val="24"/>
          <w:szCs w:val="24"/>
          <w:lang w:val="es-ES" w:eastAsia="es-ES"/>
        </w:rPr>
        <w:t xml:space="preserve">En efecto, la conclusión del despacho es que la demora del proceso, producida por el aplazamiento de la audiencia de formulación de acusación, desde el 9 de febrero de 2022 hasta el 7 de octubre del mismo año, </w:t>
      </w:r>
      <w:r w:rsidR="00F81E70" w:rsidRPr="00C80AB8">
        <w:rPr>
          <w:rFonts w:ascii="Gadugi" w:eastAsia="Times New Roman" w:hAnsi="Gadugi" w:cs="Arial"/>
          <w:sz w:val="24"/>
          <w:szCs w:val="24"/>
          <w:lang w:val="es-ES" w:eastAsia="es-ES"/>
        </w:rPr>
        <w:t>(i) e</w:t>
      </w:r>
      <w:r w:rsidRPr="00C80AB8">
        <w:rPr>
          <w:rFonts w:ascii="Gadugi" w:eastAsia="Times New Roman" w:hAnsi="Gadugi" w:cs="Arial"/>
          <w:sz w:val="24"/>
          <w:szCs w:val="24"/>
          <w:lang w:val="es-ES" w:eastAsia="es-ES"/>
        </w:rPr>
        <w:t>s imputable a la defensa</w:t>
      </w:r>
      <w:r w:rsidR="003C24A6" w:rsidRPr="00C80AB8">
        <w:rPr>
          <w:rFonts w:ascii="Gadugi" w:eastAsia="Times New Roman" w:hAnsi="Gadugi" w:cs="Arial"/>
          <w:sz w:val="24"/>
          <w:szCs w:val="24"/>
          <w:lang w:val="es-ES" w:eastAsia="es-ES"/>
        </w:rPr>
        <w:t xml:space="preserve">, si bien </w:t>
      </w:r>
      <w:r w:rsidR="003C24A6" w:rsidRPr="00C80AB8">
        <w:rPr>
          <w:rFonts w:ascii="Gadugi" w:eastAsia="Times New Roman" w:hAnsi="Gadugi" w:cs="Arial"/>
          <w:i/>
          <w:sz w:val="24"/>
          <w:szCs w:val="24"/>
          <w:lang w:val="es-ES" w:eastAsia="es-ES"/>
        </w:rPr>
        <w:t>“</w:t>
      </w:r>
      <w:r w:rsidR="003C24A6" w:rsidRPr="00D62727">
        <w:rPr>
          <w:rFonts w:ascii="Gadugi" w:eastAsia="Times New Roman" w:hAnsi="Gadugi" w:cs="Arial"/>
          <w:i/>
          <w:szCs w:val="24"/>
          <w:lang w:val="es-ES" w:eastAsia="es-ES"/>
        </w:rPr>
        <w:t xml:space="preserve">(…) la abogada que tenía conocimiento de la realización de dicha audiencia y, por razones que se le escapan a ese Despacho, </w:t>
      </w:r>
      <w:r w:rsidR="003C24A6" w:rsidRPr="00D62727">
        <w:rPr>
          <w:rFonts w:ascii="Gadugi" w:eastAsia="Times New Roman" w:hAnsi="Gadugi" w:cs="Arial"/>
          <w:i/>
          <w:szCs w:val="24"/>
          <w:u w:val="single"/>
          <w:lang w:val="es-ES" w:eastAsia="es-ES"/>
        </w:rPr>
        <w:t>no informó oportunamente a la institución ni al otro apoderado de presentarse y asumir la defensa de manera oportuna</w:t>
      </w:r>
      <w:r w:rsidR="003C24A6" w:rsidRPr="00D62727">
        <w:rPr>
          <w:rFonts w:ascii="Gadugi" w:eastAsia="Times New Roman" w:hAnsi="Gadugi" w:cs="Arial"/>
          <w:i/>
          <w:szCs w:val="24"/>
          <w:lang w:val="es-ES" w:eastAsia="es-ES"/>
        </w:rPr>
        <w:t xml:space="preserve">, </w:t>
      </w:r>
      <w:r w:rsidR="003C24A6" w:rsidRPr="00D62727">
        <w:rPr>
          <w:rFonts w:ascii="Gadugi" w:eastAsia="Times New Roman" w:hAnsi="Gadugi" w:cs="Arial"/>
          <w:szCs w:val="24"/>
          <w:lang w:val="es-ES" w:eastAsia="es-ES"/>
        </w:rPr>
        <w:t xml:space="preserve">lo cual constituye una </w:t>
      </w:r>
      <w:r w:rsidR="00F81E70" w:rsidRPr="00D62727">
        <w:rPr>
          <w:rFonts w:ascii="Gadugi" w:eastAsia="Times New Roman" w:hAnsi="Gadugi" w:cs="Arial"/>
          <w:szCs w:val="24"/>
          <w:lang w:val="es-ES" w:eastAsia="es-ES"/>
        </w:rPr>
        <w:t>(ii)</w:t>
      </w:r>
      <w:r w:rsidRPr="00D62727">
        <w:rPr>
          <w:rFonts w:ascii="Gadugi" w:eastAsia="Times New Roman" w:hAnsi="Gadugi" w:cs="Arial"/>
          <w:szCs w:val="24"/>
          <w:lang w:val="es-ES" w:eastAsia="es-ES"/>
        </w:rPr>
        <w:t xml:space="preserve"> causa ajena al </w:t>
      </w:r>
      <w:r w:rsidRPr="00D62727">
        <w:rPr>
          <w:rFonts w:ascii="Gadugi" w:eastAsia="Times New Roman" w:hAnsi="Gadugi" w:cs="Arial"/>
          <w:szCs w:val="24"/>
          <w:lang w:val="es-ES" w:eastAsia="es-ES"/>
        </w:rPr>
        <w:lastRenderedPageBreak/>
        <w:t xml:space="preserve">despacho que </w:t>
      </w:r>
      <w:r w:rsidR="00F81E70" w:rsidRPr="00D62727">
        <w:rPr>
          <w:rFonts w:ascii="Gadugi" w:eastAsia="Times New Roman" w:hAnsi="Gadugi" w:cs="Arial"/>
          <w:szCs w:val="24"/>
          <w:lang w:val="es-ES" w:eastAsia="es-ES"/>
        </w:rPr>
        <w:t xml:space="preserve">conoce del juicio penal, y en todo caso, (iii) con la anuencia </w:t>
      </w:r>
      <w:r w:rsidR="002066EB" w:rsidRPr="00D62727">
        <w:rPr>
          <w:rFonts w:ascii="Gadugi" w:eastAsia="Times New Roman" w:hAnsi="Gadugi" w:cs="Arial"/>
          <w:szCs w:val="24"/>
          <w:lang w:val="es-ES" w:eastAsia="es-ES"/>
        </w:rPr>
        <w:t xml:space="preserve">de </w:t>
      </w:r>
      <w:r w:rsidR="003C24A6" w:rsidRPr="00D62727">
        <w:rPr>
          <w:rFonts w:ascii="Gadugi" w:eastAsia="Times New Roman" w:hAnsi="Gadugi" w:cs="Arial"/>
          <w:szCs w:val="24"/>
          <w:lang w:val="es-ES" w:eastAsia="es-ES"/>
        </w:rPr>
        <w:t>los abogados que</w:t>
      </w:r>
      <w:r w:rsidR="00F81E70" w:rsidRPr="00D62727">
        <w:rPr>
          <w:rFonts w:ascii="Gadugi" w:eastAsia="Times New Roman" w:hAnsi="Gadugi" w:cs="Arial"/>
          <w:szCs w:val="24"/>
          <w:lang w:val="es-ES" w:eastAsia="es-ES"/>
        </w:rPr>
        <w:t xml:space="preserve"> hoy solicitan la libertad por vencimiento de términos</w:t>
      </w:r>
      <w:r w:rsidR="003C24A6" w:rsidRPr="00D62727">
        <w:rPr>
          <w:rFonts w:ascii="Gadugi" w:eastAsia="Times New Roman" w:hAnsi="Gadugi" w:cs="Arial"/>
          <w:szCs w:val="24"/>
          <w:lang w:val="es-ES" w:eastAsia="es-ES"/>
        </w:rPr>
        <w:t xml:space="preserve"> que </w:t>
      </w:r>
      <w:r w:rsidR="003C24A6" w:rsidRPr="00D62727">
        <w:rPr>
          <w:rFonts w:ascii="Gadugi" w:eastAsia="Times New Roman" w:hAnsi="Gadugi" w:cs="Arial"/>
          <w:i/>
          <w:szCs w:val="24"/>
          <w:lang w:val="es-ES" w:eastAsia="es-ES"/>
        </w:rPr>
        <w:t>(…) no se opusieron, ni solicitaron -como sucedió posteriormente- la ruptura de la unidad procesal, para evitar más dilaciones, es decir, aprobaron tácitamente la postergación de la audiencia para eventualmente aprovecharse de la misma y solicitar una libertad por vencimiento de términos</w:t>
      </w:r>
      <w:r w:rsidR="003C24A6" w:rsidRPr="00C80AB8">
        <w:rPr>
          <w:rFonts w:ascii="Gadugi" w:eastAsia="Times New Roman" w:hAnsi="Gadugi" w:cs="Arial"/>
          <w:i/>
          <w:sz w:val="24"/>
          <w:szCs w:val="24"/>
          <w:lang w:val="es-ES" w:eastAsia="es-ES"/>
        </w:rPr>
        <w:t>.”</w:t>
      </w:r>
    </w:p>
    <w:p w14:paraId="5B7F0EA1" w14:textId="77777777" w:rsidR="009B1D07" w:rsidRPr="00C80AB8" w:rsidRDefault="009B1D07" w:rsidP="00C80AB8">
      <w:pPr>
        <w:autoSpaceDE w:val="0"/>
        <w:autoSpaceDN w:val="0"/>
        <w:adjustRightInd w:val="0"/>
        <w:spacing w:after="0" w:line="276" w:lineRule="auto"/>
        <w:jc w:val="both"/>
        <w:rPr>
          <w:rFonts w:ascii="Gadugi" w:eastAsia="Times New Roman" w:hAnsi="Gadugi" w:cs="Arial"/>
          <w:sz w:val="24"/>
          <w:szCs w:val="24"/>
          <w:lang w:val="es-ES" w:eastAsia="es-ES"/>
        </w:rPr>
      </w:pPr>
    </w:p>
    <w:p w14:paraId="33C935DF" w14:textId="25E09923" w:rsidR="00085721" w:rsidRPr="00C80AB8" w:rsidRDefault="003C24A6" w:rsidP="00C80AB8">
      <w:pPr>
        <w:tabs>
          <w:tab w:val="left" w:pos="3108"/>
        </w:tabs>
        <w:spacing w:after="0" w:line="276" w:lineRule="auto"/>
        <w:jc w:val="both"/>
        <w:rPr>
          <w:rFonts w:ascii="Gadugi" w:hAnsi="Gadugi"/>
          <w:sz w:val="24"/>
          <w:szCs w:val="24"/>
        </w:rPr>
      </w:pPr>
      <w:r w:rsidRPr="00C80AB8">
        <w:rPr>
          <w:rFonts w:ascii="Gadugi" w:hAnsi="Gadugi" w:cs="Arial"/>
          <w:sz w:val="24"/>
          <w:szCs w:val="24"/>
        </w:rPr>
        <w:t>En conclusión,</w:t>
      </w:r>
      <w:r w:rsidR="00085721" w:rsidRPr="00C80AB8">
        <w:rPr>
          <w:rFonts w:ascii="Gadugi" w:hAnsi="Gadugi" w:cs="Arial"/>
          <w:sz w:val="24"/>
          <w:szCs w:val="24"/>
        </w:rPr>
        <w:t xml:space="preserve"> </w:t>
      </w:r>
      <w:r w:rsidR="006150A7" w:rsidRPr="00C80AB8">
        <w:rPr>
          <w:rFonts w:ascii="Gadugi" w:hAnsi="Gadugi" w:cs="Arial"/>
          <w:sz w:val="24"/>
          <w:szCs w:val="24"/>
        </w:rPr>
        <w:t xml:space="preserve">la resolución judicial es </w:t>
      </w:r>
      <w:r w:rsidR="00085721" w:rsidRPr="00C80AB8">
        <w:rPr>
          <w:rFonts w:ascii="Gadugi" w:hAnsi="Gadugi" w:cs="Arial"/>
          <w:sz w:val="24"/>
          <w:szCs w:val="24"/>
        </w:rPr>
        <w:t xml:space="preserve">razonable, </w:t>
      </w:r>
      <w:r w:rsidR="006150A7" w:rsidRPr="00C80AB8">
        <w:rPr>
          <w:rFonts w:ascii="Gadugi" w:hAnsi="Gadugi" w:cs="Arial"/>
          <w:sz w:val="24"/>
          <w:szCs w:val="24"/>
        </w:rPr>
        <w:t>por lo cual no</w:t>
      </w:r>
      <w:r w:rsidR="00085721" w:rsidRPr="00C80AB8">
        <w:rPr>
          <w:rFonts w:ascii="Gadugi" w:hAnsi="Gadugi" w:cs="Arial"/>
          <w:sz w:val="24"/>
          <w:szCs w:val="24"/>
        </w:rPr>
        <w:t xml:space="preserve"> puede </w:t>
      </w:r>
      <w:r w:rsidR="00085721" w:rsidRPr="00C80AB8">
        <w:rPr>
          <w:rFonts w:ascii="Gadugi" w:hAnsi="Gadugi"/>
          <w:sz w:val="24"/>
          <w:szCs w:val="24"/>
        </w:rPr>
        <w:t>ser descalificada en sede constitucional</w:t>
      </w:r>
      <w:r w:rsidR="006150A7" w:rsidRPr="00C80AB8">
        <w:rPr>
          <w:rFonts w:ascii="Gadugi" w:hAnsi="Gadugi"/>
          <w:sz w:val="24"/>
          <w:szCs w:val="24"/>
        </w:rPr>
        <w:t>,</w:t>
      </w:r>
      <w:r w:rsidR="00085721" w:rsidRPr="00C80AB8">
        <w:rPr>
          <w:rFonts w:ascii="Gadugi" w:hAnsi="Gadugi"/>
          <w:sz w:val="24"/>
          <w:szCs w:val="24"/>
        </w:rPr>
        <w:t xml:space="preserve"> </w:t>
      </w:r>
      <w:r w:rsidR="006150A7" w:rsidRPr="00C80AB8">
        <w:rPr>
          <w:rFonts w:ascii="Gadugi" w:hAnsi="Gadugi"/>
          <w:sz w:val="24"/>
          <w:szCs w:val="24"/>
        </w:rPr>
        <w:t>debiéndose</w:t>
      </w:r>
      <w:r w:rsidR="00085721" w:rsidRPr="00C80AB8">
        <w:rPr>
          <w:rFonts w:ascii="Gadugi" w:hAnsi="Gadugi"/>
          <w:sz w:val="24"/>
          <w:szCs w:val="24"/>
        </w:rPr>
        <w:t xml:space="preserve"> recordar que la acción de </w:t>
      </w:r>
      <w:r w:rsidR="00085721" w:rsidRPr="00C80AB8">
        <w:rPr>
          <w:rFonts w:ascii="Gadugi" w:hAnsi="Gadugi"/>
          <w:i/>
          <w:sz w:val="24"/>
          <w:szCs w:val="24"/>
        </w:rPr>
        <w:t>habeas corpus</w:t>
      </w:r>
      <w:r w:rsidR="006150A7" w:rsidRPr="00C80AB8">
        <w:rPr>
          <w:rFonts w:ascii="Gadugi" w:hAnsi="Gadugi"/>
          <w:i/>
          <w:sz w:val="24"/>
          <w:szCs w:val="24"/>
        </w:rPr>
        <w:t xml:space="preserve">, </w:t>
      </w:r>
      <w:r w:rsidR="006150A7" w:rsidRPr="00C80AB8">
        <w:rPr>
          <w:rFonts w:ascii="Gadugi" w:hAnsi="Gadugi"/>
          <w:sz w:val="24"/>
          <w:szCs w:val="24"/>
        </w:rPr>
        <w:t>en principio, y salvo que se demuestre una palmaria vía de hecho,</w:t>
      </w:r>
      <w:r w:rsidR="00085721" w:rsidRPr="00C80AB8">
        <w:rPr>
          <w:rFonts w:ascii="Gadugi" w:hAnsi="Gadugi"/>
          <w:sz w:val="24"/>
          <w:szCs w:val="24"/>
        </w:rPr>
        <w:t xml:space="preserve"> no puede utilizarse</w:t>
      </w:r>
      <w:r w:rsidR="007C6797" w:rsidRPr="00C80AB8">
        <w:rPr>
          <w:rFonts w:ascii="Gadugi" w:hAnsi="Gadugi"/>
          <w:sz w:val="24"/>
          <w:szCs w:val="24"/>
        </w:rPr>
        <w:t xml:space="preserve"> para</w:t>
      </w:r>
      <w:r w:rsidR="00085721" w:rsidRPr="00C80AB8">
        <w:rPr>
          <w:rFonts w:ascii="Gadugi" w:hAnsi="Gadugi"/>
          <w:sz w:val="24"/>
          <w:szCs w:val="24"/>
        </w:rPr>
        <w:t xml:space="preserve"> </w:t>
      </w:r>
      <w:r w:rsidR="00085721" w:rsidRPr="00C80AB8">
        <w:rPr>
          <w:rFonts w:ascii="Gadugi" w:hAnsi="Gadugi"/>
          <w:i/>
          <w:sz w:val="24"/>
          <w:szCs w:val="24"/>
        </w:rPr>
        <w:t>“</w:t>
      </w:r>
      <w:r w:rsidR="00085721" w:rsidRPr="00D62727">
        <w:rPr>
          <w:rFonts w:ascii="Gadugi" w:hAnsi="Gadugi"/>
          <w:i/>
          <w:szCs w:val="24"/>
        </w:rPr>
        <w:t>(…) obtener una opinión diversa -a manera de instancia adicional- de la autoridad llamada a resolver lo atinente a la libertad de las personas</w:t>
      </w:r>
      <w:r w:rsidR="00085721" w:rsidRPr="00C80AB8">
        <w:rPr>
          <w:rFonts w:ascii="Gadugi" w:hAnsi="Gadugi"/>
          <w:i/>
          <w:sz w:val="24"/>
          <w:szCs w:val="24"/>
        </w:rPr>
        <w:t>.”</w:t>
      </w:r>
      <w:r w:rsidR="00D62727">
        <w:rPr>
          <w:rFonts w:ascii="Gadugi" w:hAnsi="Gadugi"/>
          <w:i/>
          <w:sz w:val="24"/>
          <w:szCs w:val="24"/>
        </w:rPr>
        <w:t xml:space="preserve"> </w:t>
      </w:r>
      <w:r w:rsidR="00085721" w:rsidRPr="00C80AB8">
        <w:rPr>
          <w:rStyle w:val="Refdenotaalpie"/>
          <w:rFonts w:ascii="Gadugi" w:hAnsi="Gadugi"/>
          <w:i/>
          <w:sz w:val="24"/>
          <w:szCs w:val="24"/>
        </w:rPr>
        <w:footnoteReference w:id="18"/>
      </w:r>
    </w:p>
    <w:p w14:paraId="1891B4FC" w14:textId="77777777" w:rsidR="00085721" w:rsidRPr="00C80AB8" w:rsidRDefault="00085721" w:rsidP="00C80AB8">
      <w:pPr>
        <w:tabs>
          <w:tab w:val="left" w:pos="3108"/>
        </w:tabs>
        <w:spacing w:after="0" w:line="276" w:lineRule="auto"/>
        <w:jc w:val="both"/>
        <w:rPr>
          <w:rFonts w:ascii="Gadugi" w:hAnsi="Gadugi"/>
          <w:sz w:val="24"/>
          <w:szCs w:val="24"/>
        </w:rPr>
      </w:pPr>
    </w:p>
    <w:p w14:paraId="03855604" w14:textId="7E0389B5" w:rsidR="00A73222" w:rsidRPr="00C80AB8" w:rsidRDefault="00085721" w:rsidP="00C80AB8">
      <w:pPr>
        <w:tabs>
          <w:tab w:val="left" w:pos="3108"/>
        </w:tabs>
        <w:spacing w:line="276" w:lineRule="auto"/>
        <w:jc w:val="both"/>
        <w:rPr>
          <w:rFonts w:ascii="Gadugi" w:eastAsia="Times New Roman" w:hAnsi="Gadugi" w:cs="Times New Roman"/>
          <w:bCs/>
          <w:sz w:val="24"/>
          <w:szCs w:val="24"/>
          <w:lang w:val="es-ES" w:eastAsia="es-ES"/>
        </w:rPr>
      </w:pPr>
      <w:r w:rsidRPr="00C80AB8">
        <w:rPr>
          <w:rFonts w:ascii="Gadugi" w:hAnsi="Gadugi"/>
          <w:sz w:val="24"/>
          <w:szCs w:val="24"/>
        </w:rPr>
        <w:t xml:space="preserve">En suma, se confirmará el auto impugnado que </w:t>
      </w:r>
      <w:r w:rsidR="007C6797" w:rsidRPr="00C80AB8">
        <w:rPr>
          <w:rFonts w:ascii="Gadugi" w:hAnsi="Gadugi"/>
          <w:sz w:val="24"/>
          <w:szCs w:val="24"/>
        </w:rPr>
        <w:t xml:space="preserve">negó la protección invocada. </w:t>
      </w:r>
    </w:p>
    <w:p w14:paraId="1E7A3DDF" w14:textId="77777777" w:rsidR="00A73222" w:rsidRPr="00C80AB8" w:rsidRDefault="00A73222" w:rsidP="00C80AB8">
      <w:pPr>
        <w:autoSpaceDE w:val="0"/>
        <w:autoSpaceDN w:val="0"/>
        <w:adjustRightInd w:val="0"/>
        <w:spacing w:after="0" w:line="276" w:lineRule="auto"/>
        <w:jc w:val="both"/>
        <w:rPr>
          <w:rFonts w:ascii="Gadugi" w:eastAsia="Times New Roman" w:hAnsi="Gadugi" w:cs="Times New Roman"/>
          <w:b/>
          <w:bCs/>
          <w:sz w:val="24"/>
          <w:szCs w:val="24"/>
          <w:lang w:val="es-ES" w:eastAsia="es-ES"/>
        </w:rPr>
      </w:pPr>
    </w:p>
    <w:p w14:paraId="0E2C8F00" w14:textId="381DBDEA" w:rsidR="00756044" w:rsidRPr="00C80AB8" w:rsidRDefault="007F5F4C" w:rsidP="00C80AB8">
      <w:pPr>
        <w:autoSpaceDE w:val="0"/>
        <w:autoSpaceDN w:val="0"/>
        <w:adjustRightInd w:val="0"/>
        <w:spacing w:after="0" w:line="276" w:lineRule="auto"/>
        <w:jc w:val="both"/>
        <w:rPr>
          <w:rFonts w:ascii="Gadugi" w:eastAsia="Times New Roman" w:hAnsi="Gadugi" w:cs="Times New Roman"/>
          <w:sz w:val="24"/>
          <w:szCs w:val="24"/>
          <w:bdr w:val="none" w:sz="0" w:space="0" w:color="auto" w:frame="1"/>
          <w:lang w:val="es-CO" w:eastAsia="es-ES"/>
        </w:rPr>
      </w:pPr>
      <w:r w:rsidRPr="00C80AB8">
        <w:rPr>
          <w:rFonts w:ascii="Gadugi" w:eastAsia="Times New Roman" w:hAnsi="Gadugi" w:cs="Times New Roman"/>
          <w:b/>
          <w:bCs/>
          <w:sz w:val="24"/>
          <w:szCs w:val="24"/>
          <w:lang w:val="es-ES" w:eastAsia="es-ES"/>
        </w:rPr>
        <w:t xml:space="preserve">3. </w:t>
      </w:r>
      <w:r w:rsidR="00756044" w:rsidRPr="00C80AB8">
        <w:rPr>
          <w:rFonts w:ascii="Gadugi" w:eastAsia="Times New Roman" w:hAnsi="Gadugi" w:cs="Times New Roman"/>
          <w:b/>
          <w:bCs/>
          <w:sz w:val="24"/>
          <w:szCs w:val="24"/>
          <w:lang w:val="es-ES" w:eastAsia="es-ES"/>
        </w:rPr>
        <w:t>DECISIÓN</w:t>
      </w:r>
    </w:p>
    <w:p w14:paraId="6E226783" w14:textId="77777777" w:rsidR="00C80AB8" w:rsidRDefault="00C80AB8" w:rsidP="00C80AB8">
      <w:pPr>
        <w:overflowPunct w:val="0"/>
        <w:autoSpaceDE w:val="0"/>
        <w:autoSpaceDN w:val="0"/>
        <w:adjustRightInd w:val="0"/>
        <w:spacing w:after="0" w:line="276" w:lineRule="auto"/>
        <w:jc w:val="both"/>
        <w:textAlignment w:val="baseline"/>
        <w:rPr>
          <w:rFonts w:ascii="Gadugi" w:hAnsi="Gadugi" w:cs="Century Gothic"/>
          <w:sz w:val="24"/>
          <w:szCs w:val="24"/>
        </w:rPr>
      </w:pPr>
    </w:p>
    <w:p w14:paraId="0D1C94BF" w14:textId="3C3F9420" w:rsidR="00A102B8" w:rsidRPr="00C80AB8" w:rsidRDefault="006150A7" w:rsidP="00C80AB8">
      <w:pPr>
        <w:overflowPunct w:val="0"/>
        <w:autoSpaceDE w:val="0"/>
        <w:autoSpaceDN w:val="0"/>
        <w:adjustRightInd w:val="0"/>
        <w:spacing w:after="0" w:line="276" w:lineRule="auto"/>
        <w:jc w:val="both"/>
        <w:textAlignment w:val="baseline"/>
        <w:rPr>
          <w:rFonts w:ascii="Gadugi" w:hAnsi="Gadugi" w:cs="Century Gothic"/>
          <w:sz w:val="24"/>
          <w:szCs w:val="24"/>
        </w:rPr>
      </w:pPr>
      <w:r w:rsidRPr="00C80AB8">
        <w:rPr>
          <w:rFonts w:ascii="Gadugi" w:hAnsi="Gadugi" w:cs="Century Gothic"/>
          <w:sz w:val="24"/>
          <w:szCs w:val="24"/>
        </w:rPr>
        <w:t xml:space="preserve">En armonía con lo dicho esta </w:t>
      </w:r>
      <w:r w:rsidRPr="00C80AB8">
        <w:rPr>
          <w:rFonts w:ascii="Gadugi" w:hAnsi="Gadugi" w:cs="Century Gothic"/>
          <w:b/>
          <w:sz w:val="24"/>
          <w:szCs w:val="24"/>
        </w:rPr>
        <w:t>Sala Unitaria del Tribunal Superior de Pereira</w:t>
      </w:r>
      <w:r w:rsidR="004E36F7" w:rsidRPr="00C80AB8">
        <w:rPr>
          <w:rFonts w:ascii="Gadugi" w:hAnsi="Gadugi" w:cs="Century Gothic"/>
          <w:b/>
          <w:sz w:val="24"/>
          <w:szCs w:val="24"/>
        </w:rPr>
        <w:t>,</w:t>
      </w:r>
      <w:r w:rsidRPr="00C80AB8">
        <w:rPr>
          <w:rFonts w:ascii="Gadugi" w:hAnsi="Gadugi" w:cs="Century Gothic"/>
          <w:sz w:val="24"/>
          <w:szCs w:val="24"/>
        </w:rPr>
        <w:t xml:space="preserve"> </w:t>
      </w:r>
      <w:r w:rsidRPr="00C80AB8">
        <w:rPr>
          <w:rFonts w:ascii="Gadugi" w:hAnsi="Gadugi" w:cs="Century Gothic"/>
          <w:b/>
          <w:sz w:val="24"/>
          <w:szCs w:val="24"/>
        </w:rPr>
        <w:t>CONFIRMA</w:t>
      </w:r>
      <w:r w:rsidRPr="00C80AB8">
        <w:rPr>
          <w:rFonts w:ascii="Gadugi" w:hAnsi="Gadugi" w:cs="Century Gothic"/>
          <w:sz w:val="24"/>
          <w:szCs w:val="24"/>
        </w:rPr>
        <w:t xml:space="preserve"> el auto impugnado.</w:t>
      </w:r>
    </w:p>
    <w:p w14:paraId="0B47BFE0" w14:textId="77777777" w:rsidR="006150A7" w:rsidRPr="00C80AB8" w:rsidRDefault="006150A7" w:rsidP="00C80AB8">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4C883A1B" w14:textId="2FE1AB8C" w:rsidR="00756044" w:rsidRPr="00C80AB8" w:rsidRDefault="00756044" w:rsidP="00C80AB8">
      <w:pPr>
        <w:overflowPunct w:val="0"/>
        <w:autoSpaceDE w:val="0"/>
        <w:autoSpaceDN w:val="0"/>
        <w:adjustRightInd w:val="0"/>
        <w:spacing w:after="0" w:line="276" w:lineRule="auto"/>
        <w:jc w:val="both"/>
        <w:textAlignment w:val="baseline"/>
        <w:rPr>
          <w:rFonts w:ascii="Gadugi" w:eastAsia="Times New Roman" w:hAnsi="Gadugi" w:cs="Times New Roman"/>
          <w:bCs/>
          <w:sz w:val="24"/>
          <w:szCs w:val="24"/>
          <w:lang w:val="es-419" w:eastAsia="es-ES"/>
        </w:rPr>
      </w:pPr>
      <w:r w:rsidRPr="00C80AB8">
        <w:rPr>
          <w:rFonts w:ascii="Gadugi" w:eastAsia="Times New Roman" w:hAnsi="Gadugi" w:cs="Times New Roman"/>
          <w:sz w:val="24"/>
          <w:szCs w:val="24"/>
          <w:lang w:val="es-ES" w:eastAsia="es-ES"/>
        </w:rPr>
        <w:t>Notifíquese esta decisión a las partes y demás interesados</w:t>
      </w:r>
      <w:r w:rsidR="006150A7" w:rsidRPr="00C80AB8">
        <w:rPr>
          <w:rFonts w:ascii="Gadugi" w:eastAsia="Times New Roman" w:hAnsi="Gadugi" w:cs="Times New Roman"/>
          <w:sz w:val="24"/>
          <w:szCs w:val="24"/>
          <w:lang w:val="es-ES" w:eastAsia="es-ES"/>
        </w:rPr>
        <w:t>.</w:t>
      </w:r>
      <w:r w:rsidRPr="00C80AB8">
        <w:rPr>
          <w:rFonts w:ascii="Gadugi" w:eastAsia="Times New Roman" w:hAnsi="Gadugi" w:cs="Times New Roman"/>
          <w:sz w:val="24"/>
          <w:szCs w:val="24"/>
          <w:lang w:val="es-ES" w:eastAsia="es-ES"/>
        </w:rPr>
        <w:t xml:space="preserve"> </w:t>
      </w:r>
    </w:p>
    <w:p w14:paraId="212A08F5" w14:textId="6E30F0B1" w:rsidR="004E4A9F" w:rsidRPr="00C80AB8" w:rsidRDefault="004E4A9F" w:rsidP="00C80AB8">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600118F4" w14:textId="1DE50DCD" w:rsidR="00426DA0" w:rsidRPr="00C80AB8" w:rsidRDefault="006150A7" w:rsidP="00C80AB8">
      <w:pPr>
        <w:spacing w:after="0" w:line="276" w:lineRule="auto"/>
        <w:jc w:val="both"/>
        <w:rPr>
          <w:rFonts w:ascii="Gadugi" w:hAnsi="Gadugi" w:cs="Century Gothic"/>
          <w:sz w:val="24"/>
          <w:szCs w:val="24"/>
        </w:rPr>
      </w:pPr>
      <w:r w:rsidRPr="00C80AB8">
        <w:rPr>
          <w:rFonts w:ascii="Gadugi" w:hAnsi="Gadugi" w:cs="Century Gothic"/>
          <w:sz w:val="24"/>
          <w:szCs w:val="24"/>
        </w:rPr>
        <w:t>El</w:t>
      </w:r>
      <w:r w:rsidR="00F43CD2" w:rsidRPr="00C80AB8">
        <w:rPr>
          <w:rFonts w:ascii="Gadugi" w:hAnsi="Gadugi" w:cs="Century Gothic"/>
          <w:sz w:val="24"/>
          <w:szCs w:val="24"/>
        </w:rPr>
        <w:t xml:space="preserve"> Magistrado</w:t>
      </w:r>
    </w:p>
    <w:p w14:paraId="74F65CF9" w14:textId="38EA0F44" w:rsidR="00A97441" w:rsidRDefault="00A97441" w:rsidP="00C80AB8">
      <w:pPr>
        <w:spacing w:after="0" w:line="276" w:lineRule="auto"/>
        <w:jc w:val="both"/>
        <w:rPr>
          <w:rFonts w:ascii="Gadugi" w:hAnsi="Gadugi"/>
          <w:sz w:val="24"/>
          <w:szCs w:val="24"/>
        </w:rPr>
      </w:pPr>
    </w:p>
    <w:p w14:paraId="06587527" w14:textId="79CA46BC" w:rsidR="00C80AB8" w:rsidRDefault="00C80AB8" w:rsidP="00C80AB8">
      <w:pPr>
        <w:spacing w:after="0" w:line="276" w:lineRule="auto"/>
        <w:jc w:val="both"/>
        <w:rPr>
          <w:rFonts w:ascii="Gadugi" w:hAnsi="Gadugi"/>
          <w:sz w:val="24"/>
          <w:szCs w:val="24"/>
        </w:rPr>
      </w:pPr>
    </w:p>
    <w:p w14:paraId="6008981A" w14:textId="77777777" w:rsidR="00A5626B" w:rsidRDefault="00A5626B" w:rsidP="00C80AB8">
      <w:pPr>
        <w:spacing w:after="0" w:line="276" w:lineRule="auto"/>
        <w:jc w:val="both"/>
        <w:rPr>
          <w:rFonts w:ascii="Gadugi" w:hAnsi="Gadugi"/>
          <w:sz w:val="24"/>
          <w:szCs w:val="24"/>
        </w:rPr>
      </w:pPr>
    </w:p>
    <w:p w14:paraId="48E56A42" w14:textId="77777777" w:rsidR="00C80AB8" w:rsidRPr="00C80AB8" w:rsidRDefault="00C80AB8" w:rsidP="00C80AB8">
      <w:pPr>
        <w:spacing w:after="0" w:line="276" w:lineRule="auto"/>
        <w:jc w:val="both"/>
        <w:rPr>
          <w:rFonts w:ascii="Gadugi" w:hAnsi="Gadugi"/>
          <w:sz w:val="24"/>
          <w:szCs w:val="24"/>
        </w:rPr>
      </w:pPr>
    </w:p>
    <w:p w14:paraId="691D9D75" w14:textId="607E4759" w:rsidR="00F43CD2" w:rsidRPr="00C80AB8" w:rsidRDefault="00F43CD2" w:rsidP="00C80AB8">
      <w:pPr>
        <w:spacing w:after="0" w:line="276" w:lineRule="auto"/>
        <w:jc w:val="both"/>
        <w:rPr>
          <w:rFonts w:ascii="Gadugi" w:hAnsi="Gadugi" w:cs="Century Gothic"/>
          <w:b/>
          <w:bCs/>
          <w:sz w:val="24"/>
          <w:szCs w:val="24"/>
        </w:rPr>
      </w:pPr>
      <w:r w:rsidRPr="00C80AB8">
        <w:rPr>
          <w:rFonts w:ascii="Gadugi" w:hAnsi="Gadugi" w:cs="Century Gothic"/>
          <w:b/>
          <w:bCs/>
          <w:sz w:val="24"/>
          <w:szCs w:val="24"/>
        </w:rPr>
        <w:t>JAIME ALBERTO SARAZA NARANJO</w:t>
      </w:r>
    </w:p>
    <w:sectPr w:rsidR="00F43CD2" w:rsidRPr="00C80AB8" w:rsidSect="00A34818">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C6D3F" w14:textId="77777777" w:rsidR="003861C8" w:rsidRDefault="003861C8" w:rsidP="00756044">
      <w:pPr>
        <w:spacing w:after="0" w:line="240" w:lineRule="auto"/>
      </w:pPr>
      <w:r>
        <w:separator/>
      </w:r>
    </w:p>
  </w:endnote>
  <w:endnote w:type="continuationSeparator" w:id="0">
    <w:p w14:paraId="2F51F060" w14:textId="77777777" w:rsidR="003861C8" w:rsidRDefault="003861C8" w:rsidP="0075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282619"/>
      <w:docPartObj>
        <w:docPartGallery w:val="Page Numbers (Bottom of Page)"/>
        <w:docPartUnique/>
      </w:docPartObj>
    </w:sdtPr>
    <w:sdtEndPr/>
    <w:sdtContent>
      <w:p w14:paraId="579BC6A0" w14:textId="77777777" w:rsidR="00A657E3" w:rsidRDefault="00A657E3">
        <w:pPr>
          <w:pStyle w:val="Piedepgina"/>
          <w:jc w:val="right"/>
        </w:pPr>
        <w:r>
          <w:fldChar w:fldCharType="begin"/>
        </w:r>
        <w:r>
          <w:instrText>PAGE   \* MERGEFORMAT</w:instrText>
        </w:r>
        <w:r>
          <w:fldChar w:fldCharType="separate"/>
        </w:r>
        <w:r w:rsidRPr="00422311">
          <w:rPr>
            <w:noProof/>
            <w:lang w:val="es-ES"/>
          </w:rPr>
          <w:t>9</w:t>
        </w:r>
        <w:r>
          <w:fldChar w:fldCharType="end"/>
        </w:r>
      </w:p>
    </w:sdtContent>
  </w:sdt>
  <w:p w14:paraId="0E1FD30D" w14:textId="77777777" w:rsidR="00A657E3" w:rsidRDefault="00A657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3A0D3" w14:textId="77777777" w:rsidR="003861C8" w:rsidRDefault="003861C8" w:rsidP="00756044">
      <w:pPr>
        <w:spacing w:after="0" w:line="240" w:lineRule="auto"/>
      </w:pPr>
      <w:r>
        <w:separator/>
      </w:r>
    </w:p>
  </w:footnote>
  <w:footnote w:type="continuationSeparator" w:id="0">
    <w:p w14:paraId="3564E417" w14:textId="77777777" w:rsidR="003861C8" w:rsidRDefault="003861C8" w:rsidP="00756044">
      <w:pPr>
        <w:spacing w:after="0" w:line="240" w:lineRule="auto"/>
      </w:pPr>
      <w:r>
        <w:continuationSeparator/>
      </w:r>
    </w:p>
  </w:footnote>
  <w:footnote w:id="1">
    <w:p w14:paraId="4F3EA8DF" w14:textId="6B25AEFF" w:rsidR="007C6797" w:rsidRPr="00C80AB8" w:rsidRDefault="007C6797" w:rsidP="00C80AB8">
      <w:pPr>
        <w:pStyle w:val="Textonotapie"/>
        <w:jc w:val="both"/>
        <w:rPr>
          <w:rFonts w:ascii="Arial" w:hAnsi="Arial" w:cs="Arial"/>
          <w:sz w:val="18"/>
          <w:lang w:val="es-CO"/>
        </w:rPr>
      </w:pPr>
      <w:r w:rsidRPr="00C80AB8">
        <w:rPr>
          <w:rStyle w:val="Refdenotaalpie"/>
          <w:rFonts w:ascii="Arial" w:hAnsi="Arial" w:cs="Arial"/>
          <w:sz w:val="18"/>
        </w:rPr>
        <w:footnoteRef/>
      </w:r>
      <w:r w:rsidRPr="00C80AB8">
        <w:rPr>
          <w:rFonts w:ascii="Arial" w:hAnsi="Arial" w:cs="Arial"/>
          <w:sz w:val="18"/>
        </w:rPr>
        <w:t xml:space="preserve"> </w:t>
      </w:r>
      <w:r w:rsidRPr="00C80AB8">
        <w:rPr>
          <w:rFonts w:ascii="Arial" w:hAnsi="Arial" w:cs="Arial"/>
          <w:sz w:val="18"/>
          <w:lang w:val="es-CO"/>
        </w:rPr>
        <w:t xml:space="preserve">Documento </w:t>
      </w:r>
      <w:r w:rsidR="0054043C" w:rsidRPr="00C80AB8">
        <w:rPr>
          <w:rFonts w:ascii="Arial" w:hAnsi="Arial" w:cs="Arial"/>
          <w:sz w:val="18"/>
          <w:lang w:val="es-CO"/>
        </w:rPr>
        <w:t>01., C. 1.</w:t>
      </w:r>
    </w:p>
  </w:footnote>
  <w:footnote w:id="2">
    <w:p w14:paraId="2DBEEF13" w14:textId="2C4ACBF5" w:rsidR="006150A7" w:rsidRPr="00C80AB8" w:rsidRDefault="006150A7" w:rsidP="00C80AB8">
      <w:pPr>
        <w:pStyle w:val="Textonotapie"/>
        <w:jc w:val="both"/>
        <w:rPr>
          <w:rFonts w:ascii="Arial" w:hAnsi="Arial" w:cs="Arial"/>
          <w:sz w:val="18"/>
          <w:lang w:val="es-CO"/>
        </w:rPr>
      </w:pPr>
      <w:r w:rsidRPr="00C80AB8">
        <w:rPr>
          <w:rStyle w:val="Refdenotaalpie"/>
          <w:rFonts w:ascii="Arial" w:hAnsi="Arial" w:cs="Arial"/>
          <w:sz w:val="18"/>
        </w:rPr>
        <w:footnoteRef/>
      </w:r>
      <w:r w:rsidRPr="00C80AB8">
        <w:rPr>
          <w:rFonts w:ascii="Arial" w:hAnsi="Arial" w:cs="Arial"/>
          <w:sz w:val="18"/>
        </w:rPr>
        <w:t xml:space="preserve"> </w:t>
      </w:r>
      <w:r w:rsidRPr="00C80AB8">
        <w:rPr>
          <w:rFonts w:ascii="Arial" w:hAnsi="Arial" w:cs="Arial"/>
          <w:sz w:val="18"/>
          <w:lang w:val="es-CO"/>
        </w:rPr>
        <w:t>Documento 02., C. 1.</w:t>
      </w:r>
    </w:p>
  </w:footnote>
  <w:footnote w:id="3">
    <w:p w14:paraId="4A3B2DBF" w14:textId="11D09FD9" w:rsidR="006150A7" w:rsidRPr="00C80AB8" w:rsidRDefault="006150A7" w:rsidP="00C80AB8">
      <w:pPr>
        <w:pStyle w:val="Textonotapie"/>
        <w:jc w:val="both"/>
        <w:rPr>
          <w:rFonts w:ascii="Arial" w:hAnsi="Arial" w:cs="Arial"/>
          <w:sz w:val="18"/>
          <w:lang w:val="es-CO"/>
        </w:rPr>
      </w:pPr>
      <w:r w:rsidRPr="00C80AB8">
        <w:rPr>
          <w:rStyle w:val="Refdenotaalpie"/>
          <w:rFonts w:ascii="Arial" w:hAnsi="Arial" w:cs="Arial"/>
          <w:sz w:val="18"/>
        </w:rPr>
        <w:footnoteRef/>
      </w:r>
      <w:r w:rsidRPr="00C80AB8">
        <w:rPr>
          <w:rFonts w:ascii="Arial" w:hAnsi="Arial" w:cs="Arial"/>
          <w:sz w:val="18"/>
        </w:rPr>
        <w:t xml:space="preserve"> </w:t>
      </w:r>
      <w:r w:rsidRPr="00C80AB8">
        <w:rPr>
          <w:rFonts w:ascii="Arial" w:hAnsi="Arial" w:cs="Arial"/>
          <w:sz w:val="18"/>
          <w:lang w:val="es-CO"/>
        </w:rPr>
        <w:t>Documento 10., C. 1.</w:t>
      </w:r>
    </w:p>
  </w:footnote>
  <w:footnote w:id="4">
    <w:p w14:paraId="57728FED" w14:textId="7E684171" w:rsidR="006150A7" w:rsidRPr="00C80AB8" w:rsidRDefault="006150A7" w:rsidP="00C80AB8">
      <w:pPr>
        <w:pStyle w:val="Textonotapie"/>
        <w:jc w:val="both"/>
        <w:rPr>
          <w:rFonts w:ascii="Arial" w:hAnsi="Arial" w:cs="Arial"/>
          <w:sz w:val="18"/>
          <w:lang w:val="es-CO"/>
        </w:rPr>
      </w:pPr>
      <w:r w:rsidRPr="00C80AB8">
        <w:rPr>
          <w:rStyle w:val="Refdenotaalpie"/>
          <w:rFonts w:ascii="Arial" w:hAnsi="Arial" w:cs="Arial"/>
          <w:sz w:val="18"/>
        </w:rPr>
        <w:footnoteRef/>
      </w:r>
      <w:r w:rsidRPr="00C80AB8">
        <w:rPr>
          <w:rFonts w:ascii="Arial" w:hAnsi="Arial" w:cs="Arial"/>
          <w:sz w:val="18"/>
        </w:rPr>
        <w:t xml:space="preserve"> </w:t>
      </w:r>
      <w:r w:rsidRPr="00C80AB8">
        <w:rPr>
          <w:rFonts w:ascii="Arial" w:hAnsi="Arial" w:cs="Arial"/>
          <w:sz w:val="18"/>
          <w:lang w:val="es-CO"/>
        </w:rPr>
        <w:t>Documento 13., C. 1.</w:t>
      </w:r>
    </w:p>
  </w:footnote>
  <w:footnote w:id="5">
    <w:p w14:paraId="1DBB6630" w14:textId="7B0AEFF6" w:rsidR="006150A7" w:rsidRPr="00C80AB8" w:rsidRDefault="006150A7" w:rsidP="00C80AB8">
      <w:pPr>
        <w:pStyle w:val="Textonotapie"/>
        <w:jc w:val="both"/>
        <w:rPr>
          <w:rFonts w:ascii="Arial" w:hAnsi="Arial" w:cs="Arial"/>
          <w:sz w:val="18"/>
          <w:lang w:val="es-CO"/>
        </w:rPr>
      </w:pPr>
      <w:r w:rsidRPr="00C80AB8">
        <w:rPr>
          <w:rStyle w:val="Refdenotaalpie"/>
          <w:rFonts w:ascii="Arial" w:hAnsi="Arial" w:cs="Arial"/>
          <w:sz w:val="18"/>
        </w:rPr>
        <w:footnoteRef/>
      </w:r>
      <w:r w:rsidRPr="00C80AB8">
        <w:rPr>
          <w:rFonts w:ascii="Arial" w:hAnsi="Arial" w:cs="Arial"/>
          <w:sz w:val="18"/>
        </w:rPr>
        <w:t xml:space="preserve"> </w:t>
      </w:r>
      <w:r w:rsidRPr="00C80AB8">
        <w:rPr>
          <w:rFonts w:ascii="Arial" w:hAnsi="Arial" w:cs="Arial"/>
          <w:sz w:val="18"/>
          <w:lang w:val="es-CO"/>
        </w:rPr>
        <w:t>Documento 15., C. 1.</w:t>
      </w:r>
    </w:p>
  </w:footnote>
  <w:footnote w:id="6">
    <w:p w14:paraId="5EC3C911" w14:textId="0315B92B" w:rsidR="006150A7" w:rsidRPr="00C80AB8" w:rsidRDefault="006150A7" w:rsidP="00C80AB8">
      <w:pPr>
        <w:pStyle w:val="Textonotapie"/>
        <w:jc w:val="both"/>
        <w:rPr>
          <w:rFonts w:ascii="Arial" w:hAnsi="Arial" w:cs="Arial"/>
          <w:sz w:val="18"/>
          <w:lang w:val="es-CO"/>
        </w:rPr>
      </w:pPr>
      <w:r w:rsidRPr="00C80AB8">
        <w:rPr>
          <w:rStyle w:val="Refdenotaalpie"/>
          <w:rFonts w:ascii="Arial" w:hAnsi="Arial" w:cs="Arial"/>
          <w:sz w:val="18"/>
        </w:rPr>
        <w:footnoteRef/>
      </w:r>
      <w:r w:rsidRPr="00C80AB8">
        <w:rPr>
          <w:rFonts w:ascii="Arial" w:hAnsi="Arial" w:cs="Arial"/>
          <w:sz w:val="18"/>
        </w:rPr>
        <w:t xml:space="preserve"> </w:t>
      </w:r>
      <w:r w:rsidRPr="00C80AB8">
        <w:rPr>
          <w:rFonts w:ascii="Arial" w:hAnsi="Arial" w:cs="Arial"/>
          <w:sz w:val="18"/>
          <w:lang w:val="es-CO"/>
        </w:rPr>
        <w:t>Documento 16., C. 1.</w:t>
      </w:r>
    </w:p>
  </w:footnote>
  <w:footnote w:id="7">
    <w:p w14:paraId="4654152D" w14:textId="33246D8B" w:rsidR="006150A7" w:rsidRPr="00C80AB8" w:rsidRDefault="006150A7" w:rsidP="00C80AB8">
      <w:pPr>
        <w:pStyle w:val="Textonotapie"/>
        <w:jc w:val="both"/>
        <w:rPr>
          <w:rFonts w:ascii="Arial" w:hAnsi="Arial" w:cs="Arial"/>
          <w:sz w:val="18"/>
          <w:lang w:val="es-CO"/>
        </w:rPr>
      </w:pPr>
      <w:r w:rsidRPr="00C80AB8">
        <w:rPr>
          <w:rStyle w:val="Refdenotaalpie"/>
          <w:rFonts w:ascii="Arial" w:hAnsi="Arial" w:cs="Arial"/>
          <w:sz w:val="18"/>
        </w:rPr>
        <w:footnoteRef/>
      </w:r>
      <w:r w:rsidRPr="00C80AB8">
        <w:rPr>
          <w:rFonts w:ascii="Arial" w:hAnsi="Arial" w:cs="Arial"/>
          <w:sz w:val="18"/>
        </w:rPr>
        <w:t xml:space="preserve"> </w:t>
      </w:r>
      <w:r w:rsidRPr="00C80AB8">
        <w:rPr>
          <w:rFonts w:ascii="Arial" w:hAnsi="Arial" w:cs="Arial"/>
          <w:sz w:val="18"/>
          <w:lang w:val="es-CO"/>
        </w:rPr>
        <w:t>Documento 24., C. 1.</w:t>
      </w:r>
    </w:p>
  </w:footnote>
  <w:footnote w:id="8">
    <w:p w14:paraId="52CCBBFA" w14:textId="50FA6761" w:rsidR="006150A7" w:rsidRPr="00C80AB8" w:rsidRDefault="006150A7" w:rsidP="00C80AB8">
      <w:pPr>
        <w:pStyle w:val="Textonotapie"/>
        <w:jc w:val="both"/>
        <w:rPr>
          <w:rFonts w:ascii="Arial" w:hAnsi="Arial" w:cs="Arial"/>
          <w:sz w:val="18"/>
          <w:lang w:val="es-CO"/>
        </w:rPr>
      </w:pPr>
      <w:r w:rsidRPr="00C80AB8">
        <w:rPr>
          <w:rStyle w:val="Refdenotaalpie"/>
          <w:rFonts w:ascii="Arial" w:hAnsi="Arial" w:cs="Arial"/>
          <w:sz w:val="18"/>
        </w:rPr>
        <w:footnoteRef/>
      </w:r>
      <w:r w:rsidRPr="00C80AB8">
        <w:rPr>
          <w:rFonts w:ascii="Arial" w:hAnsi="Arial" w:cs="Arial"/>
          <w:sz w:val="18"/>
        </w:rPr>
        <w:t xml:space="preserve"> </w:t>
      </w:r>
      <w:r w:rsidRPr="00C80AB8">
        <w:rPr>
          <w:rFonts w:ascii="Arial" w:hAnsi="Arial" w:cs="Arial"/>
          <w:sz w:val="18"/>
          <w:lang w:val="es-CO"/>
        </w:rPr>
        <w:t>Documento 18., C. 1.</w:t>
      </w:r>
    </w:p>
  </w:footnote>
  <w:footnote w:id="9">
    <w:p w14:paraId="5403BCC7" w14:textId="5E89E118" w:rsidR="006150A7" w:rsidRPr="00C80AB8" w:rsidRDefault="006150A7" w:rsidP="00C80AB8">
      <w:pPr>
        <w:pStyle w:val="Textonotapie"/>
        <w:jc w:val="both"/>
        <w:rPr>
          <w:rFonts w:ascii="Arial" w:hAnsi="Arial" w:cs="Arial"/>
          <w:sz w:val="18"/>
          <w:lang w:val="es-CO"/>
        </w:rPr>
      </w:pPr>
      <w:r w:rsidRPr="00C80AB8">
        <w:rPr>
          <w:rStyle w:val="Refdenotaalpie"/>
          <w:rFonts w:ascii="Arial" w:hAnsi="Arial" w:cs="Arial"/>
          <w:sz w:val="18"/>
        </w:rPr>
        <w:footnoteRef/>
      </w:r>
      <w:r w:rsidRPr="00C80AB8">
        <w:rPr>
          <w:rFonts w:ascii="Arial" w:hAnsi="Arial" w:cs="Arial"/>
          <w:sz w:val="18"/>
        </w:rPr>
        <w:t xml:space="preserve"> </w:t>
      </w:r>
      <w:r w:rsidRPr="00C80AB8">
        <w:rPr>
          <w:rFonts w:ascii="Arial" w:hAnsi="Arial" w:cs="Arial"/>
          <w:sz w:val="18"/>
          <w:lang w:val="es-CO"/>
        </w:rPr>
        <w:t>Documento 19., C. 1.</w:t>
      </w:r>
    </w:p>
  </w:footnote>
  <w:footnote w:id="10">
    <w:p w14:paraId="04771580" w14:textId="66F63DE0" w:rsidR="00A03A1F" w:rsidRPr="00C80AB8" w:rsidRDefault="00A03A1F" w:rsidP="00C80AB8">
      <w:pPr>
        <w:pStyle w:val="Textonotapie"/>
        <w:jc w:val="both"/>
        <w:rPr>
          <w:rFonts w:ascii="Arial" w:hAnsi="Arial" w:cs="Arial"/>
          <w:sz w:val="18"/>
          <w:lang w:val="es-CO"/>
        </w:rPr>
      </w:pPr>
      <w:r w:rsidRPr="00C80AB8">
        <w:rPr>
          <w:rStyle w:val="Refdenotaalpie"/>
          <w:rFonts w:ascii="Arial" w:hAnsi="Arial" w:cs="Arial"/>
          <w:sz w:val="18"/>
        </w:rPr>
        <w:footnoteRef/>
      </w:r>
      <w:r w:rsidRPr="00C80AB8">
        <w:rPr>
          <w:rFonts w:ascii="Arial" w:hAnsi="Arial" w:cs="Arial"/>
          <w:sz w:val="18"/>
        </w:rPr>
        <w:t xml:space="preserve"> TSP.SCF., Auto del 8 de octubre de 2019, M.P. </w:t>
      </w:r>
      <w:proofErr w:type="spellStart"/>
      <w:r w:rsidRPr="00C80AB8">
        <w:rPr>
          <w:rFonts w:ascii="Arial" w:hAnsi="Arial" w:cs="Arial"/>
          <w:sz w:val="18"/>
        </w:rPr>
        <w:t>Duberney</w:t>
      </w:r>
      <w:proofErr w:type="spellEnd"/>
      <w:r w:rsidRPr="00C80AB8">
        <w:rPr>
          <w:rFonts w:ascii="Arial" w:hAnsi="Arial" w:cs="Arial"/>
          <w:sz w:val="18"/>
        </w:rPr>
        <w:t xml:space="preserve"> Grisales Herrera, criterio reiterado en el auto AHC2-0001-2021, M.P. Jaime Alberto Saraza Naranjo. </w:t>
      </w:r>
    </w:p>
  </w:footnote>
  <w:footnote w:id="11">
    <w:p w14:paraId="0EB0BF18" w14:textId="77777777" w:rsidR="00290301" w:rsidRPr="00C80AB8" w:rsidRDefault="00290301" w:rsidP="00C80AB8">
      <w:pPr>
        <w:pStyle w:val="Textonotapie"/>
        <w:jc w:val="both"/>
        <w:rPr>
          <w:rFonts w:ascii="Arial" w:hAnsi="Arial" w:cs="Arial"/>
          <w:sz w:val="18"/>
        </w:rPr>
      </w:pPr>
      <w:r w:rsidRPr="00C80AB8">
        <w:rPr>
          <w:rStyle w:val="Refdenotaalpie"/>
          <w:rFonts w:ascii="Arial" w:hAnsi="Arial" w:cs="Arial"/>
          <w:sz w:val="18"/>
        </w:rPr>
        <w:footnoteRef/>
      </w:r>
      <w:r w:rsidRPr="00C80AB8">
        <w:rPr>
          <w:rFonts w:ascii="Arial" w:hAnsi="Arial" w:cs="Arial"/>
          <w:sz w:val="18"/>
        </w:rPr>
        <w:t xml:space="preserve"> </w:t>
      </w:r>
      <w:r w:rsidRPr="00C80AB8">
        <w:rPr>
          <w:rFonts w:ascii="Arial" w:hAnsi="Arial" w:cs="Arial"/>
          <w:sz w:val="18"/>
          <w:lang w:val="es-CO"/>
        </w:rPr>
        <w:t>CSJ.  Auto del 19-12-2011, MP: José L. Barceló C., No.38085, reiterada en el auto del 18-03-2013, MP: José L.  Bustos M., No.40941.</w:t>
      </w:r>
    </w:p>
  </w:footnote>
  <w:footnote w:id="12">
    <w:p w14:paraId="2D9FA9A7" w14:textId="77777777" w:rsidR="00290301" w:rsidRPr="00C80AB8" w:rsidRDefault="00290301" w:rsidP="00C80AB8">
      <w:pPr>
        <w:pStyle w:val="Textonotapie"/>
        <w:jc w:val="both"/>
        <w:rPr>
          <w:rFonts w:ascii="Arial" w:hAnsi="Arial" w:cs="Arial"/>
          <w:sz w:val="18"/>
        </w:rPr>
      </w:pPr>
      <w:r w:rsidRPr="00C80AB8">
        <w:rPr>
          <w:rStyle w:val="Refdenotaalpie"/>
          <w:rFonts w:ascii="Arial" w:hAnsi="Arial" w:cs="Arial"/>
          <w:sz w:val="18"/>
        </w:rPr>
        <w:footnoteRef/>
      </w:r>
      <w:r w:rsidRPr="00C80AB8">
        <w:rPr>
          <w:rFonts w:ascii="Arial" w:hAnsi="Arial" w:cs="Arial"/>
          <w:sz w:val="18"/>
        </w:rPr>
        <w:t xml:space="preserve"> </w:t>
      </w:r>
      <w:r w:rsidRPr="00C80AB8">
        <w:rPr>
          <w:rFonts w:ascii="Arial" w:hAnsi="Arial" w:cs="Arial"/>
          <w:sz w:val="18"/>
          <w:lang w:val="es-CO"/>
        </w:rPr>
        <w:t>CSJ. Providencia del 31-05-2007, MP: Julio E. Socha S., No.27607.  Pueden consultarse en la misma línea de pensamiento, las siguientes decisiones: (i) 26-03-2007, No.27162; (ii) 11-05-2007, No.27469; (iii) 28-11-2007, No.28836; (iv) 06-09-2007, No.28288; (v) 13-04-2011, No.36239; (vi) 18-04-2011, No. 35642; (vii) 14-09-2011, No.37412; (</w:t>
      </w:r>
      <w:proofErr w:type="spellStart"/>
      <w:r w:rsidRPr="00C80AB8">
        <w:rPr>
          <w:rFonts w:ascii="Arial" w:hAnsi="Arial" w:cs="Arial"/>
          <w:sz w:val="18"/>
          <w:lang w:val="es-CO"/>
        </w:rPr>
        <w:t>viii</w:t>
      </w:r>
      <w:proofErr w:type="spellEnd"/>
      <w:r w:rsidRPr="00C80AB8">
        <w:rPr>
          <w:rFonts w:ascii="Arial" w:hAnsi="Arial" w:cs="Arial"/>
          <w:sz w:val="18"/>
          <w:lang w:val="es-CO"/>
        </w:rPr>
        <w:t>) 19-12-2011, No.38085.</w:t>
      </w:r>
    </w:p>
  </w:footnote>
  <w:footnote w:id="13">
    <w:p w14:paraId="613C2C68" w14:textId="77777777" w:rsidR="00290301" w:rsidRPr="00C80AB8" w:rsidRDefault="00290301" w:rsidP="00C80AB8">
      <w:pPr>
        <w:pStyle w:val="Textonotapie"/>
        <w:jc w:val="both"/>
        <w:rPr>
          <w:rFonts w:ascii="Arial" w:hAnsi="Arial" w:cs="Arial"/>
          <w:sz w:val="18"/>
          <w:lang w:val="es-CO"/>
        </w:rPr>
      </w:pPr>
      <w:r w:rsidRPr="00C80AB8">
        <w:rPr>
          <w:rStyle w:val="Refdenotaalpie"/>
          <w:rFonts w:ascii="Arial" w:hAnsi="Arial" w:cs="Arial"/>
          <w:sz w:val="18"/>
        </w:rPr>
        <w:footnoteRef/>
      </w:r>
      <w:r w:rsidRPr="00C80AB8">
        <w:rPr>
          <w:rFonts w:ascii="Arial" w:hAnsi="Arial" w:cs="Arial"/>
          <w:sz w:val="18"/>
        </w:rPr>
        <w:t xml:space="preserve"> </w:t>
      </w:r>
      <w:r w:rsidRPr="00C80AB8">
        <w:rPr>
          <w:rFonts w:ascii="Arial" w:hAnsi="Arial" w:cs="Arial"/>
          <w:sz w:val="18"/>
          <w:lang w:val="es-CO"/>
        </w:rPr>
        <w:t>CSJ. Sala Penal. AHP 7380-2014 y AHP755-2016.</w:t>
      </w:r>
    </w:p>
  </w:footnote>
  <w:footnote w:id="14">
    <w:p w14:paraId="5C806939" w14:textId="77777777" w:rsidR="00290301" w:rsidRPr="00C80AB8" w:rsidRDefault="00290301" w:rsidP="00C80AB8">
      <w:pPr>
        <w:pStyle w:val="Textonotapie"/>
        <w:jc w:val="both"/>
        <w:rPr>
          <w:rFonts w:ascii="Arial" w:hAnsi="Arial" w:cs="Arial"/>
          <w:sz w:val="18"/>
          <w:lang w:val="es-CO"/>
        </w:rPr>
      </w:pPr>
      <w:r w:rsidRPr="00C80AB8">
        <w:rPr>
          <w:rStyle w:val="Refdenotaalpie"/>
          <w:rFonts w:ascii="Arial" w:hAnsi="Arial" w:cs="Arial"/>
          <w:sz w:val="18"/>
        </w:rPr>
        <w:footnoteRef/>
      </w:r>
      <w:r w:rsidRPr="00C80AB8">
        <w:rPr>
          <w:rFonts w:ascii="Arial" w:hAnsi="Arial" w:cs="Arial"/>
          <w:sz w:val="18"/>
        </w:rPr>
        <w:t xml:space="preserve"> </w:t>
      </w:r>
      <w:r w:rsidRPr="00C80AB8">
        <w:rPr>
          <w:rFonts w:ascii="Arial" w:hAnsi="Arial" w:cs="Arial"/>
          <w:sz w:val="18"/>
          <w:lang w:val="es-CO"/>
        </w:rPr>
        <w:t>CSJ. Sala Civil. AHC4634-2015 y AHC2226-2019.</w:t>
      </w:r>
    </w:p>
  </w:footnote>
  <w:footnote w:id="15">
    <w:p w14:paraId="45518892" w14:textId="77777777" w:rsidR="00290301" w:rsidRPr="00C80AB8" w:rsidRDefault="00290301" w:rsidP="00C80AB8">
      <w:pPr>
        <w:pStyle w:val="Textonotapie"/>
        <w:jc w:val="both"/>
        <w:rPr>
          <w:rFonts w:ascii="Arial" w:hAnsi="Arial" w:cs="Arial"/>
          <w:sz w:val="18"/>
          <w:lang w:val="en-GB"/>
        </w:rPr>
      </w:pPr>
      <w:r w:rsidRPr="00C80AB8">
        <w:rPr>
          <w:rStyle w:val="Refdenotaalpie"/>
          <w:rFonts w:ascii="Arial" w:hAnsi="Arial" w:cs="Arial"/>
          <w:sz w:val="18"/>
        </w:rPr>
        <w:footnoteRef/>
      </w:r>
      <w:r w:rsidRPr="00C80AB8">
        <w:rPr>
          <w:rFonts w:ascii="Arial" w:hAnsi="Arial" w:cs="Arial"/>
          <w:sz w:val="18"/>
        </w:rPr>
        <w:t xml:space="preserve"> </w:t>
      </w:r>
      <w:r w:rsidRPr="00C80AB8">
        <w:rPr>
          <w:rFonts w:ascii="Arial" w:hAnsi="Arial" w:cs="Arial"/>
          <w:sz w:val="18"/>
          <w:lang w:val="es-CO"/>
        </w:rPr>
        <w:t>CC. C-301 de 1993; C-010 de 1994; T-260 de 1999 y T-334 de 2000.</w:t>
      </w:r>
    </w:p>
  </w:footnote>
  <w:footnote w:id="16">
    <w:p w14:paraId="63F13336" w14:textId="77777777" w:rsidR="00290301" w:rsidRPr="00C80AB8" w:rsidRDefault="00290301" w:rsidP="00C80AB8">
      <w:pPr>
        <w:pStyle w:val="Textonotapie"/>
        <w:jc w:val="both"/>
        <w:rPr>
          <w:rFonts w:ascii="Arial" w:hAnsi="Arial" w:cs="Arial"/>
          <w:sz w:val="18"/>
          <w:lang w:val="es-ES_tradnl"/>
        </w:rPr>
      </w:pPr>
      <w:r w:rsidRPr="00C80AB8">
        <w:rPr>
          <w:rStyle w:val="Refdenotaalpie"/>
          <w:rFonts w:ascii="Arial" w:hAnsi="Arial" w:cs="Arial"/>
          <w:sz w:val="18"/>
        </w:rPr>
        <w:footnoteRef/>
      </w:r>
      <w:r w:rsidRPr="00C80AB8">
        <w:rPr>
          <w:rFonts w:ascii="Arial" w:hAnsi="Arial" w:cs="Arial"/>
          <w:sz w:val="18"/>
        </w:rPr>
        <w:t xml:space="preserve"> CSJ. Salas Civil, Laboral y Penal. </w:t>
      </w:r>
      <w:r w:rsidRPr="00C80AB8">
        <w:rPr>
          <w:rFonts w:ascii="Arial" w:hAnsi="Arial" w:cs="Arial"/>
          <w:sz w:val="18"/>
          <w:lang w:val="es-CO"/>
        </w:rPr>
        <w:t xml:space="preserve">AHC2226-2019, AHC212-2017, AHC214-2017, </w:t>
      </w:r>
      <w:r w:rsidRPr="00C80AB8">
        <w:rPr>
          <w:rFonts w:ascii="Arial" w:hAnsi="Arial" w:cs="Arial"/>
          <w:sz w:val="18"/>
          <w:lang w:val="es-ES_tradnl"/>
        </w:rPr>
        <w:t xml:space="preserve">AHL8562-2016, </w:t>
      </w:r>
      <w:r w:rsidRPr="00C80AB8">
        <w:rPr>
          <w:rFonts w:ascii="Arial" w:hAnsi="Arial" w:cs="Arial"/>
          <w:sz w:val="18"/>
          <w:lang w:val="es-CO"/>
        </w:rPr>
        <w:t>AHL1931-2019</w:t>
      </w:r>
      <w:r w:rsidRPr="00C80AB8">
        <w:rPr>
          <w:rFonts w:ascii="Arial" w:hAnsi="Arial" w:cs="Arial"/>
          <w:sz w:val="18"/>
          <w:lang w:val="es-ES_tradnl"/>
        </w:rPr>
        <w:t xml:space="preserve"> y AHP1235-2019, entre muchas otras.</w:t>
      </w:r>
    </w:p>
  </w:footnote>
  <w:footnote w:id="17">
    <w:p w14:paraId="0B325901" w14:textId="37F6A378" w:rsidR="006150A7" w:rsidRPr="00C80AB8" w:rsidRDefault="006150A7" w:rsidP="00C80AB8">
      <w:pPr>
        <w:pStyle w:val="Textonotapie"/>
        <w:jc w:val="both"/>
        <w:rPr>
          <w:rFonts w:ascii="Arial" w:hAnsi="Arial" w:cs="Arial"/>
          <w:sz w:val="18"/>
          <w:lang w:val="es-CO"/>
        </w:rPr>
      </w:pPr>
      <w:r w:rsidRPr="00C80AB8">
        <w:rPr>
          <w:rStyle w:val="Refdenotaalpie"/>
          <w:rFonts w:ascii="Arial" w:hAnsi="Arial" w:cs="Arial"/>
          <w:sz w:val="18"/>
        </w:rPr>
        <w:footnoteRef/>
      </w:r>
      <w:r w:rsidRPr="00C80AB8">
        <w:rPr>
          <w:rFonts w:ascii="Arial" w:hAnsi="Arial" w:cs="Arial"/>
          <w:sz w:val="18"/>
        </w:rPr>
        <w:t xml:space="preserve"> Archivo 11, del expediente contentivo en el enlace visible en el Documento 13., C. 1.</w:t>
      </w:r>
    </w:p>
  </w:footnote>
  <w:footnote w:id="18">
    <w:p w14:paraId="00CE02C2" w14:textId="402BA239" w:rsidR="00085721" w:rsidRPr="004E36F7" w:rsidRDefault="00085721" w:rsidP="00C80AB8">
      <w:pPr>
        <w:pStyle w:val="Textonotapie"/>
        <w:jc w:val="both"/>
        <w:rPr>
          <w:rFonts w:ascii="Georgia" w:hAnsi="Georgia"/>
          <w:lang w:val="es-CO"/>
        </w:rPr>
      </w:pPr>
      <w:r w:rsidRPr="00C80AB8">
        <w:rPr>
          <w:rStyle w:val="Refdenotaalpie"/>
          <w:rFonts w:ascii="Arial" w:hAnsi="Arial" w:cs="Arial"/>
          <w:sz w:val="18"/>
        </w:rPr>
        <w:footnoteRef/>
      </w:r>
      <w:r w:rsidRPr="00C80AB8">
        <w:rPr>
          <w:rFonts w:ascii="Arial" w:hAnsi="Arial" w:cs="Arial"/>
          <w:sz w:val="18"/>
        </w:rPr>
        <w:t xml:space="preserve"> CSJ. Auto AHP-1996-2018</w:t>
      </w:r>
      <w:r w:rsidR="007C6797" w:rsidRPr="00C80AB8">
        <w:rPr>
          <w:rFonts w:ascii="Arial" w:hAnsi="Arial" w:cs="Arial"/>
          <w:sz w:val="18"/>
        </w:rPr>
        <w:t>, del 18 de mayo de 2018, M.P. José Luis Barceló Camacho.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14833"/>
    <w:multiLevelType w:val="hybridMultilevel"/>
    <w:tmpl w:val="39049CA8"/>
    <w:lvl w:ilvl="0" w:tplc="E3CA80E4">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 w15:restartNumberingAfterBreak="0">
    <w:nsid w:val="637D7D8F"/>
    <w:multiLevelType w:val="hybridMultilevel"/>
    <w:tmpl w:val="2EBC28D0"/>
    <w:lvl w:ilvl="0" w:tplc="2340D22A">
      <w:start w:val="1"/>
      <w:numFmt w:val="lowerRoman"/>
      <w:lvlText w:val="(%1)"/>
      <w:lvlJc w:val="left"/>
      <w:pPr>
        <w:ind w:left="3555" w:hanging="72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2" w15:restartNumberingAfterBreak="0">
    <w:nsid w:val="6F39396A"/>
    <w:multiLevelType w:val="hybridMultilevel"/>
    <w:tmpl w:val="C6F68538"/>
    <w:lvl w:ilvl="0" w:tplc="90CA109E">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CO"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419"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044"/>
    <w:rsid w:val="0000161A"/>
    <w:rsid w:val="00003359"/>
    <w:rsid w:val="00003BCD"/>
    <w:rsid w:val="00006D3D"/>
    <w:rsid w:val="00013A46"/>
    <w:rsid w:val="00020299"/>
    <w:rsid w:val="00027F07"/>
    <w:rsid w:val="00032126"/>
    <w:rsid w:val="000326A6"/>
    <w:rsid w:val="00033FD2"/>
    <w:rsid w:val="00034ED7"/>
    <w:rsid w:val="000431C0"/>
    <w:rsid w:val="0004483B"/>
    <w:rsid w:val="00046913"/>
    <w:rsid w:val="00053A94"/>
    <w:rsid w:val="00053F48"/>
    <w:rsid w:val="00055409"/>
    <w:rsid w:val="00055776"/>
    <w:rsid w:val="000607E2"/>
    <w:rsid w:val="00061292"/>
    <w:rsid w:val="00074430"/>
    <w:rsid w:val="00074557"/>
    <w:rsid w:val="00075C47"/>
    <w:rsid w:val="00077766"/>
    <w:rsid w:val="00077A5D"/>
    <w:rsid w:val="00080818"/>
    <w:rsid w:val="00085721"/>
    <w:rsid w:val="00092FAD"/>
    <w:rsid w:val="000964A8"/>
    <w:rsid w:val="000966FF"/>
    <w:rsid w:val="000A618F"/>
    <w:rsid w:val="000D0588"/>
    <w:rsid w:val="000D3BE8"/>
    <w:rsid w:val="000D63B6"/>
    <w:rsid w:val="000E068E"/>
    <w:rsid w:val="000E222D"/>
    <w:rsid w:val="000F170A"/>
    <w:rsid w:val="000F3535"/>
    <w:rsid w:val="000F4B5A"/>
    <w:rsid w:val="0010181D"/>
    <w:rsid w:val="00103855"/>
    <w:rsid w:val="001170B4"/>
    <w:rsid w:val="001228A7"/>
    <w:rsid w:val="00131403"/>
    <w:rsid w:val="001421A1"/>
    <w:rsid w:val="00146068"/>
    <w:rsid w:val="0015705D"/>
    <w:rsid w:val="00170829"/>
    <w:rsid w:val="00173AC3"/>
    <w:rsid w:val="00175AAD"/>
    <w:rsid w:val="00181964"/>
    <w:rsid w:val="001824F8"/>
    <w:rsid w:val="00184EDA"/>
    <w:rsid w:val="001865F5"/>
    <w:rsid w:val="001A279D"/>
    <w:rsid w:val="001A2F06"/>
    <w:rsid w:val="001C02F7"/>
    <w:rsid w:val="001C0F55"/>
    <w:rsid w:val="001E23F6"/>
    <w:rsid w:val="001E3579"/>
    <w:rsid w:val="002066EB"/>
    <w:rsid w:val="00211F61"/>
    <w:rsid w:val="00216770"/>
    <w:rsid w:val="0022039C"/>
    <w:rsid w:val="002425E9"/>
    <w:rsid w:val="00253C72"/>
    <w:rsid w:val="00271C50"/>
    <w:rsid w:val="0027557E"/>
    <w:rsid w:val="00276F73"/>
    <w:rsid w:val="00281A52"/>
    <w:rsid w:val="00282427"/>
    <w:rsid w:val="00290301"/>
    <w:rsid w:val="00291AE7"/>
    <w:rsid w:val="00293295"/>
    <w:rsid w:val="002938AD"/>
    <w:rsid w:val="00293D42"/>
    <w:rsid w:val="002A56CC"/>
    <w:rsid w:val="002B111A"/>
    <w:rsid w:val="002B26BB"/>
    <w:rsid w:val="002C1162"/>
    <w:rsid w:val="002C46EF"/>
    <w:rsid w:val="002D6937"/>
    <w:rsid w:val="002E0084"/>
    <w:rsid w:val="002E0B28"/>
    <w:rsid w:val="002E3065"/>
    <w:rsid w:val="00302A66"/>
    <w:rsid w:val="00305959"/>
    <w:rsid w:val="003069A3"/>
    <w:rsid w:val="00312CDD"/>
    <w:rsid w:val="00314901"/>
    <w:rsid w:val="00315127"/>
    <w:rsid w:val="003154B1"/>
    <w:rsid w:val="00315A48"/>
    <w:rsid w:val="00323F66"/>
    <w:rsid w:val="003515B4"/>
    <w:rsid w:val="00351F19"/>
    <w:rsid w:val="003533CD"/>
    <w:rsid w:val="003559F5"/>
    <w:rsid w:val="00361205"/>
    <w:rsid w:val="00365E39"/>
    <w:rsid w:val="00366349"/>
    <w:rsid w:val="003679D3"/>
    <w:rsid w:val="00376BDE"/>
    <w:rsid w:val="003861C8"/>
    <w:rsid w:val="00386AE9"/>
    <w:rsid w:val="00390FCD"/>
    <w:rsid w:val="00394D24"/>
    <w:rsid w:val="00396446"/>
    <w:rsid w:val="003A0E31"/>
    <w:rsid w:val="003A0F8D"/>
    <w:rsid w:val="003A3639"/>
    <w:rsid w:val="003A3903"/>
    <w:rsid w:val="003A7E25"/>
    <w:rsid w:val="003B539C"/>
    <w:rsid w:val="003B6768"/>
    <w:rsid w:val="003C24A6"/>
    <w:rsid w:val="003C2BC4"/>
    <w:rsid w:val="003C5B75"/>
    <w:rsid w:val="003D5D4D"/>
    <w:rsid w:val="003E54BB"/>
    <w:rsid w:val="003F5520"/>
    <w:rsid w:val="0040103B"/>
    <w:rsid w:val="00403802"/>
    <w:rsid w:val="00405E18"/>
    <w:rsid w:val="00406E26"/>
    <w:rsid w:val="0040704B"/>
    <w:rsid w:val="00422311"/>
    <w:rsid w:val="00426DA0"/>
    <w:rsid w:val="0043090A"/>
    <w:rsid w:val="00430A05"/>
    <w:rsid w:val="0043250B"/>
    <w:rsid w:val="00433289"/>
    <w:rsid w:val="004348C9"/>
    <w:rsid w:val="00435DC4"/>
    <w:rsid w:val="004372BC"/>
    <w:rsid w:val="00442EC6"/>
    <w:rsid w:val="00462FE7"/>
    <w:rsid w:val="00467445"/>
    <w:rsid w:val="00475BE1"/>
    <w:rsid w:val="00477CB4"/>
    <w:rsid w:val="004803AE"/>
    <w:rsid w:val="0048151E"/>
    <w:rsid w:val="004A5595"/>
    <w:rsid w:val="004A56E8"/>
    <w:rsid w:val="004B14D4"/>
    <w:rsid w:val="004C2C15"/>
    <w:rsid w:val="004C62CA"/>
    <w:rsid w:val="004D53C1"/>
    <w:rsid w:val="004E0C3B"/>
    <w:rsid w:val="004E36F7"/>
    <w:rsid w:val="004E4A9F"/>
    <w:rsid w:val="004F0D1F"/>
    <w:rsid w:val="004F7764"/>
    <w:rsid w:val="00502D34"/>
    <w:rsid w:val="0050586C"/>
    <w:rsid w:val="00513F83"/>
    <w:rsid w:val="00517F08"/>
    <w:rsid w:val="0052280F"/>
    <w:rsid w:val="00534A58"/>
    <w:rsid w:val="0054043C"/>
    <w:rsid w:val="0055213F"/>
    <w:rsid w:val="0056639A"/>
    <w:rsid w:val="005672A5"/>
    <w:rsid w:val="0056791D"/>
    <w:rsid w:val="00570DA5"/>
    <w:rsid w:val="0057202D"/>
    <w:rsid w:val="00572891"/>
    <w:rsid w:val="005756BE"/>
    <w:rsid w:val="005A042C"/>
    <w:rsid w:val="005B6F1C"/>
    <w:rsid w:val="005B7535"/>
    <w:rsid w:val="005C000E"/>
    <w:rsid w:val="005C314D"/>
    <w:rsid w:val="005C3FEA"/>
    <w:rsid w:val="005D5D35"/>
    <w:rsid w:val="005D653A"/>
    <w:rsid w:val="005E666C"/>
    <w:rsid w:val="005E7F81"/>
    <w:rsid w:val="005F3E08"/>
    <w:rsid w:val="005F6F58"/>
    <w:rsid w:val="005F7FDF"/>
    <w:rsid w:val="00601389"/>
    <w:rsid w:val="00602B75"/>
    <w:rsid w:val="00607281"/>
    <w:rsid w:val="0061104F"/>
    <w:rsid w:val="0061438F"/>
    <w:rsid w:val="006150A7"/>
    <w:rsid w:val="00616474"/>
    <w:rsid w:val="00620F63"/>
    <w:rsid w:val="006230BC"/>
    <w:rsid w:val="006253DE"/>
    <w:rsid w:val="006278C7"/>
    <w:rsid w:val="00634A02"/>
    <w:rsid w:val="00637626"/>
    <w:rsid w:val="00651BCC"/>
    <w:rsid w:val="00657454"/>
    <w:rsid w:val="00662A05"/>
    <w:rsid w:val="00665342"/>
    <w:rsid w:val="00674A22"/>
    <w:rsid w:val="0067794B"/>
    <w:rsid w:val="00682246"/>
    <w:rsid w:val="006844C0"/>
    <w:rsid w:val="006849A6"/>
    <w:rsid w:val="00686F0E"/>
    <w:rsid w:val="0068753F"/>
    <w:rsid w:val="00693B8A"/>
    <w:rsid w:val="00695D52"/>
    <w:rsid w:val="006979C1"/>
    <w:rsid w:val="006A4557"/>
    <w:rsid w:val="006A5728"/>
    <w:rsid w:val="006B0A03"/>
    <w:rsid w:val="006B1E9D"/>
    <w:rsid w:val="006C77CB"/>
    <w:rsid w:val="006D4518"/>
    <w:rsid w:val="006D5D3E"/>
    <w:rsid w:val="006D7F5E"/>
    <w:rsid w:val="006E3819"/>
    <w:rsid w:val="006E4909"/>
    <w:rsid w:val="006E6D69"/>
    <w:rsid w:val="006E7FCC"/>
    <w:rsid w:val="006F5C2C"/>
    <w:rsid w:val="0070049D"/>
    <w:rsid w:val="00703448"/>
    <w:rsid w:val="007045BE"/>
    <w:rsid w:val="00711431"/>
    <w:rsid w:val="00712825"/>
    <w:rsid w:val="00714B45"/>
    <w:rsid w:val="00715900"/>
    <w:rsid w:val="00716CC6"/>
    <w:rsid w:val="00725C2D"/>
    <w:rsid w:val="0074085B"/>
    <w:rsid w:val="00740AC8"/>
    <w:rsid w:val="00742586"/>
    <w:rsid w:val="00745CBD"/>
    <w:rsid w:val="00756044"/>
    <w:rsid w:val="00771673"/>
    <w:rsid w:val="00772BEE"/>
    <w:rsid w:val="00784E3A"/>
    <w:rsid w:val="00796976"/>
    <w:rsid w:val="007A519B"/>
    <w:rsid w:val="007A7676"/>
    <w:rsid w:val="007C069B"/>
    <w:rsid w:val="007C6797"/>
    <w:rsid w:val="007D29D6"/>
    <w:rsid w:val="007D4C6D"/>
    <w:rsid w:val="007E215C"/>
    <w:rsid w:val="007E2470"/>
    <w:rsid w:val="007E4184"/>
    <w:rsid w:val="007E5D4A"/>
    <w:rsid w:val="007F5F4C"/>
    <w:rsid w:val="007F5FE5"/>
    <w:rsid w:val="008028F7"/>
    <w:rsid w:val="00824CA0"/>
    <w:rsid w:val="0083048C"/>
    <w:rsid w:val="008329FC"/>
    <w:rsid w:val="00832A1A"/>
    <w:rsid w:val="008335BD"/>
    <w:rsid w:val="0084210E"/>
    <w:rsid w:val="00843149"/>
    <w:rsid w:val="008521D9"/>
    <w:rsid w:val="008530FA"/>
    <w:rsid w:val="0085452A"/>
    <w:rsid w:val="0086500E"/>
    <w:rsid w:val="00870D1D"/>
    <w:rsid w:val="0087422E"/>
    <w:rsid w:val="00877521"/>
    <w:rsid w:val="00881CC5"/>
    <w:rsid w:val="0088709E"/>
    <w:rsid w:val="00891E39"/>
    <w:rsid w:val="0089363A"/>
    <w:rsid w:val="00894320"/>
    <w:rsid w:val="00896C50"/>
    <w:rsid w:val="008A1CF9"/>
    <w:rsid w:val="008A42CD"/>
    <w:rsid w:val="008A723B"/>
    <w:rsid w:val="008B4181"/>
    <w:rsid w:val="008B5947"/>
    <w:rsid w:val="008B6F83"/>
    <w:rsid w:val="008C5727"/>
    <w:rsid w:val="008C7948"/>
    <w:rsid w:val="008D11CB"/>
    <w:rsid w:val="008D1DDD"/>
    <w:rsid w:val="008D27F3"/>
    <w:rsid w:val="008D5839"/>
    <w:rsid w:val="008E3ED6"/>
    <w:rsid w:val="008E58CD"/>
    <w:rsid w:val="008E60FB"/>
    <w:rsid w:val="008F0C90"/>
    <w:rsid w:val="008F18E2"/>
    <w:rsid w:val="008F33F4"/>
    <w:rsid w:val="008F5463"/>
    <w:rsid w:val="008F6DE3"/>
    <w:rsid w:val="0090236C"/>
    <w:rsid w:val="009033CA"/>
    <w:rsid w:val="00907DCF"/>
    <w:rsid w:val="009106CF"/>
    <w:rsid w:val="009150EF"/>
    <w:rsid w:val="009174B5"/>
    <w:rsid w:val="009202A9"/>
    <w:rsid w:val="00923230"/>
    <w:rsid w:val="009315E7"/>
    <w:rsid w:val="0093530C"/>
    <w:rsid w:val="009430BD"/>
    <w:rsid w:val="00944011"/>
    <w:rsid w:val="0096221B"/>
    <w:rsid w:val="00965D52"/>
    <w:rsid w:val="0098467A"/>
    <w:rsid w:val="00985707"/>
    <w:rsid w:val="00995D17"/>
    <w:rsid w:val="009A199B"/>
    <w:rsid w:val="009A3ACA"/>
    <w:rsid w:val="009A7583"/>
    <w:rsid w:val="009B1D07"/>
    <w:rsid w:val="009B3F5E"/>
    <w:rsid w:val="009C0A55"/>
    <w:rsid w:val="009D089D"/>
    <w:rsid w:val="009D66D5"/>
    <w:rsid w:val="00A03A1F"/>
    <w:rsid w:val="00A102B8"/>
    <w:rsid w:val="00A12467"/>
    <w:rsid w:val="00A21408"/>
    <w:rsid w:val="00A22B0F"/>
    <w:rsid w:val="00A254BE"/>
    <w:rsid w:val="00A30819"/>
    <w:rsid w:val="00A30955"/>
    <w:rsid w:val="00A34818"/>
    <w:rsid w:val="00A50A5E"/>
    <w:rsid w:val="00A51860"/>
    <w:rsid w:val="00A54146"/>
    <w:rsid w:val="00A5626B"/>
    <w:rsid w:val="00A6337E"/>
    <w:rsid w:val="00A64ADF"/>
    <w:rsid w:val="00A64F54"/>
    <w:rsid w:val="00A657E3"/>
    <w:rsid w:val="00A73222"/>
    <w:rsid w:val="00A92999"/>
    <w:rsid w:val="00A97441"/>
    <w:rsid w:val="00AA72D9"/>
    <w:rsid w:val="00AB0C0C"/>
    <w:rsid w:val="00AB191D"/>
    <w:rsid w:val="00AB43A1"/>
    <w:rsid w:val="00AD35F0"/>
    <w:rsid w:val="00AD51C3"/>
    <w:rsid w:val="00AD6B4D"/>
    <w:rsid w:val="00AE0224"/>
    <w:rsid w:val="00AE1ABD"/>
    <w:rsid w:val="00AE22A2"/>
    <w:rsid w:val="00AE2539"/>
    <w:rsid w:val="00B07E8B"/>
    <w:rsid w:val="00B10C83"/>
    <w:rsid w:val="00B1397E"/>
    <w:rsid w:val="00B25FD8"/>
    <w:rsid w:val="00B26579"/>
    <w:rsid w:val="00B27688"/>
    <w:rsid w:val="00B42DBA"/>
    <w:rsid w:val="00B6745F"/>
    <w:rsid w:val="00B700DF"/>
    <w:rsid w:val="00B71930"/>
    <w:rsid w:val="00B71BD7"/>
    <w:rsid w:val="00B7754D"/>
    <w:rsid w:val="00B80B9E"/>
    <w:rsid w:val="00B844BD"/>
    <w:rsid w:val="00B92F45"/>
    <w:rsid w:val="00BA7014"/>
    <w:rsid w:val="00BB04E6"/>
    <w:rsid w:val="00BB3604"/>
    <w:rsid w:val="00BC2599"/>
    <w:rsid w:val="00BC45E3"/>
    <w:rsid w:val="00BC5313"/>
    <w:rsid w:val="00BC6F09"/>
    <w:rsid w:val="00BD3B94"/>
    <w:rsid w:val="00BD4EA8"/>
    <w:rsid w:val="00BF3C77"/>
    <w:rsid w:val="00BF659B"/>
    <w:rsid w:val="00BF7977"/>
    <w:rsid w:val="00C1546D"/>
    <w:rsid w:val="00C1558F"/>
    <w:rsid w:val="00C21E67"/>
    <w:rsid w:val="00C26230"/>
    <w:rsid w:val="00C26446"/>
    <w:rsid w:val="00C321FC"/>
    <w:rsid w:val="00C32BD3"/>
    <w:rsid w:val="00C363FB"/>
    <w:rsid w:val="00C443F1"/>
    <w:rsid w:val="00C444FE"/>
    <w:rsid w:val="00C47BF7"/>
    <w:rsid w:val="00C70616"/>
    <w:rsid w:val="00C75332"/>
    <w:rsid w:val="00C80AB8"/>
    <w:rsid w:val="00C82605"/>
    <w:rsid w:val="00CA072C"/>
    <w:rsid w:val="00CA12A2"/>
    <w:rsid w:val="00CC5651"/>
    <w:rsid w:val="00CC619F"/>
    <w:rsid w:val="00CD219C"/>
    <w:rsid w:val="00CE05C3"/>
    <w:rsid w:val="00CE05FF"/>
    <w:rsid w:val="00CE7104"/>
    <w:rsid w:val="00CF76F9"/>
    <w:rsid w:val="00D04EB1"/>
    <w:rsid w:val="00D11CCF"/>
    <w:rsid w:val="00D161D8"/>
    <w:rsid w:val="00D22B0C"/>
    <w:rsid w:val="00D25908"/>
    <w:rsid w:val="00D33CE9"/>
    <w:rsid w:val="00D3694C"/>
    <w:rsid w:val="00D37C6E"/>
    <w:rsid w:val="00D42F2B"/>
    <w:rsid w:val="00D42FD2"/>
    <w:rsid w:val="00D4369D"/>
    <w:rsid w:val="00D44763"/>
    <w:rsid w:val="00D44DD4"/>
    <w:rsid w:val="00D62727"/>
    <w:rsid w:val="00D63DDB"/>
    <w:rsid w:val="00D648B7"/>
    <w:rsid w:val="00D669F9"/>
    <w:rsid w:val="00D72394"/>
    <w:rsid w:val="00D8236D"/>
    <w:rsid w:val="00D97BAB"/>
    <w:rsid w:val="00DA53C5"/>
    <w:rsid w:val="00DA7561"/>
    <w:rsid w:val="00DA7BB2"/>
    <w:rsid w:val="00DB330D"/>
    <w:rsid w:val="00DD00B4"/>
    <w:rsid w:val="00DD4215"/>
    <w:rsid w:val="00DE02E4"/>
    <w:rsid w:val="00DE2030"/>
    <w:rsid w:val="00E01B05"/>
    <w:rsid w:val="00E03BD2"/>
    <w:rsid w:val="00E07CA6"/>
    <w:rsid w:val="00E106AD"/>
    <w:rsid w:val="00E10990"/>
    <w:rsid w:val="00E17509"/>
    <w:rsid w:val="00E24C1E"/>
    <w:rsid w:val="00E25653"/>
    <w:rsid w:val="00E273F1"/>
    <w:rsid w:val="00E434E7"/>
    <w:rsid w:val="00E44B84"/>
    <w:rsid w:val="00E503E6"/>
    <w:rsid w:val="00E50FD0"/>
    <w:rsid w:val="00E5335E"/>
    <w:rsid w:val="00E53385"/>
    <w:rsid w:val="00E5413A"/>
    <w:rsid w:val="00E54971"/>
    <w:rsid w:val="00E5552D"/>
    <w:rsid w:val="00E7322A"/>
    <w:rsid w:val="00E80335"/>
    <w:rsid w:val="00E8615D"/>
    <w:rsid w:val="00E87CCB"/>
    <w:rsid w:val="00EA2D67"/>
    <w:rsid w:val="00EA3E59"/>
    <w:rsid w:val="00EA3F8D"/>
    <w:rsid w:val="00EB45CC"/>
    <w:rsid w:val="00EC1754"/>
    <w:rsid w:val="00EC38FC"/>
    <w:rsid w:val="00ED3086"/>
    <w:rsid w:val="00ED5877"/>
    <w:rsid w:val="00EE49EA"/>
    <w:rsid w:val="00F0368E"/>
    <w:rsid w:val="00F0575B"/>
    <w:rsid w:val="00F0648E"/>
    <w:rsid w:val="00F16627"/>
    <w:rsid w:val="00F20C45"/>
    <w:rsid w:val="00F24C4D"/>
    <w:rsid w:val="00F25C6C"/>
    <w:rsid w:val="00F264F0"/>
    <w:rsid w:val="00F3068A"/>
    <w:rsid w:val="00F3183F"/>
    <w:rsid w:val="00F43B9E"/>
    <w:rsid w:val="00F43CD2"/>
    <w:rsid w:val="00F44B78"/>
    <w:rsid w:val="00F46E71"/>
    <w:rsid w:val="00F54D10"/>
    <w:rsid w:val="00F60A88"/>
    <w:rsid w:val="00F62AA4"/>
    <w:rsid w:val="00F758E2"/>
    <w:rsid w:val="00F81E70"/>
    <w:rsid w:val="00F84347"/>
    <w:rsid w:val="00FA2B3E"/>
    <w:rsid w:val="00FA3142"/>
    <w:rsid w:val="00FA63DC"/>
    <w:rsid w:val="00FB30E9"/>
    <w:rsid w:val="00FB69AE"/>
    <w:rsid w:val="00FC3953"/>
    <w:rsid w:val="00FC50B7"/>
    <w:rsid w:val="00FD3D0E"/>
    <w:rsid w:val="00FD4D84"/>
    <w:rsid w:val="00FD4DBD"/>
    <w:rsid w:val="00FD617E"/>
    <w:rsid w:val="00FE20DE"/>
    <w:rsid w:val="00FE5F8A"/>
    <w:rsid w:val="00FF14C8"/>
    <w:rsid w:val="00FF31BE"/>
    <w:rsid w:val="00FF5B8E"/>
    <w:rsid w:val="00FF66F2"/>
    <w:rsid w:val="00FF6728"/>
    <w:rsid w:val="04BE1000"/>
    <w:rsid w:val="04FCC17B"/>
    <w:rsid w:val="066F6A3C"/>
    <w:rsid w:val="0B11CC42"/>
    <w:rsid w:val="0CA6611D"/>
    <w:rsid w:val="10658767"/>
    <w:rsid w:val="12A4A059"/>
    <w:rsid w:val="15C7D7B6"/>
    <w:rsid w:val="1A78F8BC"/>
    <w:rsid w:val="20C22928"/>
    <w:rsid w:val="21E0AEB1"/>
    <w:rsid w:val="24A1FEAF"/>
    <w:rsid w:val="250DA2F3"/>
    <w:rsid w:val="2537E002"/>
    <w:rsid w:val="2741EFE6"/>
    <w:rsid w:val="2C2ED517"/>
    <w:rsid w:val="2D971937"/>
    <w:rsid w:val="2F3076CB"/>
    <w:rsid w:val="30D45F3E"/>
    <w:rsid w:val="30E23AED"/>
    <w:rsid w:val="32C5AAA9"/>
    <w:rsid w:val="3ABA6AA7"/>
    <w:rsid w:val="3BB59A28"/>
    <w:rsid w:val="3D76F797"/>
    <w:rsid w:val="3F2CB672"/>
    <w:rsid w:val="4090823F"/>
    <w:rsid w:val="42912840"/>
    <w:rsid w:val="431A8C22"/>
    <w:rsid w:val="46A5212A"/>
    <w:rsid w:val="48FE0796"/>
    <w:rsid w:val="4A4A9552"/>
    <w:rsid w:val="5247C404"/>
    <w:rsid w:val="53D5750F"/>
    <w:rsid w:val="5767E51D"/>
    <w:rsid w:val="57EBE2DF"/>
    <w:rsid w:val="59A1AA03"/>
    <w:rsid w:val="5DA7CDFB"/>
    <w:rsid w:val="5E15EB94"/>
    <w:rsid w:val="5F282C3A"/>
    <w:rsid w:val="61E65D3F"/>
    <w:rsid w:val="65DC38FF"/>
    <w:rsid w:val="67449240"/>
    <w:rsid w:val="69EA20DD"/>
    <w:rsid w:val="6A4977C3"/>
    <w:rsid w:val="6F59F34A"/>
    <w:rsid w:val="711338D8"/>
    <w:rsid w:val="7359C6DA"/>
    <w:rsid w:val="74F3857E"/>
    <w:rsid w:val="760BCA51"/>
    <w:rsid w:val="77D3E02E"/>
    <w:rsid w:val="787C0B51"/>
    <w:rsid w:val="7E0A4B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1958"/>
  <w15:chartTrackingRefBased/>
  <w15:docId w15:val="{3A6B4749-36BE-4E53-A0E4-A14D7C8B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6979C1"/>
    <w:pPr>
      <w:spacing w:before="100" w:beforeAutospacing="1" w:after="100" w:afterAutospacing="1" w:line="240" w:lineRule="auto"/>
      <w:outlineLvl w:val="1"/>
    </w:pPr>
    <w:rPr>
      <w:rFonts w:ascii="Times New Roman" w:eastAsia="Times New Roman" w:hAnsi="Times New Roman" w:cs="Times New Roman"/>
      <w:b/>
      <w:bCs/>
      <w:sz w:val="36"/>
      <w:szCs w:val="3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Texto nota al pie"/>
    <w:basedOn w:val="Normal"/>
    <w:link w:val="TextonotapieCar1"/>
    <w:uiPriority w:val="99"/>
    <w:qFormat/>
    <w:rsid w:val="0075604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notapieCar">
    <w:name w:val="Texto nota pie Car"/>
    <w:aliases w:val="Ref. de nota al pie1 Car,Texto de nota al pie Car,Footnotes refss Car,Appel note de bas de page Car,Ref. de nota al pie 2 Car,referencia nota al pie Car,Nota de pie Car,Texto nota al pie Car,Footnote number Car,4_G Car,16 Point Car"/>
    <w:basedOn w:val="Fuentedeprrafopredeter"/>
    <w:uiPriority w:val="99"/>
    <w:qFormat/>
    <w:rsid w:val="00756044"/>
    <w:rPr>
      <w:sz w:val="20"/>
      <w:szCs w:val="20"/>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4_G,R"/>
    <w:link w:val="4GChar"/>
    <w:uiPriority w:val="99"/>
    <w:qFormat/>
    <w:rsid w:val="00756044"/>
    <w:rPr>
      <w:rFonts w:cs="Times New Roman"/>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qFormat/>
    <w:locked/>
    <w:rsid w:val="00756044"/>
    <w:rPr>
      <w:rFonts w:ascii="Times New Roman" w:eastAsia="Times New Roman" w:hAnsi="Times New Roman" w:cs="Times New Roman"/>
      <w:sz w:val="20"/>
      <w:szCs w:val="20"/>
      <w:lang w:val="es-ES" w:eastAsia="es-ES"/>
    </w:rPr>
  </w:style>
  <w:style w:type="paragraph" w:styleId="Prrafodelista">
    <w:name w:val="List Paragraph"/>
    <w:aliases w:val="Colorful List - Accent 11,Ha,List Paragraph1,lp1"/>
    <w:basedOn w:val="Normal"/>
    <w:link w:val="PrrafodelistaCar"/>
    <w:uiPriority w:val="34"/>
    <w:qFormat/>
    <w:rsid w:val="00DE2030"/>
    <w:pPr>
      <w:spacing w:after="0" w:line="240" w:lineRule="auto"/>
      <w:ind w:left="720"/>
    </w:pPr>
    <w:rPr>
      <w:rFonts w:ascii="Times New Roman" w:eastAsia="Times New Roman" w:hAnsi="Times New Roman" w:cs="Times New Roman"/>
      <w:sz w:val="28"/>
      <w:szCs w:val="20"/>
      <w:lang w:val="es-CO" w:eastAsia="es-ES"/>
    </w:rPr>
  </w:style>
  <w:style w:type="character" w:customStyle="1" w:styleId="PrrafodelistaCar">
    <w:name w:val="Párrafo de lista Car"/>
    <w:aliases w:val="Colorful List - Accent 11 Car,Ha Car,List Paragraph1 Car,lp1 Car"/>
    <w:link w:val="Prrafodelista"/>
    <w:uiPriority w:val="34"/>
    <w:locked/>
    <w:rsid w:val="00DE2030"/>
    <w:rPr>
      <w:rFonts w:ascii="Times New Roman" w:eastAsia="Times New Roman" w:hAnsi="Times New Roman" w:cs="Times New Roman"/>
      <w:sz w:val="28"/>
      <w:szCs w:val="20"/>
      <w:lang w:val="es-CO" w:eastAsia="es-ES"/>
    </w:rPr>
  </w:style>
  <w:style w:type="paragraph" w:styleId="Textodeglobo">
    <w:name w:val="Balloon Text"/>
    <w:basedOn w:val="Normal"/>
    <w:link w:val="TextodegloboCar"/>
    <w:uiPriority w:val="99"/>
    <w:semiHidden/>
    <w:unhideWhenUsed/>
    <w:rsid w:val="008F54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5463"/>
    <w:rPr>
      <w:rFonts w:ascii="Segoe UI" w:hAnsi="Segoe UI" w:cs="Segoe UI"/>
      <w:sz w:val="18"/>
      <w:szCs w:val="18"/>
    </w:rPr>
  </w:style>
  <w:style w:type="paragraph" w:styleId="Encabezado">
    <w:name w:val="header"/>
    <w:basedOn w:val="Normal"/>
    <w:link w:val="EncabezadoCar"/>
    <w:uiPriority w:val="99"/>
    <w:unhideWhenUsed/>
    <w:rsid w:val="001708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0829"/>
  </w:style>
  <w:style w:type="paragraph" w:styleId="Piedepgina">
    <w:name w:val="footer"/>
    <w:basedOn w:val="Normal"/>
    <w:link w:val="PiedepginaCar"/>
    <w:uiPriority w:val="99"/>
    <w:unhideWhenUsed/>
    <w:rsid w:val="001708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0829"/>
  </w:style>
  <w:style w:type="character" w:styleId="Hipervnculo">
    <w:name w:val="Hyperlink"/>
    <w:basedOn w:val="Fuentedeprrafopredeter"/>
    <w:uiPriority w:val="99"/>
    <w:unhideWhenUsed/>
    <w:rsid w:val="00F3183F"/>
    <w:rPr>
      <w:color w:val="0000FF"/>
      <w:u w:val="single"/>
    </w:rPr>
  </w:style>
  <w:style w:type="paragraph" w:styleId="Textoindependiente">
    <w:name w:val="Body Text"/>
    <w:aliases w:val="Car"/>
    <w:basedOn w:val="Normal"/>
    <w:link w:val="TextoindependienteCar"/>
    <w:uiPriority w:val="99"/>
    <w:rsid w:val="00AD6B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288" w:lineRule="atLeast"/>
      <w:jc w:val="both"/>
      <w:textAlignment w:val="baseline"/>
    </w:pPr>
    <w:rPr>
      <w:rFonts w:ascii="Verdana" w:eastAsia="Times New Roman" w:hAnsi="Verdana" w:cs="Times New Roman"/>
      <w:spacing w:val="-3"/>
      <w:sz w:val="20"/>
      <w:szCs w:val="20"/>
      <w:lang w:val="es-ES_tradnl" w:eastAsia="es-ES"/>
    </w:rPr>
  </w:style>
  <w:style w:type="character" w:customStyle="1" w:styleId="TextoindependienteCar">
    <w:name w:val="Texto independiente Car"/>
    <w:aliases w:val="Car Car"/>
    <w:basedOn w:val="Fuentedeprrafopredeter"/>
    <w:link w:val="Textoindependiente"/>
    <w:uiPriority w:val="99"/>
    <w:rsid w:val="00AD6B4D"/>
    <w:rPr>
      <w:rFonts w:ascii="Verdana" w:eastAsia="Times New Roman" w:hAnsi="Verdana" w:cs="Times New Roman"/>
      <w:spacing w:val="-3"/>
      <w:sz w:val="20"/>
      <w:szCs w:val="20"/>
      <w:lang w:val="es-ES_tradnl" w:eastAsia="es-ES"/>
    </w:rPr>
  </w:style>
  <w:style w:type="character" w:styleId="Nmerodepgina">
    <w:name w:val="page number"/>
    <w:uiPriority w:val="99"/>
    <w:rsid w:val="00665342"/>
    <w:rPr>
      <w:rFonts w:cs="Times New Roman"/>
    </w:rPr>
  </w:style>
  <w:style w:type="paragraph" w:customStyle="1" w:styleId="Body">
    <w:name w:val="Body"/>
    <w:rsid w:val="00665342"/>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Arial Unicode MS" w:hAnsi="Times New Roman" w:cs="Times New Roman"/>
      <w:color w:val="000000"/>
      <w:sz w:val="28"/>
      <w:szCs w:val="28"/>
      <w:u w:color="000000"/>
      <w:lang w:val="es-ES" w:eastAsia="es-ES"/>
    </w:rPr>
  </w:style>
  <w:style w:type="paragraph" w:styleId="NormalWeb">
    <w:name w:val="Normal (Web)"/>
    <w:basedOn w:val="Normal"/>
    <w:uiPriority w:val="99"/>
    <w:semiHidden/>
    <w:unhideWhenUsed/>
    <w:rsid w:val="00F84347"/>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character" w:customStyle="1" w:styleId="Ttulo2Car">
    <w:name w:val="Título 2 Car"/>
    <w:basedOn w:val="Fuentedeprrafopredeter"/>
    <w:link w:val="Ttulo2"/>
    <w:uiPriority w:val="9"/>
    <w:rsid w:val="006979C1"/>
    <w:rPr>
      <w:rFonts w:ascii="Times New Roman" w:eastAsia="Times New Roman" w:hAnsi="Times New Roman" w:cs="Times New Roman"/>
      <w:b/>
      <w:bCs/>
      <w:sz w:val="36"/>
      <w:szCs w:val="36"/>
      <w:lang w:val="es-CO" w:eastAsia="es-CO"/>
    </w:rPr>
  </w:style>
  <w:style w:type="paragraph" w:styleId="Textoindependiente3">
    <w:name w:val="Body Text 3"/>
    <w:basedOn w:val="Normal"/>
    <w:link w:val="Textoindependiente3Car"/>
    <w:semiHidden/>
    <w:unhideWhenUsed/>
    <w:rsid w:val="00A30955"/>
    <w:pPr>
      <w:overflowPunct w:val="0"/>
      <w:autoSpaceDE w:val="0"/>
      <w:autoSpaceDN w:val="0"/>
      <w:adjustRightInd w:val="0"/>
      <w:spacing w:after="120" w:line="240" w:lineRule="auto"/>
    </w:pPr>
    <w:rPr>
      <w:rFonts w:ascii="Times New Roman" w:eastAsia="Times New Roman" w:hAnsi="Times New Roman" w:cs="Times New Roman"/>
      <w:sz w:val="16"/>
      <w:szCs w:val="16"/>
      <w:lang w:val="es-ES_tradnl" w:eastAsia="es-ES"/>
    </w:rPr>
  </w:style>
  <w:style w:type="character" w:customStyle="1" w:styleId="Textoindependiente3Car">
    <w:name w:val="Texto independiente 3 Car"/>
    <w:basedOn w:val="Fuentedeprrafopredeter"/>
    <w:link w:val="Textoindependiente3"/>
    <w:semiHidden/>
    <w:rsid w:val="00A30955"/>
    <w:rPr>
      <w:rFonts w:ascii="Times New Roman" w:eastAsia="Times New Roman" w:hAnsi="Times New Roman" w:cs="Times New Roman"/>
      <w:sz w:val="16"/>
      <w:szCs w:val="16"/>
      <w:lang w:val="es-ES_tradnl" w:eastAsia="es-ES"/>
    </w:rPr>
  </w:style>
  <w:style w:type="paragraph" w:customStyle="1" w:styleId="Textoindependiente21">
    <w:name w:val="Texto independiente 21"/>
    <w:basedOn w:val="Normal"/>
    <w:rsid w:val="001C0F55"/>
    <w:pPr>
      <w:overflowPunct w:val="0"/>
      <w:autoSpaceDE w:val="0"/>
      <w:autoSpaceDN w:val="0"/>
      <w:adjustRightInd w:val="0"/>
      <w:spacing w:after="0" w:line="360" w:lineRule="auto"/>
      <w:ind w:firstLine="2835"/>
      <w:jc w:val="both"/>
    </w:pPr>
    <w:rPr>
      <w:rFonts w:ascii="Verdana" w:eastAsia="Times New Roman" w:hAnsi="Verdana" w:cs="Times New Roman"/>
      <w:sz w:val="24"/>
      <w:szCs w:val="20"/>
      <w:lang w:val="es-ES" w:eastAsia="es-ES"/>
    </w:rPr>
  </w:style>
  <w:style w:type="character" w:styleId="Mencinsinresolver">
    <w:name w:val="Unresolved Mention"/>
    <w:basedOn w:val="Fuentedeprrafopredeter"/>
    <w:uiPriority w:val="99"/>
    <w:semiHidden/>
    <w:unhideWhenUsed/>
    <w:rsid w:val="008D11CB"/>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9A7583"/>
    <w:pPr>
      <w:spacing w:after="0" w:line="240" w:lineRule="auto"/>
      <w:jc w:val="both"/>
    </w:pPr>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29293">
      <w:bodyDiv w:val="1"/>
      <w:marLeft w:val="0"/>
      <w:marRight w:val="0"/>
      <w:marTop w:val="0"/>
      <w:marBottom w:val="0"/>
      <w:divBdr>
        <w:top w:val="none" w:sz="0" w:space="0" w:color="auto"/>
        <w:left w:val="none" w:sz="0" w:space="0" w:color="auto"/>
        <w:bottom w:val="none" w:sz="0" w:space="0" w:color="auto"/>
        <w:right w:val="none" w:sz="0" w:space="0" w:color="auto"/>
      </w:divBdr>
    </w:div>
    <w:div w:id="322776816">
      <w:bodyDiv w:val="1"/>
      <w:marLeft w:val="0"/>
      <w:marRight w:val="0"/>
      <w:marTop w:val="0"/>
      <w:marBottom w:val="0"/>
      <w:divBdr>
        <w:top w:val="none" w:sz="0" w:space="0" w:color="auto"/>
        <w:left w:val="none" w:sz="0" w:space="0" w:color="auto"/>
        <w:bottom w:val="none" w:sz="0" w:space="0" w:color="auto"/>
        <w:right w:val="none" w:sz="0" w:space="0" w:color="auto"/>
      </w:divBdr>
    </w:div>
    <w:div w:id="676074327">
      <w:bodyDiv w:val="1"/>
      <w:marLeft w:val="0"/>
      <w:marRight w:val="0"/>
      <w:marTop w:val="0"/>
      <w:marBottom w:val="0"/>
      <w:divBdr>
        <w:top w:val="none" w:sz="0" w:space="0" w:color="auto"/>
        <w:left w:val="none" w:sz="0" w:space="0" w:color="auto"/>
        <w:bottom w:val="none" w:sz="0" w:space="0" w:color="auto"/>
        <w:right w:val="none" w:sz="0" w:space="0" w:color="auto"/>
      </w:divBdr>
    </w:div>
    <w:div w:id="745877879">
      <w:bodyDiv w:val="1"/>
      <w:marLeft w:val="0"/>
      <w:marRight w:val="0"/>
      <w:marTop w:val="0"/>
      <w:marBottom w:val="0"/>
      <w:divBdr>
        <w:top w:val="none" w:sz="0" w:space="0" w:color="auto"/>
        <w:left w:val="none" w:sz="0" w:space="0" w:color="auto"/>
        <w:bottom w:val="none" w:sz="0" w:space="0" w:color="auto"/>
        <w:right w:val="none" w:sz="0" w:space="0" w:color="auto"/>
      </w:divBdr>
    </w:div>
    <w:div w:id="768738170">
      <w:bodyDiv w:val="1"/>
      <w:marLeft w:val="0"/>
      <w:marRight w:val="0"/>
      <w:marTop w:val="0"/>
      <w:marBottom w:val="0"/>
      <w:divBdr>
        <w:top w:val="none" w:sz="0" w:space="0" w:color="auto"/>
        <w:left w:val="none" w:sz="0" w:space="0" w:color="auto"/>
        <w:bottom w:val="none" w:sz="0" w:space="0" w:color="auto"/>
        <w:right w:val="none" w:sz="0" w:space="0" w:color="auto"/>
      </w:divBdr>
    </w:div>
    <w:div w:id="832834835">
      <w:bodyDiv w:val="1"/>
      <w:marLeft w:val="0"/>
      <w:marRight w:val="0"/>
      <w:marTop w:val="0"/>
      <w:marBottom w:val="0"/>
      <w:divBdr>
        <w:top w:val="none" w:sz="0" w:space="0" w:color="auto"/>
        <w:left w:val="none" w:sz="0" w:space="0" w:color="auto"/>
        <w:bottom w:val="none" w:sz="0" w:space="0" w:color="auto"/>
        <w:right w:val="none" w:sz="0" w:space="0" w:color="auto"/>
      </w:divBdr>
    </w:div>
    <w:div w:id="889923327">
      <w:bodyDiv w:val="1"/>
      <w:marLeft w:val="0"/>
      <w:marRight w:val="0"/>
      <w:marTop w:val="0"/>
      <w:marBottom w:val="0"/>
      <w:divBdr>
        <w:top w:val="none" w:sz="0" w:space="0" w:color="auto"/>
        <w:left w:val="none" w:sz="0" w:space="0" w:color="auto"/>
        <w:bottom w:val="none" w:sz="0" w:space="0" w:color="auto"/>
        <w:right w:val="none" w:sz="0" w:space="0" w:color="auto"/>
      </w:divBdr>
    </w:div>
    <w:div w:id="909462897">
      <w:bodyDiv w:val="1"/>
      <w:marLeft w:val="0"/>
      <w:marRight w:val="0"/>
      <w:marTop w:val="0"/>
      <w:marBottom w:val="0"/>
      <w:divBdr>
        <w:top w:val="none" w:sz="0" w:space="0" w:color="auto"/>
        <w:left w:val="none" w:sz="0" w:space="0" w:color="auto"/>
        <w:bottom w:val="none" w:sz="0" w:space="0" w:color="auto"/>
        <w:right w:val="none" w:sz="0" w:space="0" w:color="auto"/>
      </w:divBdr>
    </w:div>
    <w:div w:id="970207024">
      <w:bodyDiv w:val="1"/>
      <w:marLeft w:val="0"/>
      <w:marRight w:val="0"/>
      <w:marTop w:val="0"/>
      <w:marBottom w:val="0"/>
      <w:divBdr>
        <w:top w:val="none" w:sz="0" w:space="0" w:color="auto"/>
        <w:left w:val="none" w:sz="0" w:space="0" w:color="auto"/>
        <w:bottom w:val="none" w:sz="0" w:space="0" w:color="auto"/>
        <w:right w:val="none" w:sz="0" w:space="0" w:color="auto"/>
      </w:divBdr>
    </w:div>
    <w:div w:id="1541015333">
      <w:bodyDiv w:val="1"/>
      <w:marLeft w:val="0"/>
      <w:marRight w:val="0"/>
      <w:marTop w:val="0"/>
      <w:marBottom w:val="0"/>
      <w:divBdr>
        <w:top w:val="none" w:sz="0" w:space="0" w:color="auto"/>
        <w:left w:val="none" w:sz="0" w:space="0" w:color="auto"/>
        <w:bottom w:val="none" w:sz="0" w:space="0" w:color="auto"/>
        <w:right w:val="none" w:sz="0" w:space="0" w:color="auto"/>
      </w:divBdr>
    </w:div>
    <w:div w:id="1760560319">
      <w:bodyDiv w:val="1"/>
      <w:marLeft w:val="0"/>
      <w:marRight w:val="0"/>
      <w:marTop w:val="0"/>
      <w:marBottom w:val="0"/>
      <w:divBdr>
        <w:top w:val="none" w:sz="0" w:space="0" w:color="auto"/>
        <w:left w:val="none" w:sz="0" w:space="0" w:color="auto"/>
        <w:bottom w:val="none" w:sz="0" w:space="0" w:color="auto"/>
        <w:right w:val="none" w:sz="0" w:space="0" w:color="auto"/>
      </w:divBdr>
    </w:div>
    <w:div w:id="211498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45f4ef-a5bd-4dbd-ab8f-e69291a39b0c" xsi:nil="true"/>
    <lcf76f155ced4ddcb4097134ff3c332f xmlns="930c81f1-e9ca-4bc6-a442-7e43bfe2584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0D3CA8A8F104B46A609B35E2806C01D" ma:contentTypeVersion="14" ma:contentTypeDescription="Crear nuevo documento." ma:contentTypeScope="" ma:versionID="e1ebe4487b624534dd424cea98b39886">
  <xsd:schema xmlns:xsd="http://www.w3.org/2001/XMLSchema" xmlns:xs="http://www.w3.org/2001/XMLSchema" xmlns:p="http://schemas.microsoft.com/office/2006/metadata/properties" xmlns:ns2="930c81f1-e9ca-4bc6-a442-7e43bfe25841" xmlns:ns3="9845f4ef-a5bd-4dbd-ab8f-e69291a39b0c" targetNamespace="http://schemas.microsoft.com/office/2006/metadata/properties" ma:root="true" ma:fieldsID="ef9149ec6173224bcfea1aa6528206d7" ns2:_="" ns3:_="">
    <xsd:import namespace="930c81f1-e9ca-4bc6-a442-7e43bfe25841"/>
    <xsd:import namespace="9845f4ef-a5bd-4dbd-ab8f-e69291a39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c81f1-e9ca-4bc6-a442-7e43bfe25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45f4ef-a5bd-4dbd-ab8f-e69291a39b0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099792c6-f27b-4e16-90a0-038589a113ab}" ma:internalName="TaxCatchAll" ma:showField="CatchAllData" ma:web="9845f4ef-a5bd-4dbd-ab8f-e69291a39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C082C-12BB-49F6-9BF3-0D62CDEE5123}">
  <ds:schemaRefs>
    <ds:schemaRef ds:uri="http://schemas.microsoft.com/office/2006/metadata/properties"/>
    <ds:schemaRef ds:uri="http://schemas.microsoft.com/office/infopath/2007/PartnerControls"/>
    <ds:schemaRef ds:uri="9845f4ef-a5bd-4dbd-ab8f-e69291a39b0c"/>
    <ds:schemaRef ds:uri="930c81f1-e9ca-4bc6-a442-7e43bfe25841"/>
  </ds:schemaRefs>
</ds:datastoreItem>
</file>

<file path=customXml/itemProps2.xml><?xml version="1.0" encoding="utf-8"?>
<ds:datastoreItem xmlns:ds="http://schemas.openxmlformats.org/officeDocument/2006/customXml" ds:itemID="{03C1483A-74D2-43BC-AC9D-87064B925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c81f1-e9ca-4bc6-a442-7e43bfe25841"/>
    <ds:schemaRef ds:uri="9845f4ef-a5bd-4dbd-ab8f-e69291a3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9A6980-D705-4E8A-A798-84BFFE1461A2}">
  <ds:schemaRefs>
    <ds:schemaRef ds:uri="http://schemas.microsoft.com/sharepoint/v3/contenttype/forms"/>
  </ds:schemaRefs>
</ds:datastoreItem>
</file>

<file path=customXml/itemProps4.xml><?xml version="1.0" encoding="utf-8"?>
<ds:datastoreItem xmlns:ds="http://schemas.openxmlformats.org/officeDocument/2006/customXml" ds:itemID="{961D8C06-F589-4D37-9BF0-91B18CA9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2698</Words>
  <Characters>14844</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dc:description/>
  <cp:lastModifiedBy>Hermides Alonso Gaviria Ocampo</cp:lastModifiedBy>
  <cp:revision>8</cp:revision>
  <cp:lastPrinted>2019-04-25T12:29:00Z</cp:lastPrinted>
  <dcterms:created xsi:type="dcterms:W3CDTF">2023-05-11T20:02:00Z</dcterms:created>
  <dcterms:modified xsi:type="dcterms:W3CDTF">2023-07-05T18:14:00Z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0x01010050D3CA8A8F104B46A609B35E2806C01D</vt:lpwstr>
  </property>
  <property fmtid="{D5CDD505-2E9C-101B-9397-08002B2CF9AE}" pid="3" name="MediaServiceImageTags">
    <vt:lpwstr/>
  </property>
</Properties>
</file>