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CD7C8" w14:textId="77777777" w:rsidR="00985F05" w:rsidRPr="00985F05" w:rsidRDefault="00985F05" w:rsidP="00985F05">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line="240" w:lineRule="auto"/>
        <w:jc w:val="both"/>
        <w:rPr>
          <w:rFonts w:eastAsia="Times New Roman"/>
          <w:color w:val="FF0000"/>
          <w:spacing w:val="-4"/>
          <w:sz w:val="18"/>
          <w:szCs w:val="18"/>
          <w:lang w:val="es-419" w:eastAsia="fr-FR"/>
        </w:rPr>
      </w:pPr>
      <w:bookmarkStart w:id="0" w:name="_heading=h.gjdgxs" w:colFirst="0" w:colLast="0"/>
      <w:bookmarkEnd w:id="0"/>
      <w:r w:rsidRPr="00985F05">
        <w:rPr>
          <w:rFonts w:eastAsia="Times New Roman"/>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9EEE64E" w14:textId="77777777" w:rsidR="00985F05" w:rsidRPr="00985F05" w:rsidRDefault="00985F05" w:rsidP="00985F05">
      <w:pPr>
        <w:widowControl w:val="0"/>
        <w:autoSpaceDE w:val="0"/>
        <w:autoSpaceDN w:val="0"/>
        <w:spacing w:line="240" w:lineRule="auto"/>
        <w:jc w:val="both"/>
        <w:rPr>
          <w:rFonts w:eastAsia="Times New Roman"/>
          <w:sz w:val="20"/>
          <w:szCs w:val="20"/>
          <w:lang w:val="es-419" w:eastAsia="es-ES"/>
        </w:rPr>
      </w:pPr>
    </w:p>
    <w:p w14:paraId="01E0C8D9" w14:textId="0BDFAAC6" w:rsidR="00B100AB" w:rsidRPr="00E37B99" w:rsidRDefault="00B100AB" w:rsidP="00B100AB">
      <w:pPr>
        <w:widowControl w:val="0"/>
        <w:autoSpaceDE w:val="0"/>
        <w:autoSpaceDN w:val="0"/>
        <w:spacing w:line="240" w:lineRule="auto"/>
        <w:jc w:val="both"/>
        <w:rPr>
          <w:rFonts w:eastAsia="Times New Roman"/>
          <w:sz w:val="20"/>
          <w:szCs w:val="20"/>
          <w:lang w:val="es-419" w:eastAsia="es-ES"/>
        </w:rPr>
      </w:pPr>
      <w:r w:rsidRPr="00E37B99">
        <w:rPr>
          <w:rFonts w:eastAsia="Times New Roman"/>
          <w:b/>
          <w:bCs/>
          <w:iCs/>
          <w:sz w:val="20"/>
          <w:szCs w:val="20"/>
          <w:u w:val="single"/>
          <w:lang w:val="es-419" w:eastAsia="fr-FR"/>
        </w:rPr>
        <w:t>TEMAS:</w:t>
      </w:r>
      <w:r w:rsidRPr="00E37B99">
        <w:rPr>
          <w:rFonts w:eastAsia="Times New Roman"/>
          <w:b/>
          <w:bCs/>
          <w:iCs/>
          <w:sz w:val="20"/>
          <w:szCs w:val="20"/>
          <w:lang w:val="es-419" w:eastAsia="fr-FR"/>
        </w:rPr>
        <w:tab/>
      </w:r>
      <w:r>
        <w:rPr>
          <w:rFonts w:eastAsia="Times New Roman"/>
          <w:b/>
          <w:bCs/>
          <w:iCs/>
          <w:sz w:val="20"/>
          <w:szCs w:val="20"/>
          <w:lang w:val="es-419" w:eastAsia="fr-FR"/>
        </w:rPr>
        <w:t xml:space="preserve">RESPONSABILIDAD CIVIL EXTRACONTRACTUAL </w:t>
      </w:r>
      <w:r w:rsidRPr="00E37B99">
        <w:rPr>
          <w:rFonts w:eastAsia="Times New Roman"/>
          <w:b/>
          <w:bCs/>
          <w:iCs/>
          <w:sz w:val="20"/>
          <w:szCs w:val="20"/>
          <w:lang w:val="es-419" w:eastAsia="fr-FR"/>
        </w:rPr>
        <w:t xml:space="preserve">/ </w:t>
      </w:r>
      <w:r>
        <w:rPr>
          <w:rFonts w:eastAsia="Times New Roman"/>
          <w:b/>
          <w:bCs/>
          <w:iCs/>
          <w:sz w:val="20"/>
          <w:szCs w:val="20"/>
          <w:lang w:val="es-419" w:eastAsia="fr-FR"/>
        </w:rPr>
        <w:t xml:space="preserve">ACTIVIDAD PELIGROSA / CONDUCCIÓN DE VEHÍCULOS / PRESUNCIÓN DE CULPA / CARGA PROBATORIA DEL DEMANDADO / DEMOSTRAR UNA EXIMENTE DE RESPONSABILIDAD / </w:t>
      </w:r>
      <w:r w:rsidR="009A46B9">
        <w:rPr>
          <w:rFonts w:eastAsia="Times New Roman"/>
          <w:b/>
          <w:bCs/>
          <w:iCs/>
          <w:sz w:val="20"/>
          <w:szCs w:val="20"/>
          <w:lang w:val="es-419" w:eastAsia="fr-FR"/>
        </w:rPr>
        <w:t>CONCURRENCIA DE CUL</w:t>
      </w:r>
      <w:bookmarkStart w:id="1" w:name="_GoBack"/>
      <w:bookmarkEnd w:id="1"/>
      <w:r w:rsidR="009A46B9">
        <w:rPr>
          <w:rFonts w:eastAsia="Times New Roman"/>
          <w:b/>
          <w:bCs/>
          <w:iCs/>
          <w:sz w:val="20"/>
          <w:szCs w:val="20"/>
          <w:lang w:val="es-419" w:eastAsia="fr-FR"/>
        </w:rPr>
        <w:t>PAS</w:t>
      </w:r>
      <w:r>
        <w:rPr>
          <w:rFonts w:eastAsia="Times New Roman"/>
          <w:b/>
          <w:bCs/>
          <w:iCs/>
          <w:sz w:val="20"/>
          <w:szCs w:val="20"/>
          <w:lang w:val="es-419" w:eastAsia="fr-FR"/>
        </w:rPr>
        <w:t>.</w:t>
      </w:r>
    </w:p>
    <w:p w14:paraId="2785CC3B" w14:textId="77777777" w:rsidR="00B100AB" w:rsidRDefault="00B100AB" w:rsidP="00B100AB">
      <w:pPr>
        <w:widowControl w:val="0"/>
        <w:autoSpaceDE w:val="0"/>
        <w:autoSpaceDN w:val="0"/>
        <w:spacing w:line="240" w:lineRule="auto"/>
        <w:jc w:val="both"/>
        <w:rPr>
          <w:rFonts w:eastAsia="Times New Roman"/>
          <w:sz w:val="20"/>
          <w:szCs w:val="20"/>
          <w:lang w:val="es-ES" w:eastAsia="es-ES"/>
        </w:rPr>
      </w:pPr>
    </w:p>
    <w:p w14:paraId="52F8AB08" w14:textId="77777777" w:rsidR="00B100AB" w:rsidRPr="00B05329" w:rsidRDefault="00B100AB" w:rsidP="00B100AB">
      <w:pPr>
        <w:widowControl w:val="0"/>
        <w:autoSpaceDE w:val="0"/>
        <w:autoSpaceDN w:val="0"/>
        <w:spacing w:line="240" w:lineRule="auto"/>
        <w:jc w:val="both"/>
        <w:rPr>
          <w:rFonts w:eastAsia="Times New Roman"/>
          <w:sz w:val="20"/>
          <w:szCs w:val="20"/>
          <w:lang w:val="es-ES" w:eastAsia="es-ES"/>
        </w:rPr>
      </w:pPr>
      <w:r>
        <w:rPr>
          <w:rFonts w:eastAsia="Times New Roman"/>
          <w:sz w:val="20"/>
          <w:szCs w:val="20"/>
          <w:lang w:val="es-ES" w:eastAsia="es-ES"/>
        </w:rPr>
        <w:t xml:space="preserve">… </w:t>
      </w:r>
      <w:r w:rsidRPr="00B05329">
        <w:rPr>
          <w:rFonts w:eastAsia="Times New Roman"/>
          <w:sz w:val="20"/>
          <w:szCs w:val="20"/>
          <w:lang w:val="es-ES" w:eastAsia="es-ES"/>
        </w:rPr>
        <w:t>quien causa un daño a otro debe resarcirlo, como enseña el artículo 2341 del Código Civil, siempre que se demuestre, y esa es carga de quien la invoca, que hubo el hecho, que medió culpa del agente, que hubo un daño y que entre este y el hecho existió un nexo causal.</w:t>
      </w:r>
    </w:p>
    <w:p w14:paraId="28C63A35" w14:textId="77777777" w:rsidR="00B100AB" w:rsidRPr="00B05329" w:rsidRDefault="00B100AB" w:rsidP="00B100AB">
      <w:pPr>
        <w:widowControl w:val="0"/>
        <w:autoSpaceDE w:val="0"/>
        <w:autoSpaceDN w:val="0"/>
        <w:spacing w:line="240" w:lineRule="auto"/>
        <w:jc w:val="both"/>
        <w:rPr>
          <w:rFonts w:eastAsia="Times New Roman"/>
          <w:sz w:val="20"/>
          <w:szCs w:val="20"/>
          <w:lang w:val="es-ES" w:eastAsia="es-ES"/>
        </w:rPr>
      </w:pPr>
    </w:p>
    <w:p w14:paraId="57B3D719" w14:textId="77777777" w:rsidR="00B100AB" w:rsidRDefault="00B100AB" w:rsidP="00B100AB">
      <w:pPr>
        <w:widowControl w:val="0"/>
        <w:autoSpaceDE w:val="0"/>
        <w:autoSpaceDN w:val="0"/>
        <w:spacing w:line="240" w:lineRule="auto"/>
        <w:jc w:val="both"/>
        <w:rPr>
          <w:rFonts w:eastAsia="Times New Roman"/>
          <w:sz w:val="20"/>
          <w:szCs w:val="20"/>
          <w:lang w:val="es-ES" w:eastAsia="es-ES"/>
        </w:rPr>
      </w:pPr>
      <w:r w:rsidRPr="00B05329">
        <w:rPr>
          <w:rFonts w:eastAsia="Times New Roman"/>
          <w:sz w:val="20"/>
          <w:szCs w:val="20"/>
          <w:lang w:val="es-ES" w:eastAsia="es-ES"/>
        </w:rPr>
        <w:t>Y si se trata del ejercicio de una actividad peligrosa, de aquellas que enuncia el artículo 2356 del mismo estatuto, se aligera la carga probatoria del demandante, porque tradicionalmente se ha dicho que lleva inserta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 es decir, que la discusión se da en el ámbito de la causalidad y no de la culpabilidad.</w:t>
      </w:r>
    </w:p>
    <w:p w14:paraId="294FBDBD" w14:textId="77777777" w:rsidR="00B100AB" w:rsidRDefault="00B100AB" w:rsidP="00B100AB">
      <w:pPr>
        <w:widowControl w:val="0"/>
        <w:autoSpaceDE w:val="0"/>
        <w:autoSpaceDN w:val="0"/>
        <w:spacing w:line="240" w:lineRule="auto"/>
        <w:jc w:val="both"/>
        <w:rPr>
          <w:rFonts w:eastAsia="Times New Roman"/>
          <w:sz w:val="20"/>
          <w:szCs w:val="20"/>
          <w:lang w:val="es-ES" w:eastAsia="es-ES"/>
        </w:rPr>
      </w:pPr>
    </w:p>
    <w:p w14:paraId="732EC576" w14:textId="030C97FF" w:rsidR="00B100AB" w:rsidRPr="00D61653" w:rsidRDefault="009A46B9" w:rsidP="00B100AB">
      <w:pPr>
        <w:widowControl w:val="0"/>
        <w:autoSpaceDE w:val="0"/>
        <w:autoSpaceDN w:val="0"/>
        <w:spacing w:line="240" w:lineRule="auto"/>
        <w:jc w:val="both"/>
        <w:rPr>
          <w:rFonts w:eastAsia="Times New Roman"/>
          <w:sz w:val="20"/>
          <w:szCs w:val="20"/>
          <w:lang w:val="es-ES" w:eastAsia="es-ES"/>
        </w:rPr>
      </w:pPr>
      <w:r>
        <w:rPr>
          <w:rFonts w:eastAsia="Times New Roman"/>
          <w:sz w:val="20"/>
          <w:szCs w:val="20"/>
          <w:lang w:val="es-ES" w:eastAsia="es-ES"/>
        </w:rPr>
        <w:t xml:space="preserve">… </w:t>
      </w:r>
      <w:r w:rsidR="00B100AB" w:rsidRPr="00D61653">
        <w:rPr>
          <w:rFonts w:eastAsia="Times New Roman"/>
          <w:sz w:val="20"/>
          <w:szCs w:val="20"/>
          <w:lang w:val="es-ES" w:eastAsia="es-ES"/>
        </w:rPr>
        <w:t>si la exención de la responsabilidad se hace derivar de la conducta también desplegada por la víctima, es decir, del hecho que se le atribuya, más que de su culpa, cualquier comportamiento que pueda contribuir en todo o en parte al resultado final y que sirva como eximente o como factor de reducción, se ha calificado como hecho exclusivo o parcial de la víctima</w:t>
      </w:r>
      <w:r w:rsidR="00B100AB">
        <w:rPr>
          <w:rFonts w:eastAsia="Times New Roman"/>
          <w:sz w:val="20"/>
          <w:szCs w:val="20"/>
          <w:lang w:val="es-ES" w:eastAsia="es-ES"/>
        </w:rPr>
        <w:t>…</w:t>
      </w:r>
      <w:r w:rsidR="00B100AB" w:rsidRPr="00D61653">
        <w:rPr>
          <w:rFonts w:eastAsia="Times New Roman"/>
          <w:sz w:val="20"/>
          <w:szCs w:val="20"/>
          <w:lang w:val="es-ES" w:eastAsia="es-ES"/>
        </w:rPr>
        <w:t xml:space="preserve"> </w:t>
      </w:r>
    </w:p>
    <w:p w14:paraId="645A3CD8" w14:textId="77777777" w:rsidR="00B100AB" w:rsidRPr="00D61653" w:rsidRDefault="00B100AB" w:rsidP="00B100AB">
      <w:pPr>
        <w:widowControl w:val="0"/>
        <w:autoSpaceDE w:val="0"/>
        <w:autoSpaceDN w:val="0"/>
        <w:spacing w:line="240" w:lineRule="auto"/>
        <w:jc w:val="both"/>
        <w:rPr>
          <w:rFonts w:eastAsia="Times New Roman"/>
          <w:sz w:val="20"/>
          <w:szCs w:val="20"/>
          <w:lang w:val="es-ES" w:eastAsia="es-ES"/>
        </w:rPr>
      </w:pPr>
    </w:p>
    <w:p w14:paraId="74DD29C5" w14:textId="77777777" w:rsidR="00B100AB" w:rsidRDefault="00B100AB" w:rsidP="00B100AB">
      <w:pPr>
        <w:widowControl w:val="0"/>
        <w:autoSpaceDE w:val="0"/>
        <w:autoSpaceDN w:val="0"/>
        <w:spacing w:line="240" w:lineRule="auto"/>
        <w:jc w:val="both"/>
        <w:rPr>
          <w:rFonts w:eastAsia="Times New Roman"/>
          <w:sz w:val="20"/>
          <w:szCs w:val="20"/>
          <w:lang w:val="es-ES" w:eastAsia="es-ES"/>
        </w:rPr>
      </w:pPr>
      <w:r w:rsidRPr="00D61653">
        <w:rPr>
          <w:rFonts w:eastAsia="Times New Roman"/>
          <w:sz w:val="20"/>
          <w:szCs w:val="20"/>
          <w:lang w:val="es-ES" w:eastAsia="es-ES"/>
        </w:rPr>
        <w:t>En tales eventos, no se aniquila la presunción, ni se neutraliza, tampoco se debilita el régimen de culpa presunta, que subsiste en ambos agentes, así que lo que incumbe es demostrarle al juez cuál de tales comportamientos tuvo incidencia causal en la producción del daño</w:t>
      </w:r>
      <w:r>
        <w:rPr>
          <w:rFonts w:eastAsia="Times New Roman"/>
          <w:sz w:val="20"/>
          <w:szCs w:val="20"/>
          <w:lang w:val="es-ES" w:eastAsia="es-ES"/>
        </w:rPr>
        <w:t>…</w:t>
      </w:r>
    </w:p>
    <w:p w14:paraId="67031361" w14:textId="77777777" w:rsidR="00B100AB" w:rsidRPr="00E37B99" w:rsidRDefault="00B100AB" w:rsidP="00B100AB">
      <w:pPr>
        <w:widowControl w:val="0"/>
        <w:autoSpaceDE w:val="0"/>
        <w:autoSpaceDN w:val="0"/>
        <w:spacing w:line="240" w:lineRule="auto"/>
        <w:jc w:val="both"/>
        <w:rPr>
          <w:rFonts w:eastAsia="Times New Roman"/>
          <w:sz w:val="20"/>
          <w:szCs w:val="20"/>
          <w:lang w:val="es-ES" w:eastAsia="es-ES"/>
        </w:rPr>
      </w:pPr>
    </w:p>
    <w:p w14:paraId="6D685F9C" w14:textId="77777777" w:rsidR="00985F05" w:rsidRPr="00985F05" w:rsidRDefault="00985F05" w:rsidP="00985F05">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p>
    <w:p w14:paraId="5828C634" w14:textId="77777777" w:rsidR="00985F05" w:rsidRPr="00985F05" w:rsidRDefault="00985F05" w:rsidP="00985F05">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p>
    <w:p w14:paraId="1ADD85EF" w14:textId="77777777" w:rsidR="00B039D8" w:rsidRPr="00985F05" w:rsidRDefault="00B00754" w:rsidP="00985F05">
      <w:pPr>
        <w:tabs>
          <w:tab w:val="center" w:pos="4419"/>
          <w:tab w:val="right" w:pos="8838"/>
        </w:tabs>
        <w:jc w:val="center"/>
        <w:rPr>
          <w:rFonts w:ascii="Gadugi" w:eastAsia="Bookman Old Style" w:hAnsi="Gadugi" w:cs="Bookman Old Style"/>
          <w:b/>
          <w:sz w:val="24"/>
          <w:szCs w:val="24"/>
        </w:rPr>
      </w:pPr>
      <w:r w:rsidRPr="00985F05">
        <w:rPr>
          <w:rFonts w:ascii="Gadugi" w:eastAsia="Calibri" w:hAnsi="Gadugi" w:cs="Calibri"/>
          <w:noProof/>
          <w:sz w:val="24"/>
          <w:szCs w:val="24"/>
          <w:lang w:val="en-US" w:eastAsia="en-US"/>
        </w:rPr>
        <w:drawing>
          <wp:inline distT="0" distB="0" distL="0" distR="0" wp14:anchorId="52082D36" wp14:editId="1EBB425E">
            <wp:extent cx="1162050" cy="59055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162050" cy="590550"/>
                    </a:xfrm>
                    <a:prstGeom prst="rect">
                      <a:avLst/>
                    </a:prstGeom>
                    <a:ln/>
                  </pic:spPr>
                </pic:pic>
              </a:graphicData>
            </a:graphic>
          </wp:inline>
        </w:drawing>
      </w:r>
    </w:p>
    <w:p w14:paraId="3F67D959" w14:textId="77777777" w:rsidR="00B039D8" w:rsidRPr="00985F05" w:rsidRDefault="00B00754" w:rsidP="00985F05">
      <w:pPr>
        <w:tabs>
          <w:tab w:val="center" w:pos="4419"/>
          <w:tab w:val="right" w:pos="8838"/>
        </w:tabs>
        <w:jc w:val="center"/>
        <w:rPr>
          <w:rFonts w:ascii="Gadugi" w:eastAsia="Bookman Old Style" w:hAnsi="Gadugi" w:cs="Bookman Old Style"/>
          <w:b/>
          <w:sz w:val="24"/>
          <w:szCs w:val="24"/>
        </w:rPr>
      </w:pPr>
      <w:r w:rsidRPr="00985F05">
        <w:rPr>
          <w:rFonts w:ascii="Gadugi" w:eastAsia="Bookman Old Style" w:hAnsi="Gadugi" w:cs="Bookman Old Style"/>
          <w:b/>
          <w:sz w:val="24"/>
          <w:szCs w:val="24"/>
        </w:rPr>
        <w:t>TRIBUNAL SUPERIOR DEL DISTRITO JUDICIAL</w:t>
      </w:r>
    </w:p>
    <w:p w14:paraId="0E09F5AA" w14:textId="77777777" w:rsidR="00B039D8" w:rsidRPr="00985F05" w:rsidRDefault="00B00754" w:rsidP="00985F05">
      <w:pPr>
        <w:tabs>
          <w:tab w:val="center" w:pos="4419"/>
          <w:tab w:val="right" w:pos="8838"/>
        </w:tabs>
        <w:jc w:val="center"/>
        <w:rPr>
          <w:rFonts w:ascii="Gadugi" w:eastAsia="Bookman Old Style" w:hAnsi="Gadugi" w:cs="Bookman Old Style"/>
          <w:b/>
          <w:sz w:val="24"/>
          <w:szCs w:val="24"/>
        </w:rPr>
      </w:pPr>
      <w:r w:rsidRPr="00985F05">
        <w:rPr>
          <w:rFonts w:ascii="Gadugi" w:eastAsia="Bookman Old Style" w:hAnsi="Gadugi" w:cs="Bookman Old Style"/>
          <w:b/>
          <w:sz w:val="24"/>
          <w:szCs w:val="24"/>
        </w:rPr>
        <w:t>PEREIRA</w:t>
      </w:r>
    </w:p>
    <w:p w14:paraId="2F22356E" w14:textId="77777777" w:rsidR="00B039D8" w:rsidRPr="00985F05" w:rsidRDefault="00B00754" w:rsidP="00985F05">
      <w:pPr>
        <w:tabs>
          <w:tab w:val="center" w:pos="4419"/>
          <w:tab w:val="right" w:pos="8838"/>
        </w:tabs>
        <w:jc w:val="center"/>
        <w:rPr>
          <w:rFonts w:ascii="Gadugi" w:eastAsia="Georgia" w:hAnsi="Gadugi" w:cs="Georgia"/>
          <w:b/>
          <w:sz w:val="24"/>
          <w:szCs w:val="24"/>
        </w:rPr>
      </w:pPr>
      <w:r w:rsidRPr="00985F05">
        <w:rPr>
          <w:rFonts w:ascii="Gadugi" w:eastAsia="Bookman Old Style" w:hAnsi="Gadugi" w:cs="Bookman Old Style"/>
          <w:b/>
          <w:sz w:val="24"/>
          <w:szCs w:val="24"/>
        </w:rPr>
        <w:t>SALA CIVIL-FAMILIA</w:t>
      </w:r>
    </w:p>
    <w:p w14:paraId="4E68790E" w14:textId="77777777" w:rsidR="00B039D8" w:rsidRPr="00985F05" w:rsidRDefault="00B039D8" w:rsidP="00985F05">
      <w:pPr>
        <w:keepNext/>
        <w:pBdr>
          <w:top w:val="nil"/>
          <w:left w:val="nil"/>
          <w:bottom w:val="nil"/>
          <w:right w:val="nil"/>
          <w:between w:val="nil"/>
        </w:pBdr>
        <w:tabs>
          <w:tab w:val="left" w:pos="3261"/>
        </w:tabs>
        <w:ind w:firstLine="1701"/>
        <w:rPr>
          <w:rFonts w:ascii="Gadugi" w:eastAsia="Georgia" w:hAnsi="Gadugi" w:cs="Georgia"/>
          <w:b/>
          <w:color w:val="000000"/>
          <w:sz w:val="24"/>
          <w:szCs w:val="24"/>
        </w:rPr>
      </w:pPr>
    </w:p>
    <w:p w14:paraId="18F8DB7D" w14:textId="33091BA0" w:rsidR="00B039D8" w:rsidRPr="00985F05" w:rsidRDefault="00623289" w:rsidP="00985F05">
      <w:pPr>
        <w:tabs>
          <w:tab w:val="left" w:pos="3261"/>
        </w:tabs>
        <w:jc w:val="center"/>
        <w:rPr>
          <w:rFonts w:ascii="Gadugi" w:eastAsia="Georgia" w:hAnsi="Gadugi" w:cs="Georgia"/>
          <w:b/>
          <w:sz w:val="24"/>
          <w:szCs w:val="24"/>
        </w:rPr>
      </w:pPr>
      <w:r w:rsidRPr="00985F05">
        <w:rPr>
          <w:rFonts w:ascii="Gadugi" w:eastAsia="Georgia" w:hAnsi="Gadugi" w:cs="Georgia"/>
          <w:b/>
          <w:sz w:val="24"/>
          <w:szCs w:val="24"/>
        </w:rPr>
        <w:t>SC-</w:t>
      </w:r>
      <w:r w:rsidR="00964D96" w:rsidRPr="00985F05">
        <w:rPr>
          <w:rFonts w:ascii="Gadugi" w:eastAsia="Georgia" w:hAnsi="Gadugi" w:cs="Georgia"/>
          <w:b/>
          <w:sz w:val="24"/>
          <w:szCs w:val="24"/>
        </w:rPr>
        <w:t>0027-</w:t>
      </w:r>
      <w:r w:rsidRPr="00985F05">
        <w:rPr>
          <w:rFonts w:ascii="Gadugi" w:eastAsia="Georgia" w:hAnsi="Gadugi" w:cs="Georgia"/>
          <w:b/>
          <w:sz w:val="24"/>
          <w:szCs w:val="24"/>
        </w:rPr>
        <w:t>2023</w:t>
      </w:r>
    </w:p>
    <w:p w14:paraId="250849C7" w14:textId="77777777" w:rsidR="00623289" w:rsidRPr="00985F05" w:rsidRDefault="00623289" w:rsidP="00985F05">
      <w:pPr>
        <w:tabs>
          <w:tab w:val="left" w:pos="3261"/>
          <w:tab w:val="left" w:pos="3686"/>
          <w:tab w:val="left" w:pos="4536"/>
        </w:tabs>
        <w:ind w:firstLine="1276"/>
        <w:jc w:val="both"/>
        <w:rPr>
          <w:rFonts w:ascii="Gadugi" w:eastAsia="Georgia" w:hAnsi="Gadugi" w:cs="Georgia"/>
          <w:sz w:val="24"/>
          <w:szCs w:val="24"/>
        </w:rPr>
      </w:pPr>
    </w:p>
    <w:p w14:paraId="5DA6F51B" w14:textId="686C7D1A" w:rsidR="00B039D8" w:rsidRPr="00985F05" w:rsidRDefault="00B00754" w:rsidP="00985F05">
      <w:pPr>
        <w:tabs>
          <w:tab w:val="left" w:pos="3261"/>
          <w:tab w:val="left" w:pos="3686"/>
          <w:tab w:val="left" w:pos="4536"/>
        </w:tabs>
        <w:spacing w:line="240" w:lineRule="auto"/>
        <w:ind w:firstLine="1276"/>
        <w:jc w:val="both"/>
        <w:rPr>
          <w:rFonts w:ascii="Gadugi" w:eastAsia="Georgia" w:hAnsi="Gadugi" w:cs="Georgia"/>
          <w:sz w:val="24"/>
          <w:szCs w:val="24"/>
        </w:rPr>
      </w:pPr>
      <w:r w:rsidRPr="00985F05">
        <w:rPr>
          <w:rFonts w:ascii="Gadugi" w:eastAsia="Georgia" w:hAnsi="Gadugi" w:cs="Georgia"/>
          <w:sz w:val="24"/>
          <w:szCs w:val="24"/>
        </w:rPr>
        <w:t xml:space="preserve">Magistrado: </w:t>
      </w:r>
      <w:r w:rsidRPr="00985F05">
        <w:rPr>
          <w:rFonts w:ascii="Gadugi" w:eastAsia="Georgia" w:hAnsi="Gadugi" w:cs="Georgia"/>
          <w:sz w:val="24"/>
          <w:szCs w:val="24"/>
        </w:rPr>
        <w:tab/>
        <w:t>Jaime Alberto Saraza Naranjo</w:t>
      </w:r>
    </w:p>
    <w:p w14:paraId="6915E991" w14:textId="6CDE5D3B" w:rsidR="00B039D8" w:rsidRPr="00985F05" w:rsidRDefault="00B00754" w:rsidP="00985F05">
      <w:pPr>
        <w:tabs>
          <w:tab w:val="left" w:pos="3261"/>
          <w:tab w:val="left" w:pos="3686"/>
          <w:tab w:val="left" w:pos="4536"/>
        </w:tabs>
        <w:spacing w:line="240" w:lineRule="auto"/>
        <w:ind w:firstLine="1276"/>
        <w:jc w:val="both"/>
        <w:rPr>
          <w:rFonts w:ascii="Gadugi" w:eastAsia="Georgia" w:hAnsi="Gadugi" w:cs="Georgia"/>
          <w:sz w:val="24"/>
          <w:szCs w:val="24"/>
        </w:rPr>
      </w:pPr>
      <w:r w:rsidRPr="00985F05">
        <w:rPr>
          <w:rFonts w:ascii="Gadugi" w:eastAsia="Georgia" w:hAnsi="Gadugi" w:cs="Georgia"/>
          <w:sz w:val="24"/>
          <w:szCs w:val="24"/>
        </w:rPr>
        <w:t xml:space="preserve">Pereira, </w:t>
      </w:r>
      <w:r w:rsidRPr="00985F05">
        <w:rPr>
          <w:rFonts w:ascii="Gadugi" w:eastAsia="Georgia" w:hAnsi="Gadugi" w:cs="Georgia"/>
          <w:sz w:val="24"/>
          <w:szCs w:val="24"/>
        </w:rPr>
        <w:tab/>
      </w:r>
      <w:r w:rsidR="00964D96" w:rsidRPr="00985F05">
        <w:rPr>
          <w:rFonts w:ascii="Gadugi" w:eastAsia="Georgia" w:hAnsi="Gadugi" w:cs="Georgia"/>
          <w:sz w:val="24"/>
          <w:szCs w:val="24"/>
        </w:rPr>
        <w:t xml:space="preserve">junio dieciséis de dos mil veintitrés </w:t>
      </w:r>
    </w:p>
    <w:p w14:paraId="08AE5AF0" w14:textId="77777777" w:rsidR="00B039D8" w:rsidRPr="00985F05" w:rsidRDefault="00B00754" w:rsidP="009412CA">
      <w:pPr>
        <w:tabs>
          <w:tab w:val="left" w:pos="3261"/>
          <w:tab w:val="left" w:pos="3686"/>
          <w:tab w:val="left" w:pos="4536"/>
        </w:tabs>
        <w:spacing w:line="240" w:lineRule="auto"/>
        <w:ind w:firstLine="1276"/>
        <w:jc w:val="both"/>
        <w:rPr>
          <w:rFonts w:ascii="Gadugi" w:eastAsia="Georgia" w:hAnsi="Gadugi" w:cs="Georgia"/>
          <w:sz w:val="24"/>
          <w:szCs w:val="24"/>
        </w:rPr>
      </w:pPr>
      <w:r w:rsidRPr="00985F05">
        <w:rPr>
          <w:rFonts w:ascii="Gadugi" w:eastAsia="Georgia" w:hAnsi="Gadugi" w:cs="Georgia"/>
          <w:sz w:val="24"/>
          <w:szCs w:val="24"/>
        </w:rPr>
        <w:t xml:space="preserve">Expediente:  </w:t>
      </w:r>
      <w:r w:rsidRPr="00985F05">
        <w:rPr>
          <w:rFonts w:ascii="Gadugi" w:eastAsia="Georgia" w:hAnsi="Gadugi" w:cs="Georgia"/>
          <w:sz w:val="24"/>
          <w:szCs w:val="24"/>
        </w:rPr>
        <w:tab/>
      </w:r>
      <w:r w:rsidRPr="00985F05">
        <w:rPr>
          <w:rFonts w:ascii="Gadugi" w:eastAsia="Georgia" w:hAnsi="Gadugi" w:cs="Georgia"/>
          <w:sz w:val="24"/>
          <w:szCs w:val="24"/>
          <w:highlight w:val="white"/>
        </w:rPr>
        <w:t>66001-31-03-003-2017-00194-02</w:t>
      </w:r>
    </w:p>
    <w:p w14:paraId="23E354F3" w14:textId="1804D3C7" w:rsidR="00B039D8" w:rsidRPr="00985F05" w:rsidRDefault="00B00754" w:rsidP="009412CA">
      <w:pPr>
        <w:tabs>
          <w:tab w:val="left" w:pos="3261"/>
          <w:tab w:val="left" w:pos="3686"/>
          <w:tab w:val="left" w:pos="4536"/>
        </w:tabs>
        <w:spacing w:line="240" w:lineRule="auto"/>
        <w:ind w:firstLine="1276"/>
        <w:jc w:val="both"/>
        <w:rPr>
          <w:rFonts w:ascii="Gadugi" w:eastAsia="Georgia" w:hAnsi="Gadugi" w:cs="Georgia"/>
          <w:sz w:val="24"/>
          <w:szCs w:val="24"/>
        </w:rPr>
      </w:pPr>
      <w:r w:rsidRPr="00985F05">
        <w:rPr>
          <w:rFonts w:ascii="Gadugi" w:eastAsia="Georgia" w:hAnsi="Gadugi" w:cs="Georgia"/>
          <w:sz w:val="24"/>
          <w:szCs w:val="24"/>
        </w:rPr>
        <w:t xml:space="preserve">Proceso: </w:t>
      </w:r>
      <w:r w:rsidRPr="00985F05">
        <w:rPr>
          <w:rFonts w:ascii="Gadugi" w:eastAsia="Georgia" w:hAnsi="Gadugi" w:cs="Georgia"/>
          <w:sz w:val="24"/>
          <w:szCs w:val="24"/>
        </w:rPr>
        <w:tab/>
        <w:t xml:space="preserve">Responsabilidad Civil </w:t>
      </w:r>
      <w:r w:rsidR="00015AED" w:rsidRPr="00985F05">
        <w:rPr>
          <w:rFonts w:ascii="Gadugi" w:eastAsia="Georgia" w:hAnsi="Gadugi" w:cs="Georgia"/>
          <w:sz w:val="24"/>
          <w:szCs w:val="24"/>
        </w:rPr>
        <w:t>Extrac</w:t>
      </w:r>
      <w:r w:rsidRPr="00985F05">
        <w:rPr>
          <w:rFonts w:ascii="Gadugi" w:eastAsia="Georgia" w:hAnsi="Gadugi" w:cs="Georgia"/>
          <w:sz w:val="24"/>
          <w:szCs w:val="24"/>
        </w:rPr>
        <w:t>ontractual</w:t>
      </w:r>
    </w:p>
    <w:p w14:paraId="633EA4C0" w14:textId="329D95B2" w:rsidR="00B039D8" w:rsidRPr="00985F05" w:rsidRDefault="00B00754" w:rsidP="009412CA">
      <w:pPr>
        <w:tabs>
          <w:tab w:val="left" w:pos="3261"/>
          <w:tab w:val="left" w:pos="3686"/>
          <w:tab w:val="left" w:pos="4536"/>
        </w:tabs>
        <w:spacing w:line="240" w:lineRule="auto"/>
        <w:ind w:firstLine="1276"/>
        <w:rPr>
          <w:rFonts w:ascii="Gadugi" w:eastAsia="Georgia" w:hAnsi="Gadugi" w:cs="Georgia"/>
          <w:sz w:val="24"/>
          <w:szCs w:val="24"/>
        </w:rPr>
      </w:pPr>
      <w:r w:rsidRPr="00985F05">
        <w:rPr>
          <w:rFonts w:ascii="Gadugi" w:eastAsia="Georgia" w:hAnsi="Gadugi" w:cs="Georgia"/>
          <w:sz w:val="24"/>
          <w:szCs w:val="24"/>
        </w:rPr>
        <w:t>Demandante:</w:t>
      </w:r>
      <w:r w:rsidRPr="00985F05">
        <w:rPr>
          <w:rFonts w:ascii="Gadugi" w:eastAsia="Georgia" w:hAnsi="Gadugi" w:cs="Georgia"/>
          <w:sz w:val="24"/>
          <w:szCs w:val="24"/>
        </w:rPr>
        <w:tab/>
      </w:r>
      <w:r w:rsidR="00A92E6B" w:rsidRPr="00985F05">
        <w:rPr>
          <w:rFonts w:ascii="Gadugi" w:eastAsia="Georgia" w:hAnsi="Gadugi" w:cs="Georgia"/>
          <w:sz w:val="24"/>
          <w:szCs w:val="24"/>
        </w:rPr>
        <w:t xml:space="preserve">Alejandro Suárez </w:t>
      </w:r>
      <w:r w:rsidR="002F41D1" w:rsidRPr="00985F05">
        <w:rPr>
          <w:rFonts w:ascii="Gadugi" w:eastAsia="Georgia" w:hAnsi="Gadugi" w:cs="Georgia"/>
          <w:sz w:val="24"/>
          <w:szCs w:val="24"/>
        </w:rPr>
        <w:t>y</w:t>
      </w:r>
      <w:r w:rsidR="00985F05">
        <w:rPr>
          <w:rFonts w:ascii="Gadugi" w:eastAsia="Georgia" w:hAnsi="Gadugi" w:cs="Georgia"/>
          <w:sz w:val="24"/>
          <w:szCs w:val="24"/>
        </w:rPr>
        <w:t xml:space="preserve"> otros</w:t>
      </w:r>
    </w:p>
    <w:p w14:paraId="3E5E14E3" w14:textId="394673BE" w:rsidR="0062103C" w:rsidRPr="00985F05" w:rsidRDefault="00B00754" w:rsidP="00985F05">
      <w:pPr>
        <w:tabs>
          <w:tab w:val="left" w:pos="3261"/>
          <w:tab w:val="left" w:pos="3686"/>
          <w:tab w:val="left" w:pos="4536"/>
        </w:tabs>
        <w:spacing w:line="240" w:lineRule="auto"/>
        <w:ind w:firstLine="1276"/>
        <w:jc w:val="both"/>
        <w:rPr>
          <w:rFonts w:ascii="Gadugi" w:eastAsia="Georgia" w:hAnsi="Gadugi" w:cs="Georgia"/>
          <w:sz w:val="24"/>
          <w:szCs w:val="24"/>
          <w:highlight w:val="white"/>
        </w:rPr>
      </w:pPr>
      <w:r w:rsidRPr="00985F05">
        <w:rPr>
          <w:rFonts w:ascii="Gadugi" w:eastAsia="Georgia" w:hAnsi="Gadugi" w:cs="Georgia"/>
          <w:sz w:val="24"/>
          <w:szCs w:val="24"/>
        </w:rPr>
        <w:t>Demandado:</w:t>
      </w:r>
      <w:r w:rsidRPr="00985F05">
        <w:rPr>
          <w:rFonts w:ascii="Gadugi" w:eastAsia="Georgia" w:hAnsi="Gadugi" w:cs="Georgia"/>
          <w:sz w:val="24"/>
          <w:szCs w:val="24"/>
        </w:rPr>
        <w:tab/>
      </w:r>
      <w:r w:rsidR="0062103C" w:rsidRPr="00985F05">
        <w:rPr>
          <w:rFonts w:ascii="Gadugi" w:eastAsia="Georgia" w:hAnsi="Gadugi" w:cs="Georgia"/>
          <w:sz w:val="24"/>
          <w:szCs w:val="24"/>
        </w:rPr>
        <w:t xml:space="preserve">Primer Tax S.A. y </w:t>
      </w:r>
      <w:r w:rsidR="0062103C" w:rsidRPr="00985F05">
        <w:rPr>
          <w:rFonts w:ascii="Gadugi" w:eastAsia="Georgia" w:hAnsi="Gadugi" w:cs="Georgia"/>
          <w:sz w:val="24"/>
          <w:szCs w:val="24"/>
          <w:highlight w:val="white"/>
        </w:rPr>
        <w:t>otros</w:t>
      </w:r>
    </w:p>
    <w:p w14:paraId="2E6C9609" w14:textId="54AB0C82" w:rsidR="00B039D8" w:rsidRPr="00985F05" w:rsidRDefault="00B00754" w:rsidP="00985F05">
      <w:pPr>
        <w:tabs>
          <w:tab w:val="left" w:pos="3261"/>
          <w:tab w:val="left" w:pos="3686"/>
          <w:tab w:val="left" w:pos="4536"/>
        </w:tabs>
        <w:spacing w:line="240" w:lineRule="auto"/>
        <w:ind w:firstLine="1276"/>
        <w:jc w:val="both"/>
        <w:rPr>
          <w:rFonts w:ascii="Gadugi" w:eastAsia="Georgia" w:hAnsi="Gadugi" w:cs="Georgia"/>
          <w:sz w:val="24"/>
          <w:szCs w:val="24"/>
        </w:rPr>
      </w:pPr>
      <w:r w:rsidRPr="00985F05">
        <w:rPr>
          <w:rFonts w:ascii="Gadugi" w:eastAsia="Georgia" w:hAnsi="Gadugi" w:cs="Georgia"/>
          <w:sz w:val="24"/>
          <w:szCs w:val="24"/>
        </w:rPr>
        <w:t xml:space="preserve">Acta Nro. </w:t>
      </w:r>
      <w:r w:rsidRPr="00985F05">
        <w:rPr>
          <w:rFonts w:ascii="Gadugi" w:eastAsia="Georgia" w:hAnsi="Gadugi" w:cs="Georgia"/>
          <w:sz w:val="24"/>
          <w:szCs w:val="24"/>
        </w:rPr>
        <w:tab/>
      </w:r>
      <w:r w:rsidR="00964D96" w:rsidRPr="00985F05">
        <w:rPr>
          <w:rFonts w:ascii="Gadugi" w:eastAsia="Georgia" w:hAnsi="Gadugi" w:cs="Georgia"/>
          <w:sz w:val="24"/>
          <w:szCs w:val="24"/>
        </w:rPr>
        <w:t>292 del 15 de junio de 2023</w:t>
      </w:r>
    </w:p>
    <w:p w14:paraId="134F8AE6" w14:textId="77777777" w:rsidR="00B039D8" w:rsidRPr="00985F05" w:rsidRDefault="00B039D8" w:rsidP="00985F05">
      <w:pPr>
        <w:tabs>
          <w:tab w:val="left" w:pos="3686"/>
          <w:tab w:val="left" w:pos="4536"/>
        </w:tabs>
        <w:ind w:firstLine="1701"/>
        <w:jc w:val="both"/>
        <w:rPr>
          <w:rFonts w:ascii="Gadugi" w:eastAsia="Georgia" w:hAnsi="Gadugi" w:cs="Georgia"/>
          <w:sz w:val="24"/>
          <w:szCs w:val="24"/>
        </w:rPr>
      </w:pPr>
    </w:p>
    <w:p w14:paraId="6D904ED4" w14:textId="77777777" w:rsidR="00B039D8" w:rsidRPr="00985F05" w:rsidRDefault="00B039D8" w:rsidP="00985F05">
      <w:pPr>
        <w:tabs>
          <w:tab w:val="left" w:pos="3686"/>
          <w:tab w:val="left" w:pos="4536"/>
        </w:tabs>
        <w:ind w:firstLine="1701"/>
        <w:jc w:val="both"/>
        <w:rPr>
          <w:rFonts w:ascii="Gadugi" w:eastAsia="Georgia" w:hAnsi="Gadugi" w:cs="Georgia"/>
          <w:sz w:val="24"/>
          <w:szCs w:val="24"/>
        </w:rPr>
      </w:pPr>
    </w:p>
    <w:p w14:paraId="5C91DDAE" w14:textId="3664FFF3" w:rsidR="00B039D8" w:rsidRPr="00985F05" w:rsidRDefault="00B00754" w:rsidP="00985F05">
      <w:pPr>
        <w:tabs>
          <w:tab w:val="left" w:pos="3686"/>
          <w:tab w:val="left" w:pos="4536"/>
        </w:tabs>
        <w:jc w:val="both"/>
        <w:rPr>
          <w:rFonts w:ascii="Gadugi" w:eastAsia="Georgia" w:hAnsi="Gadugi" w:cs="Georgia"/>
          <w:b/>
          <w:sz w:val="24"/>
          <w:szCs w:val="24"/>
        </w:rPr>
      </w:pPr>
      <w:r w:rsidRPr="00985F05">
        <w:rPr>
          <w:rFonts w:ascii="Gadugi" w:eastAsia="Georgia" w:hAnsi="Gadugi" w:cs="Georgia"/>
          <w:sz w:val="24"/>
          <w:szCs w:val="24"/>
        </w:rPr>
        <w:t xml:space="preserve">Resuelve la Sala </w:t>
      </w:r>
      <w:r w:rsidR="005E35DE" w:rsidRPr="00985F05">
        <w:rPr>
          <w:rFonts w:ascii="Gadugi" w:eastAsia="Georgia" w:hAnsi="Gadugi" w:cs="Georgia"/>
          <w:sz w:val="24"/>
          <w:szCs w:val="24"/>
        </w:rPr>
        <w:t>los recursos de apelación interpuestos por la</w:t>
      </w:r>
      <w:r w:rsidR="00EC01A0" w:rsidRPr="00985F05">
        <w:rPr>
          <w:rFonts w:ascii="Gadugi" w:eastAsia="Georgia" w:hAnsi="Gadugi" w:cs="Georgia"/>
          <w:sz w:val="24"/>
          <w:szCs w:val="24"/>
        </w:rPr>
        <w:t>s partes</w:t>
      </w:r>
      <w:r w:rsidR="00184449" w:rsidRPr="00985F05">
        <w:rPr>
          <w:rFonts w:ascii="Gadugi" w:eastAsia="Georgia" w:hAnsi="Gadugi" w:cs="Georgia"/>
          <w:sz w:val="24"/>
          <w:szCs w:val="24"/>
        </w:rPr>
        <w:t xml:space="preserve">, </w:t>
      </w:r>
      <w:r w:rsidRPr="00985F05">
        <w:rPr>
          <w:rFonts w:ascii="Gadugi" w:eastAsia="Georgia" w:hAnsi="Gadugi" w:cs="Georgia"/>
          <w:sz w:val="24"/>
          <w:szCs w:val="24"/>
        </w:rPr>
        <w:t xml:space="preserve">contra la sentencia proferida por el Juzgado Tercero Civil del Circuito de Pereira - Risaralda, </w:t>
      </w:r>
      <w:r w:rsidR="00086CB9" w:rsidRPr="00985F05">
        <w:rPr>
          <w:rFonts w:ascii="Gadugi" w:eastAsia="Georgia" w:hAnsi="Gadugi" w:cs="Georgia"/>
          <w:sz w:val="24"/>
          <w:szCs w:val="24"/>
        </w:rPr>
        <w:t xml:space="preserve">el 14 de diciembre de 2021, </w:t>
      </w:r>
      <w:r w:rsidRPr="00985F05">
        <w:rPr>
          <w:rFonts w:ascii="Gadugi" w:eastAsia="Georgia" w:hAnsi="Gadugi" w:cs="Georgia"/>
          <w:sz w:val="24"/>
          <w:szCs w:val="24"/>
        </w:rPr>
        <w:t xml:space="preserve">en este proceso </w:t>
      </w:r>
      <w:r w:rsidR="00184449" w:rsidRPr="00985F05">
        <w:rPr>
          <w:rFonts w:ascii="Gadugi" w:eastAsia="Georgia" w:hAnsi="Gadugi" w:cs="Georgia"/>
          <w:sz w:val="24"/>
          <w:szCs w:val="24"/>
        </w:rPr>
        <w:t>v</w:t>
      </w:r>
      <w:r w:rsidRPr="00985F05">
        <w:rPr>
          <w:rFonts w:ascii="Gadugi" w:eastAsia="Georgia" w:hAnsi="Gadugi" w:cs="Georgia"/>
          <w:sz w:val="24"/>
          <w:szCs w:val="24"/>
        </w:rPr>
        <w:t xml:space="preserve">erbal de </w:t>
      </w:r>
      <w:r w:rsidRPr="00985F05">
        <w:rPr>
          <w:rFonts w:ascii="Gadugi" w:eastAsia="Georgia" w:hAnsi="Gadugi" w:cs="Georgia"/>
          <w:b/>
          <w:sz w:val="24"/>
          <w:szCs w:val="24"/>
        </w:rPr>
        <w:t xml:space="preserve">responsabilidad civil </w:t>
      </w:r>
      <w:r w:rsidR="00BA6B8B" w:rsidRPr="00985F05">
        <w:rPr>
          <w:rFonts w:ascii="Gadugi" w:eastAsia="Georgia" w:hAnsi="Gadugi" w:cs="Georgia"/>
          <w:b/>
          <w:sz w:val="24"/>
          <w:szCs w:val="24"/>
        </w:rPr>
        <w:t>extra</w:t>
      </w:r>
      <w:r w:rsidRPr="00985F05">
        <w:rPr>
          <w:rFonts w:ascii="Gadugi" w:eastAsia="Georgia" w:hAnsi="Gadugi" w:cs="Georgia"/>
          <w:b/>
          <w:sz w:val="24"/>
          <w:szCs w:val="24"/>
        </w:rPr>
        <w:t>contractual</w:t>
      </w:r>
      <w:r w:rsidRPr="00985F05">
        <w:rPr>
          <w:rFonts w:ascii="Gadugi" w:eastAsia="Georgia" w:hAnsi="Gadugi" w:cs="Georgia"/>
          <w:sz w:val="24"/>
          <w:szCs w:val="24"/>
        </w:rPr>
        <w:t xml:space="preserve"> </w:t>
      </w:r>
      <w:r w:rsidR="00BA6B8B" w:rsidRPr="00985F05">
        <w:rPr>
          <w:rFonts w:ascii="Gadugi" w:eastAsia="Georgia" w:hAnsi="Gadugi" w:cs="Georgia"/>
          <w:sz w:val="24"/>
          <w:szCs w:val="24"/>
        </w:rPr>
        <w:t xml:space="preserve">promovido </w:t>
      </w:r>
      <w:r w:rsidRPr="00985F05">
        <w:rPr>
          <w:rFonts w:ascii="Gadugi" w:eastAsia="Georgia" w:hAnsi="Gadugi" w:cs="Georgia"/>
          <w:sz w:val="24"/>
          <w:szCs w:val="24"/>
        </w:rPr>
        <w:t xml:space="preserve">por </w:t>
      </w:r>
      <w:r w:rsidR="00A92E6B" w:rsidRPr="00985F05">
        <w:rPr>
          <w:rFonts w:ascii="Gadugi" w:eastAsia="Georgia" w:hAnsi="Gadugi" w:cs="Georgia"/>
          <w:b/>
          <w:sz w:val="24"/>
          <w:szCs w:val="24"/>
          <w:highlight w:val="white"/>
        </w:rPr>
        <w:t xml:space="preserve">Alejandro Suárez, </w:t>
      </w:r>
      <w:r w:rsidR="0066339F" w:rsidRPr="00985F05">
        <w:rPr>
          <w:rFonts w:ascii="Gadugi" w:eastAsia="Georgia" w:hAnsi="Gadugi" w:cs="Georgia"/>
          <w:b/>
          <w:sz w:val="24"/>
          <w:szCs w:val="24"/>
          <w:highlight w:val="white"/>
        </w:rPr>
        <w:t xml:space="preserve">Martha Lucía Suárez </w:t>
      </w:r>
      <w:r w:rsidR="00FE0857" w:rsidRPr="00985F05">
        <w:rPr>
          <w:rFonts w:ascii="Gadugi" w:eastAsia="Georgia" w:hAnsi="Gadugi" w:cs="Georgia"/>
          <w:b/>
          <w:sz w:val="24"/>
          <w:szCs w:val="24"/>
          <w:highlight w:val="white"/>
        </w:rPr>
        <w:t>C</w:t>
      </w:r>
      <w:r w:rsidR="0066339F" w:rsidRPr="00985F05">
        <w:rPr>
          <w:rFonts w:ascii="Gadugi" w:eastAsia="Georgia" w:hAnsi="Gadugi" w:cs="Georgia"/>
          <w:b/>
          <w:sz w:val="24"/>
          <w:szCs w:val="24"/>
          <w:highlight w:val="white"/>
        </w:rPr>
        <w:t>adavid y Beatriz Elena García Castaño</w:t>
      </w:r>
      <w:r w:rsidRPr="00985F05">
        <w:rPr>
          <w:rFonts w:ascii="Gadugi" w:eastAsia="Georgia" w:hAnsi="Gadugi" w:cs="Georgia"/>
          <w:b/>
          <w:sz w:val="24"/>
          <w:szCs w:val="24"/>
        </w:rPr>
        <w:t xml:space="preserve"> </w:t>
      </w:r>
      <w:r w:rsidRPr="00985F05">
        <w:rPr>
          <w:rFonts w:ascii="Gadugi" w:eastAsia="Georgia" w:hAnsi="Gadugi" w:cs="Georgia"/>
          <w:sz w:val="24"/>
          <w:szCs w:val="24"/>
        </w:rPr>
        <w:t xml:space="preserve">frente a la </w:t>
      </w:r>
      <w:r w:rsidRPr="00985F05">
        <w:rPr>
          <w:rFonts w:ascii="Gadugi" w:eastAsia="Georgia" w:hAnsi="Gadugi" w:cs="Georgia"/>
          <w:b/>
          <w:sz w:val="24"/>
          <w:szCs w:val="24"/>
          <w:highlight w:val="white"/>
        </w:rPr>
        <w:t xml:space="preserve">Aseguradora </w:t>
      </w:r>
      <w:r w:rsidR="00CD45BA" w:rsidRPr="00985F05">
        <w:rPr>
          <w:rFonts w:ascii="Gadugi" w:eastAsia="Georgia" w:hAnsi="Gadugi" w:cs="Georgia"/>
          <w:b/>
          <w:sz w:val="24"/>
          <w:szCs w:val="24"/>
          <w:highlight w:val="white"/>
        </w:rPr>
        <w:t>S</w:t>
      </w:r>
      <w:r w:rsidR="002F41D1" w:rsidRPr="00985F05">
        <w:rPr>
          <w:rFonts w:ascii="Gadugi" w:eastAsia="Georgia" w:hAnsi="Gadugi" w:cs="Georgia"/>
          <w:b/>
          <w:sz w:val="24"/>
          <w:szCs w:val="24"/>
          <w:highlight w:val="white"/>
        </w:rPr>
        <w:t>olidaria de Colombia</w:t>
      </w:r>
      <w:r w:rsidR="00CD26CE" w:rsidRPr="00985F05">
        <w:rPr>
          <w:rFonts w:ascii="Gadugi" w:eastAsia="Georgia" w:hAnsi="Gadugi" w:cs="Georgia"/>
          <w:b/>
          <w:sz w:val="24"/>
          <w:szCs w:val="24"/>
          <w:highlight w:val="white"/>
        </w:rPr>
        <w:t>,</w:t>
      </w:r>
      <w:r w:rsidR="00BA6B8B" w:rsidRPr="00985F05">
        <w:rPr>
          <w:rFonts w:ascii="Gadugi" w:eastAsia="Georgia" w:hAnsi="Gadugi" w:cs="Georgia"/>
          <w:b/>
          <w:sz w:val="24"/>
          <w:szCs w:val="24"/>
          <w:highlight w:val="white"/>
        </w:rPr>
        <w:t xml:space="preserve"> </w:t>
      </w:r>
      <w:r w:rsidR="00CD26CE" w:rsidRPr="00985F05">
        <w:rPr>
          <w:rFonts w:ascii="Gadugi" w:eastAsia="Georgia" w:hAnsi="Gadugi" w:cs="Georgia"/>
          <w:bCs/>
          <w:sz w:val="24"/>
          <w:szCs w:val="24"/>
          <w:highlight w:val="white"/>
        </w:rPr>
        <w:t>la</w:t>
      </w:r>
      <w:r w:rsidRPr="00985F05">
        <w:rPr>
          <w:rFonts w:ascii="Gadugi" w:eastAsia="Georgia" w:hAnsi="Gadugi" w:cs="Georgia"/>
          <w:bCs/>
          <w:sz w:val="24"/>
          <w:szCs w:val="24"/>
          <w:highlight w:val="white"/>
        </w:rPr>
        <w:t xml:space="preserve"> sociedad</w:t>
      </w:r>
      <w:r w:rsidRPr="00985F05">
        <w:rPr>
          <w:rFonts w:ascii="Gadugi" w:eastAsia="Georgia" w:hAnsi="Gadugi" w:cs="Georgia"/>
          <w:b/>
          <w:sz w:val="24"/>
          <w:szCs w:val="24"/>
          <w:highlight w:val="white"/>
        </w:rPr>
        <w:t xml:space="preserve"> Primer TAX S.A</w:t>
      </w:r>
      <w:r w:rsidR="00CD45BA" w:rsidRPr="00985F05">
        <w:rPr>
          <w:rFonts w:ascii="Gadugi" w:eastAsia="Georgia" w:hAnsi="Gadugi" w:cs="Georgia"/>
          <w:b/>
          <w:sz w:val="24"/>
          <w:szCs w:val="24"/>
          <w:highlight w:val="white"/>
        </w:rPr>
        <w:t>, Brian David</w:t>
      </w:r>
      <w:r w:rsidR="00E90926" w:rsidRPr="00985F05">
        <w:rPr>
          <w:rFonts w:ascii="Gadugi" w:eastAsia="Georgia" w:hAnsi="Gadugi" w:cs="Georgia"/>
          <w:b/>
          <w:sz w:val="24"/>
          <w:szCs w:val="24"/>
          <w:highlight w:val="white"/>
        </w:rPr>
        <w:t xml:space="preserve"> Maya Benavidez y Luis Aníbal </w:t>
      </w:r>
      <w:r w:rsidR="003B0CAA" w:rsidRPr="00985F05">
        <w:rPr>
          <w:rFonts w:ascii="Gadugi" w:eastAsia="Georgia" w:hAnsi="Gadugi" w:cs="Georgia"/>
          <w:b/>
          <w:sz w:val="24"/>
          <w:szCs w:val="24"/>
          <w:highlight w:val="white"/>
        </w:rPr>
        <w:t>M</w:t>
      </w:r>
      <w:r w:rsidR="00E90926" w:rsidRPr="00985F05">
        <w:rPr>
          <w:rFonts w:ascii="Gadugi" w:eastAsia="Georgia" w:hAnsi="Gadugi" w:cs="Georgia"/>
          <w:b/>
          <w:sz w:val="24"/>
          <w:szCs w:val="24"/>
          <w:highlight w:val="white"/>
        </w:rPr>
        <w:t>aya Angano.</w:t>
      </w:r>
    </w:p>
    <w:p w14:paraId="62F2415D" w14:textId="77777777" w:rsidR="00B039D8" w:rsidRPr="00985F05" w:rsidRDefault="00B039D8" w:rsidP="00985F05">
      <w:pPr>
        <w:tabs>
          <w:tab w:val="left" w:pos="3686"/>
          <w:tab w:val="left" w:pos="4536"/>
        </w:tabs>
        <w:jc w:val="both"/>
        <w:rPr>
          <w:rFonts w:ascii="Gadugi" w:eastAsia="Georgia" w:hAnsi="Gadugi" w:cs="Georgia"/>
          <w:sz w:val="24"/>
          <w:szCs w:val="24"/>
        </w:rPr>
      </w:pPr>
    </w:p>
    <w:p w14:paraId="19DCC07A" w14:textId="77777777" w:rsidR="00B039D8" w:rsidRPr="00985F05" w:rsidRDefault="00B00754" w:rsidP="00985F05">
      <w:pPr>
        <w:numPr>
          <w:ilvl w:val="0"/>
          <w:numId w:val="1"/>
        </w:numPr>
        <w:pBdr>
          <w:top w:val="nil"/>
          <w:left w:val="nil"/>
          <w:bottom w:val="nil"/>
          <w:right w:val="nil"/>
          <w:between w:val="nil"/>
        </w:pBdr>
        <w:tabs>
          <w:tab w:val="left" w:pos="426"/>
          <w:tab w:val="left" w:pos="3686"/>
          <w:tab w:val="left" w:pos="4536"/>
        </w:tabs>
        <w:ind w:left="0" w:firstLine="0"/>
        <w:rPr>
          <w:rFonts w:ascii="Gadugi" w:eastAsia="Georgia" w:hAnsi="Gadugi" w:cs="Georgia"/>
          <w:b/>
          <w:color w:val="000000"/>
          <w:sz w:val="24"/>
          <w:szCs w:val="24"/>
        </w:rPr>
      </w:pPr>
      <w:r w:rsidRPr="00985F05">
        <w:rPr>
          <w:rFonts w:ascii="Gadugi" w:eastAsia="Georgia" w:hAnsi="Gadugi" w:cs="Georgia"/>
          <w:b/>
          <w:color w:val="000000"/>
          <w:sz w:val="24"/>
          <w:szCs w:val="24"/>
        </w:rPr>
        <w:lastRenderedPageBreak/>
        <w:t>ANTECEDENTES</w:t>
      </w:r>
    </w:p>
    <w:p w14:paraId="44D0CA08" w14:textId="77777777" w:rsidR="00B039D8" w:rsidRPr="00985F05" w:rsidRDefault="00B039D8" w:rsidP="00985F05">
      <w:pPr>
        <w:tabs>
          <w:tab w:val="left" w:pos="3686"/>
          <w:tab w:val="left" w:pos="4536"/>
        </w:tabs>
        <w:ind w:left="360"/>
        <w:rPr>
          <w:rFonts w:ascii="Gadugi" w:eastAsia="Georgia" w:hAnsi="Gadugi" w:cs="Georgia"/>
          <w:b/>
          <w:sz w:val="24"/>
          <w:szCs w:val="24"/>
        </w:rPr>
      </w:pPr>
    </w:p>
    <w:p w14:paraId="0CBFCD1D" w14:textId="77777777" w:rsidR="00B039D8" w:rsidRPr="00985F05" w:rsidRDefault="00B00754" w:rsidP="00985F05">
      <w:pPr>
        <w:pBdr>
          <w:top w:val="nil"/>
          <w:left w:val="nil"/>
          <w:bottom w:val="nil"/>
          <w:right w:val="nil"/>
          <w:between w:val="nil"/>
        </w:pBdr>
        <w:tabs>
          <w:tab w:val="left" w:pos="3686"/>
          <w:tab w:val="left" w:pos="4536"/>
        </w:tabs>
        <w:rPr>
          <w:rFonts w:ascii="Gadugi" w:eastAsia="Georgia" w:hAnsi="Gadugi" w:cs="Georgia"/>
          <w:b/>
          <w:sz w:val="24"/>
          <w:szCs w:val="24"/>
          <w:u w:val="single"/>
        </w:rPr>
      </w:pPr>
      <w:r w:rsidRPr="00985F05">
        <w:rPr>
          <w:rFonts w:ascii="Gadugi" w:eastAsia="Georgia" w:hAnsi="Gadugi" w:cs="Georgia"/>
          <w:b/>
          <w:sz w:val="24"/>
          <w:szCs w:val="24"/>
        </w:rPr>
        <w:t xml:space="preserve">1.1. </w:t>
      </w:r>
      <w:r w:rsidRPr="00985F05">
        <w:rPr>
          <w:rFonts w:ascii="Gadugi" w:eastAsia="Georgia" w:hAnsi="Gadugi" w:cs="Georgia"/>
          <w:b/>
          <w:color w:val="000000"/>
          <w:sz w:val="24"/>
          <w:szCs w:val="24"/>
        </w:rPr>
        <w:t xml:space="preserve"> Hechos</w:t>
      </w:r>
      <w:r w:rsidRPr="00985F05">
        <w:rPr>
          <w:rFonts w:ascii="Gadugi" w:eastAsia="Georgia" w:hAnsi="Gadugi" w:cs="Georgia"/>
          <w:b/>
          <w:color w:val="000000"/>
          <w:sz w:val="24"/>
          <w:szCs w:val="24"/>
          <w:vertAlign w:val="superscript"/>
        </w:rPr>
        <w:footnoteReference w:id="1"/>
      </w:r>
    </w:p>
    <w:p w14:paraId="772DBC83" w14:textId="77777777" w:rsidR="00B039D8" w:rsidRPr="00985F05" w:rsidRDefault="00B039D8" w:rsidP="00985F05">
      <w:pPr>
        <w:pBdr>
          <w:top w:val="nil"/>
          <w:left w:val="nil"/>
          <w:bottom w:val="nil"/>
          <w:right w:val="nil"/>
          <w:between w:val="nil"/>
        </w:pBdr>
        <w:tabs>
          <w:tab w:val="left" w:pos="3686"/>
          <w:tab w:val="left" w:pos="4536"/>
        </w:tabs>
        <w:rPr>
          <w:rFonts w:ascii="Gadugi" w:eastAsia="Georgia" w:hAnsi="Gadugi" w:cs="Georgia"/>
          <w:sz w:val="24"/>
          <w:szCs w:val="24"/>
        </w:rPr>
      </w:pPr>
    </w:p>
    <w:p w14:paraId="41B76C19" w14:textId="6574D9F4" w:rsidR="004276EE" w:rsidRPr="00985F05" w:rsidRDefault="00D9489A" w:rsidP="00985F05">
      <w:pPr>
        <w:pBdr>
          <w:top w:val="nil"/>
          <w:left w:val="nil"/>
          <w:bottom w:val="nil"/>
          <w:right w:val="nil"/>
          <w:between w:val="nil"/>
        </w:pBdr>
        <w:tabs>
          <w:tab w:val="left" w:pos="3686"/>
          <w:tab w:val="left" w:pos="4536"/>
        </w:tabs>
        <w:jc w:val="both"/>
        <w:rPr>
          <w:rFonts w:ascii="Gadugi" w:eastAsia="Georgia" w:hAnsi="Gadugi" w:cs="Georgia"/>
          <w:sz w:val="24"/>
          <w:szCs w:val="24"/>
        </w:rPr>
      </w:pPr>
      <w:r w:rsidRPr="00985F05">
        <w:rPr>
          <w:rFonts w:ascii="Gadugi" w:eastAsia="Georgia" w:hAnsi="Gadugi" w:cs="Georgia"/>
          <w:sz w:val="24"/>
          <w:szCs w:val="24"/>
        </w:rPr>
        <w:t>El</w:t>
      </w:r>
      <w:r w:rsidR="00B00754" w:rsidRPr="00985F05">
        <w:rPr>
          <w:rFonts w:ascii="Gadugi" w:eastAsia="Georgia" w:hAnsi="Gadugi" w:cs="Georgia"/>
          <w:sz w:val="24"/>
          <w:szCs w:val="24"/>
        </w:rPr>
        <w:t xml:space="preserve"> día 7 de febrero de 2014 a las 21:35 aproximadamente</w:t>
      </w:r>
      <w:r w:rsidR="002F448E" w:rsidRPr="00985F05">
        <w:rPr>
          <w:rFonts w:ascii="Gadugi" w:eastAsia="Georgia" w:hAnsi="Gadugi" w:cs="Georgia"/>
          <w:sz w:val="24"/>
          <w:szCs w:val="24"/>
        </w:rPr>
        <w:t xml:space="preserve">, cuando </w:t>
      </w:r>
      <w:r w:rsidR="006C4F0A" w:rsidRPr="00985F05">
        <w:rPr>
          <w:rFonts w:ascii="Gadugi" w:eastAsia="Georgia" w:hAnsi="Gadugi" w:cs="Georgia"/>
          <w:sz w:val="24"/>
          <w:szCs w:val="24"/>
        </w:rPr>
        <w:t xml:space="preserve">Alejandro Suárez </w:t>
      </w:r>
      <w:r w:rsidR="00B00754" w:rsidRPr="00985F05">
        <w:rPr>
          <w:rFonts w:ascii="Gadugi" w:eastAsia="Georgia" w:hAnsi="Gadugi" w:cs="Georgia"/>
          <w:sz w:val="24"/>
          <w:szCs w:val="24"/>
        </w:rPr>
        <w:t xml:space="preserve">se desplazaba </w:t>
      </w:r>
      <w:r w:rsidR="006C4F0A" w:rsidRPr="00985F05">
        <w:rPr>
          <w:rFonts w:ascii="Gadugi" w:eastAsia="Georgia" w:hAnsi="Gadugi" w:cs="Georgia"/>
          <w:sz w:val="24"/>
          <w:szCs w:val="24"/>
        </w:rPr>
        <w:t>como parrillero en la</w:t>
      </w:r>
      <w:r w:rsidR="00B00754" w:rsidRPr="00985F05">
        <w:rPr>
          <w:rFonts w:ascii="Gadugi" w:eastAsia="Georgia" w:hAnsi="Gadugi" w:cs="Georgia"/>
          <w:sz w:val="24"/>
          <w:szCs w:val="24"/>
        </w:rPr>
        <w:t xml:space="preserve"> motocicleta</w:t>
      </w:r>
      <w:r w:rsidR="00205E78" w:rsidRPr="00985F05">
        <w:rPr>
          <w:rFonts w:ascii="Gadugi" w:eastAsia="Georgia" w:hAnsi="Gadugi" w:cs="Georgia"/>
          <w:sz w:val="24"/>
          <w:szCs w:val="24"/>
        </w:rPr>
        <w:t xml:space="preserve"> de placas YWY-</w:t>
      </w:r>
      <w:r w:rsidR="00C05893" w:rsidRPr="00985F05">
        <w:rPr>
          <w:rFonts w:ascii="Gadugi" w:eastAsia="Georgia" w:hAnsi="Gadugi" w:cs="Georgia"/>
          <w:sz w:val="24"/>
          <w:szCs w:val="24"/>
        </w:rPr>
        <w:t xml:space="preserve">25, conducida por </w:t>
      </w:r>
      <w:r w:rsidR="00B00754" w:rsidRPr="00985F05">
        <w:rPr>
          <w:rFonts w:ascii="Gadugi" w:eastAsia="Georgia" w:hAnsi="Gadugi" w:cs="Georgia"/>
          <w:sz w:val="24"/>
          <w:szCs w:val="24"/>
        </w:rPr>
        <w:t xml:space="preserve">Erminson Albeiro </w:t>
      </w:r>
      <w:r w:rsidR="00C05893" w:rsidRPr="00985F05">
        <w:rPr>
          <w:rFonts w:ascii="Gadugi" w:eastAsia="Georgia" w:hAnsi="Gadugi" w:cs="Georgia"/>
          <w:sz w:val="24"/>
          <w:szCs w:val="24"/>
        </w:rPr>
        <w:t xml:space="preserve">Arana Ayala, </w:t>
      </w:r>
      <w:r w:rsidR="00B00754" w:rsidRPr="00985F05">
        <w:rPr>
          <w:rFonts w:ascii="Gadugi" w:eastAsia="Georgia" w:hAnsi="Gadugi" w:cs="Georgia"/>
          <w:sz w:val="24"/>
          <w:szCs w:val="24"/>
        </w:rPr>
        <w:t>el vehículo de servicio público</w:t>
      </w:r>
      <w:r w:rsidR="00A34E86" w:rsidRPr="00985F05">
        <w:rPr>
          <w:rFonts w:ascii="Gadugi" w:eastAsia="Georgia" w:hAnsi="Gadugi" w:cs="Georgia"/>
          <w:sz w:val="24"/>
          <w:szCs w:val="24"/>
        </w:rPr>
        <w:t>,</w:t>
      </w:r>
      <w:r w:rsidR="00B00754" w:rsidRPr="00985F05">
        <w:rPr>
          <w:rFonts w:ascii="Gadugi" w:eastAsia="Georgia" w:hAnsi="Gadugi" w:cs="Georgia"/>
          <w:sz w:val="24"/>
          <w:szCs w:val="24"/>
        </w:rPr>
        <w:t xml:space="preserve"> taxi </w:t>
      </w:r>
      <w:r w:rsidR="00A34E86" w:rsidRPr="00985F05">
        <w:rPr>
          <w:rFonts w:ascii="Gadugi" w:eastAsia="Georgia" w:hAnsi="Gadugi" w:cs="Georgia"/>
          <w:sz w:val="24"/>
          <w:szCs w:val="24"/>
        </w:rPr>
        <w:t>de placas</w:t>
      </w:r>
      <w:r w:rsidR="00B30FFB" w:rsidRPr="00985F05">
        <w:rPr>
          <w:rFonts w:ascii="Gadugi" w:eastAsia="Georgia" w:hAnsi="Gadugi" w:cs="Georgia"/>
          <w:sz w:val="24"/>
          <w:szCs w:val="24"/>
        </w:rPr>
        <w:t xml:space="preserve"> </w:t>
      </w:r>
      <w:r w:rsidR="009D19F4" w:rsidRPr="00985F05">
        <w:rPr>
          <w:rFonts w:ascii="Gadugi" w:eastAsia="Georgia" w:hAnsi="Gadugi" w:cs="Georgia"/>
          <w:sz w:val="24"/>
          <w:szCs w:val="24"/>
        </w:rPr>
        <w:t xml:space="preserve">SJT-584, </w:t>
      </w:r>
      <w:r w:rsidR="00B00754" w:rsidRPr="00985F05">
        <w:rPr>
          <w:rFonts w:ascii="Gadugi" w:eastAsia="Georgia" w:hAnsi="Gadugi" w:cs="Georgia"/>
          <w:sz w:val="24"/>
          <w:szCs w:val="24"/>
        </w:rPr>
        <w:t>invad</w:t>
      </w:r>
      <w:r w:rsidR="00B0152A" w:rsidRPr="00985F05">
        <w:rPr>
          <w:rFonts w:ascii="Gadugi" w:eastAsia="Georgia" w:hAnsi="Gadugi" w:cs="Georgia"/>
          <w:sz w:val="24"/>
          <w:szCs w:val="24"/>
        </w:rPr>
        <w:t>ió</w:t>
      </w:r>
      <w:r w:rsidR="00B00754" w:rsidRPr="00985F05">
        <w:rPr>
          <w:rFonts w:ascii="Gadugi" w:eastAsia="Georgia" w:hAnsi="Gadugi" w:cs="Georgia"/>
          <w:sz w:val="24"/>
          <w:szCs w:val="24"/>
        </w:rPr>
        <w:t xml:space="preserve"> el carril izquierdo </w:t>
      </w:r>
      <w:r w:rsidR="005746C7" w:rsidRPr="00985F05">
        <w:rPr>
          <w:rFonts w:ascii="Gadugi" w:eastAsia="Georgia" w:hAnsi="Gadugi" w:cs="Georgia"/>
          <w:i/>
          <w:iCs/>
          <w:sz w:val="24"/>
          <w:szCs w:val="24"/>
        </w:rPr>
        <w:t xml:space="preserve">“de la motocicleta” </w:t>
      </w:r>
      <w:r w:rsidR="00B00754" w:rsidRPr="00985F05">
        <w:rPr>
          <w:rFonts w:ascii="Gadugi" w:eastAsia="Georgia" w:hAnsi="Gadugi" w:cs="Georgia"/>
          <w:sz w:val="24"/>
          <w:szCs w:val="24"/>
        </w:rPr>
        <w:t xml:space="preserve">sin utilizar la respectiva señalización </w:t>
      </w:r>
      <w:r w:rsidR="00B0152A" w:rsidRPr="00985F05">
        <w:rPr>
          <w:rFonts w:ascii="Gadugi" w:eastAsia="Georgia" w:hAnsi="Gadugi" w:cs="Georgia"/>
          <w:sz w:val="24"/>
          <w:szCs w:val="24"/>
        </w:rPr>
        <w:t xml:space="preserve">y </w:t>
      </w:r>
      <w:r w:rsidR="005746C7" w:rsidRPr="00985F05">
        <w:rPr>
          <w:rFonts w:ascii="Gadugi" w:eastAsia="Georgia" w:hAnsi="Gadugi" w:cs="Georgia"/>
          <w:sz w:val="24"/>
          <w:szCs w:val="24"/>
        </w:rPr>
        <w:t xml:space="preserve">sin percatarse de que se realizaba una </w:t>
      </w:r>
      <w:r w:rsidR="00F1210B" w:rsidRPr="00985F05">
        <w:rPr>
          <w:rFonts w:ascii="Gadugi" w:eastAsia="Georgia" w:hAnsi="Gadugi" w:cs="Georgia"/>
          <w:sz w:val="24"/>
          <w:szCs w:val="24"/>
        </w:rPr>
        <w:t xml:space="preserve">maniobra de adelantamiento permitida, </w:t>
      </w:r>
      <w:r w:rsidR="00B0152A" w:rsidRPr="00985F05">
        <w:rPr>
          <w:rFonts w:ascii="Gadugi" w:eastAsia="Georgia" w:hAnsi="Gadugi" w:cs="Georgia"/>
          <w:sz w:val="24"/>
          <w:szCs w:val="24"/>
        </w:rPr>
        <w:t xml:space="preserve">ocasionó </w:t>
      </w:r>
      <w:r w:rsidR="00B00754" w:rsidRPr="00985F05">
        <w:rPr>
          <w:rFonts w:ascii="Gadugi" w:eastAsia="Georgia" w:hAnsi="Gadugi" w:cs="Georgia"/>
          <w:sz w:val="24"/>
          <w:szCs w:val="24"/>
        </w:rPr>
        <w:t xml:space="preserve">la colisión entre ambos </w:t>
      </w:r>
      <w:r w:rsidR="00D3602A" w:rsidRPr="00985F05">
        <w:rPr>
          <w:rFonts w:ascii="Gadugi" w:eastAsia="Georgia" w:hAnsi="Gadugi" w:cs="Georgia"/>
          <w:sz w:val="24"/>
          <w:szCs w:val="24"/>
        </w:rPr>
        <w:t>automotores</w:t>
      </w:r>
      <w:r w:rsidR="004276EE" w:rsidRPr="00985F05">
        <w:rPr>
          <w:rFonts w:ascii="Gadugi" w:eastAsia="Georgia" w:hAnsi="Gadugi" w:cs="Georgia"/>
          <w:sz w:val="24"/>
          <w:szCs w:val="24"/>
        </w:rPr>
        <w:t xml:space="preserve"> </w:t>
      </w:r>
      <w:r w:rsidR="00B00754" w:rsidRPr="00985F05">
        <w:rPr>
          <w:rFonts w:ascii="Gadugi" w:eastAsia="Georgia" w:hAnsi="Gadugi" w:cs="Georgia"/>
          <w:sz w:val="24"/>
          <w:szCs w:val="24"/>
        </w:rPr>
        <w:t xml:space="preserve">y </w:t>
      </w:r>
      <w:r w:rsidR="004276EE" w:rsidRPr="00985F05">
        <w:rPr>
          <w:rFonts w:ascii="Gadugi" w:eastAsia="Georgia" w:hAnsi="Gadugi" w:cs="Georgia"/>
          <w:sz w:val="24"/>
          <w:szCs w:val="24"/>
        </w:rPr>
        <w:t xml:space="preserve">causó </w:t>
      </w:r>
      <w:r w:rsidR="00B00754" w:rsidRPr="00985F05">
        <w:rPr>
          <w:rFonts w:ascii="Gadugi" w:eastAsia="Georgia" w:hAnsi="Gadugi" w:cs="Georgia"/>
          <w:sz w:val="24"/>
          <w:szCs w:val="24"/>
        </w:rPr>
        <w:t>heridas significativas al demandante</w:t>
      </w:r>
      <w:r w:rsidR="004276EE" w:rsidRPr="00985F05">
        <w:rPr>
          <w:rFonts w:ascii="Gadugi" w:eastAsia="Georgia" w:hAnsi="Gadugi" w:cs="Georgia"/>
          <w:sz w:val="24"/>
          <w:szCs w:val="24"/>
        </w:rPr>
        <w:t xml:space="preserve">. </w:t>
      </w:r>
      <w:r w:rsidR="00852A1C" w:rsidRPr="00985F05">
        <w:rPr>
          <w:rFonts w:ascii="Gadugi" w:eastAsia="Georgia" w:hAnsi="Gadugi" w:cs="Georgia"/>
          <w:sz w:val="24"/>
          <w:szCs w:val="24"/>
        </w:rPr>
        <w:t xml:space="preserve">Ello dio lugar a la apertura de una causa penal. </w:t>
      </w:r>
    </w:p>
    <w:p w14:paraId="7E7E93CA" w14:textId="77777777" w:rsidR="004276EE" w:rsidRPr="00985F05" w:rsidRDefault="004276EE" w:rsidP="00985F05">
      <w:pPr>
        <w:pBdr>
          <w:top w:val="nil"/>
          <w:left w:val="nil"/>
          <w:bottom w:val="nil"/>
          <w:right w:val="nil"/>
          <w:between w:val="nil"/>
        </w:pBdr>
        <w:tabs>
          <w:tab w:val="left" w:pos="3686"/>
          <w:tab w:val="left" w:pos="4536"/>
        </w:tabs>
        <w:jc w:val="both"/>
        <w:rPr>
          <w:rFonts w:ascii="Gadugi" w:eastAsia="Georgia" w:hAnsi="Gadugi" w:cs="Georgia"/>
          <w:sz w:val="24"/>
          <w:szCs w:val="24"/>
        </w:rPr>
      </w:pPr>
    </w:p>
    <w:p w14:paraId="39F3BF4A" w14:textId="6E87D102" w:rsidR="00A37147" w:rsidRPr="00985F05" w:rsidRDefault="00B00754" w:rsidP="00985F05">
      <w:pPr>
        <w:pBdr>
          <w:top w:val="nil"/>
          <w:left w:val="nil"/>
          <w:bottom w:val="nil"/>
          <w:right w:val="nil"/>
          <w:between w:val="nil"/>
        </w:pBdr>
        <w:tabs>
          <w:tab w:val="left" w:pos="3686"/>
          <w:tab w:val="left" w:pos="4536"/>
        </w:tabs>
        <w:jc w:val="both"/>
        <w:rPr>
          <w:rFonts w:ascii="Gadugi" w:eastAsia="Georgia" w:hAnsi="Gadugi" w:cs="Georgia"/>
          <w:sz w:val="24"/>
          <w:szCs w:val="24"/>
        </w:rPr>
      </w:pPr>
      <w:r w:rsidRPr="00985F05">
        <w:rPr>
          <w:rFonts w:ascii="Gadugi" w:eastAsia="Georgia" w:hAnsi="Gadugi" w:cs="Georgia"/>
          <w:sz w:val="24"/>
          <w:szCs w:val="24"/>
        </w:rPr>
        <w:t>Al momento del incidente el taxi se encontraba al servicio de la empresa PrimerTax S.A</w:t>
      </w:r>
      <w:r w:rsidR="00531690" w:rsidRPr="00985F05">
        <w:rPr>
          <w:rFonts w:ascii="Gadugi" w:eastAsia="Georgia" w:hAnsi="Gadugi" w:cs="Georgia"/>
          <w:sz w:val="24"/>
          <w:szCs w:val="24"/>
        </w:rPr>
        <w:t xml:space="preserve">., era de propiedad de </w:t>
      </w:r>
      <w:r w:rsidR="00DB69FE" w:rsidRPr="00985F05">
        <w:rPr>
          <w:rFonts w:ascii="Gadugi" w:eastAsia="Georgia" w:hAnsi="Gadugi" w:cs="Georgia"/>
          <w:sz w:val="24"/>
          <w:szCs w:val="24"/>
        </w:rPr>
        <w:t>Luis Aníbal Amaya Angano</w:t>
      </w:r>
      <w:r w:rsidR="0015194C" w:rsidRPr="00985F05">
        <w:rPr>
          <w:rFonts w:ascii="Gadugi" w:eastAsia="Georgia" w:hAnsi="Gadugi" w:cs="Georgia"/>
          <w:sz w:val="24"/>
          <w:szCs w:val="24"/>
        </w:rPr>
        <w:t xml:space="preserve">, lo conducía </w:t>
      </w:r>
      <w:r w:rsidR="0015194C" w:rsidRPr="00985F05">
        <w:rPr>
          <w:rFonts w:ascii="Gadugi" w:eastAsia="Georgia" w:hAnsi="Gadugi" w:cs="Georgia"/>
          <w:bCs/>
          <w:sz w:val="24"/>
          <w:szCs w:val="24"/>
        </w:rPr>
        <w:t>Brian David Maya Benavidez</w:t>
      </w:r>
      <w:r w:rsidR="00DB69FE" w:rsidRPr="00985F05">
        <w:rPr>
          <w:rFonts w:ascii="Gadugi" w:eastAsia="Georgia" w:hAnsi="Gadugi" w:cs="Georgia"/>
          <w:sz w:val="24"/>
          <w:szCs w:val="24"/>
        </w:rPr>
        <w:t xml:space="preserve"> y estaba </w:t>
      </w:r>
      <w:r w:rsidRPr="00985F05">
        <w:rPr>
          <w:rFonts w:ascii="Gadugi" w:eastAsia="Georgia" w:hAnsi="Gadugi" w:cs="Georgia"/>
          <w:sz w:val="24"/>
          <w:szCs w:val="24"/>
        </w:rPr>
        <w:t xml:space="preserve">asegurado por riesgo de responsabilidad civil extracontractual con la </w:t>
      </w:r>
      <w:r w:rsidR="00A37147" w:rsidRPr="00985F05">
        <w:rPr>
          <w:rFonts w:ascii="Gadugi" w:eastAsia="Georgia" w:hAnsi="Gadugi" w:cs="Georgia"/>
          <w:sz w:val="24"/>
          <w:szCs w:val="24"/>
        </w:rPr>
        <w:t>A</w:t>
      </w:r>
      <w:r w:rsidRPr="00985F05">
        <w:rPr>
          <w:rFonts w:ascii="Gadugi" w:eastAsia="Georgia" w:hAnsi="Gadugi" w:cs="Georgia"/>
          <w:sz w:val="24"/>
          <w:szCs w:val="24"/>
        </w:rPr>
        <w:t>seguradora Solidaria de Colombia</w:t>
      </w:r>
      <w:r w:rsidR="00FE0857" w:rsidRPr="00985F05">
        <w:rPr>
          <w:rFonts w:ascii="Gadugi" w:eastAsia="Georgia" w:hAnsi="Gadugi" w:cs="Georgia"/>
          <w:sz w:val="24"/>
          <w:szCs w:val="24"/>
        </w:rPr>
        <w:t xml:space="preserve"> S.A.</w:t>
      </w:r>
      <w:r w:rsidR="00A37147" w:rsidRPr="00985F05">
        <w:rPr>
          <w:rFonts w:ascii="Gadugi" w:eastAsia="Georgia" w:hAnsi="Gadugi" w:cs="Georgia"/>
          <w:sz w:val="24"/>
          <w:szCs w:val="24"/>
        </w:rPr>
        <w:t xml:space="preserve"> </w:t>
      </w:r>
    </w:p>
    <w:p w14:paraId="759F74B9" w14:textId="77777777" w:rsidR="00A37147" w:rsidRPr="00985F05" w:rsidRDefault="00A37147" w:rsidP="00985F05">
      <w:pPr>
        <w:pBdr>
          <w:top w:val="nil"/>
          <w:left w:val="nil"/>
          <w:bottom w:val="nil"/>
          <w:right w:val="nil"/>
          <w:between w:val="nil"/>
        </w:pBdr>
        <w:tabs>
          <w:tab w:val="left" w:pos="3686"/>
          <w:tab w:val="left" w:pos="4536"/>
        </w:tabs>
        <w:jc w:val="both"/>
        <w:rPr>
          <w:rFonts w:ascii="Gadugi" w:eastAsia="Georgia" w:hAnsi="Gadugi" w:cs="Georgia"/>
          <w:sz w:val="24"/>
          <w:szCs w:val="24"/>
        </w:rPr>
      </w:pPr>
    </w:p>
    <w:p w14:paraId="6C7BAB47" w14:textId="77777777" w:rsidR="0074683F" w:rsidRPr="00985F05" w:rsidRDefault="00A37147" w:rsidP="00985F05">
      <w:pPr>
        <w:pBdr>
          <w:top w:val="nil"/>
          <w:left w:val="nil"/>
          <w:bottom w:val="nil"/>
          <w:right w:val="nil"/>
          <w:between w:val="nil"/>
        </w:pBdr>
        <w:tabs>
          <w:tab w:val="left" w:pos="3686"/>
          <w:tab w:val="left" w:pos="4536"/>
        </w:tabs>
        <w:jc w:val="both"/>
        <w:rPr>
          <w:rFonts w:ascii="Gadugi" w:eastAsia="Georgia" w:hAnsi="Gadugi" w:cs="Georgia"/>
          <w:sz w:val="24"/>
          <w:szCs w:val="24"/>
        </w:rPr>
      </w:pPr>
      <w:r w:rsidRPr="00985F05">
        <w:rPr>
          <w:rFonts w:ascii="Gadugi" w:eastAsia="Georgia" w:hAnsi="Gadugi" w:cs="Georgia"/>
          <w:sz w:val="24"/>
          <w:szCs w:val="24"/>
        </w:rPr>
        <w:t xml:space="preserve">La víctima fue diagnosticada con varias fracturas </w:t>
      </w:r>
      <w:r w:rsidR="00B00754" w:rsidRPr="00985F05">
        <w:rPr>
          <w:rFonts w:ascii="Gadugi" w:eastAsia="Georgia" w:hAnsi="Gadugi" w:cs="Georgia"/>
          <w:sz w:val="24"/>
          <w:szCs w:val="24"/>
        </w:rPr>
        <w:t>y remitid</w:t>
      </w:r>
      <w:r w:rsidR="00B82BE7" w:rsidRPr="00985F05">
        <w:rPr>
          <w:rFonts w:ascii="Gadugi" w:eastAsia="Georgia" w:hAnsi="Gadugi" w:cs="Georgia"/>
          <w:sz w:val="24"/>
          <w:szCs w:val="24"/>
        </w:rPr>
        <w:t>a</w:t>
      </w:r>
      <w:r w:rsidR="00B00754" w:rsidRPr="00985F05">
        <w:rPr>
          <w:rFonts w:ascii="Gadugi" w:eastAsia="Georgia" w:hAnsi="Gadugi" w:cs="Georgia"/>
          <w:sz w:val="24"/>
          <w:szCs w:val="24"/>
        </w:rPr>
        <w:t xml:space="preserve"> a cirugía</w:t>
      </w:r>
      <w:r w:rsidR="00BE0CB4" w:rsidRPr="00985F05">
        <w:rPr>
          <w:rFonts w:ascii="Gadugi" w:eastAsia="Georgia" w:hAnsi="Gadugi" w:cs="Georgia"/>
          <w:sz w:val="24"/>
          <w:szCs w:val="24"/>
        </w:rPr>
        <w:t xml:space="preserve">; desde entonces </w:t>
      </w:r>
      <w:r w:rsidR="00DD71B5" w:rsidRPr="00985F05">
        <w:rPr>
          <w:rFonts w:ascii="Gadugi" w:eastAsia="Georgia" w:hAnsi="Gadugi" w:cs="Georgia"/>
          <w:sz w:val="24"/>
          <w:szCs w:val="24"/>
        </w:rPr>
        <w:t xml:space="preserve">ha presentado trastornos depresivos y daño moral, que repercuten en su esfera familiar, social y afectiva. </w:t>
      </w:r>
    </w:p>
    <w:p w14:paraId="7F7C9A0B" w14:textId="77777777" w:rsidR="0074683F" w:rsidRPr="00985F05" w:rsidRDefault="0074683F" w:rsidP="00985F05">
      <w:pPr>
        <w:pBdr>
          <w:top w:val="nil"/>
          <w:left w:val="nil"/>
          <w:bottom w:val="nil"/>
          <w:right w:val="nil"/>
          <w:between w:val="nil"/>
        </w:pBdr>
        <w:tabs>
          <w:tab w:val="left" w:pos="3686"/>
          <w:tab w:val="left" w:pos="4536"/>
        </w:tabs>
        <w:jc w:val="both"/>
        <w:rPr>
          <w:rFonts w:ascii="Gadugi" w:eastAsia="Georgia" w:hAnsi="Gadugi" w:cs="Georgia"/>
          <w:sz w:val="24"/>
          <w:szCs w:val="24"/>
        </w:rPr>
      </w:pPr>
    </w:p>
    <w:p w14:paraId="3D67CDDA" w14:textId="0CF16D94" w:rsidR="00605124" w:rsidRPr="00985F05" w:rsidRDefault="0074683F" w:rsidP="00985F05">
      <w:pPr>
        <w:pBdr>
          <w:top w:val="nil"/>
          <w:left w:val="nil"/>
          <w:bottom w:val="nil"/>
          <w:right w:val="nil"/>
          <w:between w:val="nil"/>
        </w:pBdr>
        <w:tabs>
          <w:tab w:val="left" w:pos="3686"/>
          <w:tab w:val="left" w:pos="4536"/>
        </w:tabs>
        <w:jc w:val="both"/>
        <w:rPr>
          <w:rFonts w:ascii="Gadugi" w:eastAsia="Georgia" w:hAnsi="Gadugi" w:cs="Georgia"/>
          <w:sz w:val="24"/>
          <w:szCs w:val="24"/>
        </w:rPr>
      </w:pPr>
      <w:r w:rsidRPr="00985F05">
        <w:rPr>
          <w:rFonts w:ascii="Gadugi" w:eastAsia="Georgia" w:hAnsi="Gadugi" w:cs="Georgia"/>
          <w:sz w:val="24"/>
          <w:szCs w:val="24"/>
        </w:rPr>
        <w:t xml:space="preserve">El informe de Medicina Legal reportó una </w:t>
      </w:r>
      <w:r w:rsidR="00707087" w:rsidRPr="00985F05">
        <w:rPr>
          <w:rFonts w:ascii="Gadugi" w:eastAsia="Georgia" w:hAnsi="Gadugi" w:cs="Georgia"/>
          <w:sz w:val="24"/>
          <w:szCs w:val="24"/>
        </w:rPr>
        <w:t xml:space="preserve">incapacidad médico-legal de 120 días, y con secuelas consistentes en deformidad </w:t>
      </w:r>
      <w:r w:rsidR="006D2DDD" w:rsidRPr="00985F05">
        <w:rPr>
          <w:rFonts w:ascii="Gadugi" w:eastAsia="Georgia" w:hAnsi="Gadugi" w:cs="Georgia"/>
          <w:sz w:val="24"/>
          <w:szCs w:val="24"/>
        </w:rPr>
        <w:t>física que afecta el cuerpo de manera permanente y perturbación funcional de órgano de locomoción</w:t>
      </w:r>
      <w:r w:rsidR="00605124" w:rsidRPr="00985F05">
        <w:rPr>
          <w:rFonts w:ascii="Gadugi" w:eastAsia="Georgia" w:hAnsi="Gadugi" w:cs="Georgia"/>
          <w:sz w:val="24"/>
          <w:szCs w:val="24"/>
        </w:rPr>
        <w:t xml:space="preserve"> de carácter permanente. </w:t>
      </w:r>
      <w:r w:rsidR="008E02AA" w:rsidRPr="00985F05">
        <w:rPr>
          <w:rFonts w:ascii="Gadugi" w:eastAsia="Georgia" w:hAnsi="Gadugi" w:cs="Georgia"/>
          <w:sz w:val="24"/>
          <w:szCs w:val="24"/>
        </w:rPr>
        <w:t>En consecuencia, perdió la habilidad de caminar al mismo ritmo</w:t>
      </w:r>
      <w:r w:rsidR="002E08BA" w:rsidRPr="00985F05">
        <w:rPr>
          <w:rFonts w:ascii="Gadugi" w:eastAsia="Georgia" w:hAnsi="Gadugi" w:cs="Georgia"/>
          <w:sz w:val="24"/>
          <w:szCs w:val="24"/>
        </w:rPr>
        <w:t xml:space="preserve"> y con la habilidad que lo hacía, pues permanecen los dolores intensos y los cuidados especiales </w:t>
      </w:r>
      <w:r w:rsidR="00BA5CAE" w:rsidRPr="00985F05">
        <w:rPr>
          <w:rFonts w:ascii="Gadugi" w:eastAsia="Georgia" w:hAnsi="Gadugi" w:cs="Georgia"/>
          <w:sz w:val="24"/>
          <w:szCs w:val="24"/>
        </w:rPr>
        <w:t>recomendados.</w:t>
      </w:r>
    </w:p>
    <w:p w14:paraId="25056DA8" w14:textId="5C4C83EC" w:rsidR="00BA5CAE" w:rsidRPr="00985F05" w:rsidRDefault="00BA5CAE" w:rsidP="00985F05">
      <w:pPr>
        <w:pBdr>
          <w:top w:val="nil"/>
          <w:left w:val="nil"/>
          <w:bottom w:val="nil"/>
          <w:right w:val="nil"/>
          <w:between w:val="nil"/>
        </w:pBdr>
        <w:tabs>
          <w:tab w:val="left" w:pos="3686"/>
          <w:tab w:val="left" w:pos="4536"/>
        </w:tabs>
        <w:jc w:val="both"/>
        <w:rPr>
          <w:rFonts w:ascii="Gadugi" w:eastAsia="Georgia" w:hAnsi="Gadugi" w:cs="Georgia"/>
          <w:sz w:val="24"/>
          <w:szCs w:val="24"/>
        </w:rPr>
      </w:pPr>
    </w:p>
    <w:p w14:paraId="7E6DCFEB" w14:textId="35BEDCEB" w:rsidR="00BA5CAE" w:rsidRPr="00985F05" w:rsidRDefault="00FD45F0" w:rsidP="00985F05">
      <w:pPr>
        <w:pBdr>
          <w:top w:val="nil"/>
          <w:left w:val="nil"/>
          <w:bottom w:val="nil"/>
          <w:right w:val="nil"/>
          <w:between w:val="nil"/>
        </w:pBdr>
        <w:tabs>
          <w:tab w:val="left" w:pos="3686"/>
          <w:tab w:val="left" w:pos="4536"/>
        </w:tabs>
        <w:jc w:val="both"/>
        <w:rPr>
          <w:rFonts w:ascii="Gadugi" w:eastAsia="Georgia" w:hAnsi="Gadugi" w:cs="Georgia"/>
          <w:sz w:val="24"/>
          <w:szCs w:val="24"/>
        </w:rPr>
      </w:pPr>
      <w:r w:rsidRPr="00985F05">
        <w:rPr>
          <w:rFonts w:ascii="Gadugi" w:eastAsia="Georgia" w:hAnsi="Gadugi" w:cs="Georgia"/>
          <w:sz w:val="24"/>
          <w:szCs w:val="24"/>
        </w:rPr>
        <w:t xml:space="preserve">También su núcleo familiar </w:t>
      </w:r>
      <w:r w:rsidR="007E4680" w:rsidRPr="00985F05">
        <w:rPr>
          <w:rFonts w:ascii="Gadugi" w:eastAsia="Georgia" w:hAnsi="Gadugi" w:cs="Georgia"/>
          <w:sz w:val="24"/>
          <w:szCs w:val="24"/>
        </w:rPr>
        <w:t>(</w:t>
      </w:r>
      <w:r w:rsidRPr="00985F05">
        <w:rPr>
          <w:rFonts w:ascii="Gadugi" w:eastAsia="Georgia" w:hAnsi="Gadugi" w:cs="Georgia"/>
          <w:sz w:val="24"/>
          <w:szCs w:val="24"/>
        </w:rPr>
        <w:t>madre y compañera permanente</w:t>
      </w:r>
      <w:r w:rsidR="007E4680" w:rsidRPr="00985F05">
        <w:rPr>
          <w:rFonts w:ascii="Gadugi" w:eastAsia="Georgia" w:hAnsi="Gadugi" w:cs="Georgia"/>
          <w:sz w:val="24"/>
          <w:szCs w:val="24"/>
        </w:rPr>
        <w:t>)</w:t>
      </w:r>
      <w:r w:rsidRPr="00985F05">
        <w:rPr>
          <w:rFonts w:ascii="Gadugi" w:eastAsia="Georgia" w:hAnsi="Gadugi" w:cs="Georgia"/>
          <w:sz w:val="24"/>
          <w:szCs w:val="24"/>
        </w:rPr>
        <w:t xml:space="preserve"> se vi</w:t>
      </w:r>
      <w:r w:rsidR="00EC01A0" w:rsidRPr="00985F05">
        <w:rPr>
          <w:rFonts w:ascii="Gadugi" w:eastAsia="Georgia" w:hAnsi="Gadugi" w:cs="Georgia"/>
          <w:sz w:val="24"/>
          <w:szCs w:val="24"/>
        </w:rPr>
        <w:t>o</w:t>
      </w:r>
      <w:r w:rsidRPr="00985F05">
        <w:rPr>
          <w:rFonts w:ascii="Gadugi" w:eastAsia="Georgia" w:hAnsi="Gadugi" w:cs="Georgia"/>
          <w:sz w:val="24"/>
          <w:szCs w:val="24"/>
        </w:rPr>
        <w:t xml:space="preserve"> afect</w:t>
      </w:r>
      <w:r w:rsidR="00EC01A0" w:rsidRPr="00985F05">
        <w:rPr>
          <w:rFonts w:ascii="Gadugi" w:eastAsia="Georgia" w:hAnsi="Gadugi" w:cs="Georgia"/>
          <w:sz w:val="24"/>
          <w:szCs w:val="24"/>
        </w:rPr>
        <w:t>ado</w:t>
      </w:r>
      <w:r w:rsidRPr="00985F05">
        <w:rPr>
          <w:rFonts w:ascii="Gadugi" w:eastAsia="Georgia" w:hAnsi="Gadugi" w:cs="Georgia"/>
          <w:sz w:val="24"/>
          <w:szCs w:val="24"/>
        </w:rPr>
        <w:t xml:space="preserve"> </w:t>
      </w:r>
      <w:r w:rsidR="003F1CAE" w:rsidRPr="00985F05">
        <w:rPr>
          <w:rFonts w:ascii="Gadugi" w:eastAsia="Georgia" w:hAnsi="Gadugi" w:cs="Georgia"/>
          <w:sz w:val="24"/>
          <w:szCs w:val="24"/>
        </w:rPr>
        <w:t xml:space="preserve">moralmente. </w:t>
      </w:r>
    </w:p>
    <w:p w14:paraId="11C42CF1" w14:textId="2DFCDC17" w:rsidR="007E4680" w:rsidRPr="00985F05" w:rsidRDefault="007E4680" w:rsidP="00985F05">
      <w:pPr>
        <w:pBdr>
          <w:top w:val="nil"/>
          <w:left w:val="nil"/>
          <w:bottom w:val="nil"/>
          <w:right w:val="nil"/>
          <w:between w:val="nil"/>
        </w:pBdr>
        <w:tabs>
          <w:tab w:val="left" w:pos="3686"/>
          <w:tab w:val="left" w:pos="4536"/>
        </w:tabs>
        <w:jc w:val="both"/>
        <w:rPr>
          <w:rFonts w:ascii="Gadugi" w:eastAsia="Georgia" w:hAnsi="Gadugi" w:cs="Georgia"/>
          <w:sz w:val="24"/>
          <w:szCs w:val="24"/>
        </w:rPr>
      </w:pPr>
    </w:p>
    <w:p w14:paraId="353FB99F" w14:textId="013A6508" w:rsidR="00781652" w:rsidRPr="00985F05" w:rsidRDefault="007E4680" w:rsidP="00985F05">
      <w:pPr>
        <w:pBdr>
          <w:top w:val="nil"/>
          <w:left w:val="nil"/>
          <w:bottom w:val="nil"/>
          <w:right w:val="nil"/>
          <w:between w:val="nil"/>
        </w:pBdr>
        <w:tabs>
          <w:tab w:val="left" w:pos="3686"/>
          <w:tab w:val="left" w:pos="4536"/>
        </w:tabs>
        <w:jc w:val="both"/>
        <w:rPr>
          <w:rFonts w:ascii="Gadugi" w:eastAsia="Georgia" w:hAnsi="Gadugi" w:cs="Georgia"/>
          <w:sz w:val="24"/>
          <w:szCs w:val="24"/>
        </w:rPr>
      </w:pPr>
      <w:r w:rsidRPr="00985F05">
        <w:rPr>
          <w:rFonts w:ascii="Gadugi" w:eastAsia="Georgia" w:hAnsi="Gadugi" w:cs="Georgia"/>
          <w:sz w:val="24"/>
          <w:szCs w:val="24"/>
        </w:rPr>
        <w:t xml:space="preserve">Por su lado, </w:t>
      </w:r>
      <w:r w:rsidR="00F16D63" w:rsidRPr="00985F05">
        <w:rPr>
          <w:rFonts w:ascii="Gadugi" w:eastAsia="Georgia" w:hAnsi="Gadugi" w:cs="Georgia"/>
          <w:sz w:val="24"/>
          <w:szCs w:val="24"/>
        </w:rPr>
        <w:t xml:space="preserve">el 6 de diciembre de 2016 la aseguradora </w:t>
      </w:r>
      <w:r w:rsidR="00B00754" w:rsidRPr="00985F05">
        <w:rPr>
          <w:rFonts w:ascii="Gadugi" w:eastAsia="Georgia" w:hAnsi="Gadugi" w:cs="Georgia"/>
          <w:sz w:val="24"/>
          <w:szCs w:val="24"/>
        </w:rPr>
        <w:t>contest</w:t>
      </w:r>
      <w:r w:rsidR="00F16D63" w:rsidRPr="00985F05">
        <w:rPr>
          <w:rFonts w:ascii="Gadugi" w:eastAsia="Georgia" w:hAnsi="Gadugi" w:cs="Georgia"/>
          <w:sz w:val="24"/>
          <w:szCs w:val="24"/>
        </w:rPr>
        <w:t>ó negativamente la reclamación, con sustento en que el hecho fue producto de</w:t>
      </w:r>
      <w:r w:rsidR="00781652" w:rsidRPr="00985F05">
        <w:rPr>
          <w:rFonts w:ascii="Gadugi" w:eastAsia="Georgia" w:hAnsi="Gadugi" w:cs="Georgia"/>
          <w:sz w:val="24"/>
          <w:szCs w:val="24"/>
        </w:rPr>
        <w:t xml:space="preserve">l incumplimiento de las normas de </w:t>
      </w:r>
      <w:r w:rsidR="004D6207" w:rsidRPr="00985F05">
        <w:rPr>
          <w:rFonts w:ascii="Gadugi" w:eastAsia="Georgia" w:hAnsi="Gadugi" w:cs="Georgia"/>
          <w:sz w:val="24"/>
          <w:szCs w:val="24"/>
        </w:rPr>
        <w:t>tránsito</w:t>
      </w:r>
      <w:r w:rsidR="00781652" w:rsidRPr="00985F05">
        <w:rPr>
          <w:rFonts w:ascii="Gadugi" w:eastAsia="Georgia" w:hAnsi="Gadugi" w:cs="Georgia"/>
          <w:sz w:val="24"/>
          <w:szCs w:val="24"/>
        </w:rPr>
        <w:t xml:space="preserve"> por parte del conductor de la motocicleta. </w:t>
      </w:r>
    </w:p>
    <w:p w14:paraId="66A38D75" w14:textId="77777777" w:rsidR="00B039D8" w:rsidRPr="00985F05" w:rsidRDefault="00B039D8" w:rsidP="00985F05">
      <w:pPr>
        <w:pBdr>
          <w:top w:val="nil"/>
          <w:left w:val="nil"/>
          <w:bottom w:val="nil"/>
          <w:right w:val="nil"/>
          <w:between w:val="nil"/>
        </w:pBdr>
        <w:tabs>
          <w:tab w:val="left" w:pos="3686"/>
          <w:tab w:val="left" w:pos="4536"/>
        </w:tabs>
        <w:jc w:val="both"/>
        <w:rPr>
          <w:rFonts w:ascii="Gadugi" w:eastAsia="Georgia" w:hAnsi="Gadugi" w:cs="Georgia"/>
          <w:sz w:val="24"/>
          <w:szCs w:val="24"/>
        </w:rPr>
      </w:pPr>
    </w:p>
    <w:p w14:paraId="767EB4D3" w14:textId="77777777" w:rsidR="00F96BA4" w:rsidRPr="00985F05" w:rsidRDefault="00B00754" w:rsidP="00985F05">
      <w:pPr>
        <w:pBdr>
          <w:top w:val="nil"/>
          <w:left w:val="nil"/>
          <w:bottom w:val="nil"/>
          <w:right w:val="nil"/>
          <w:between w:val="nil"/>
        </w:pBdr>
        <w:tabs>
          <w:tab w:val="left" w:pos="3686"/>
          <w:tab w:val="left" w:pos="4536"/>
        </w:tabs>
        <w:rPr>
          <w:rFonts w:ascii="Gadugi" w:eastAsia="Georgia" w:hAnsi="Gadugi" w:cs="Georgia"/>
          <w:b/>
          <w:color w:val="000000"/>
          <w:sz w:val="24"/>
          <w:szCs w:val="24"/>
        </w:rPr>
      </w:pPr>
      <w:r w:rsidRPr="00985F05">
        <w:rPr>
          <w:rFonts w:ascii="Gadugi" w:eastAsia="Georgia" w:hAnsi="Gadugi" w:cs="Georgia"/>
          <w:b/>
          <w:sz w:val="24"/>
          <w:szCs w:val="24"/>
        </w:rPr>
        <w:t xml:space="preserve">1.2.  </w:t>
      </w:r>
      <w:r w:rsidRPr="00985F05">
        <w:rPr>
          <w:rFonts w:ascii="Gadugi" w:eastAsia="Georgia" w:hAnsi="Gadugi" w:cs="Georgia"/>
          <w:b/>
          <w:color w:val="000000"/>
          <w:sz w:val="24"/>
          <w:szCs w:val="24"/>
        </w:rPr>
        <w:t>Pretensiones</w:t>
      </w:r>
      <w:r w:rsidRPr="00985F05">
        <w:rPr>
          <w:rFonts w:ascii="Gadugi" w:eastAsia="Georgia" w:hAnsi="Gadugi" w:cs="Georgia"/>
          <w:b/>
          <w:color w:val="000000"/>
          <w:sz w:val="24"/>
          <w:szCs w:val="24"/>
          <w:vertAlign w:val="superscript"/>
        </w:rPr>
        <w:footnoteReference w:id="2"/>
      </w:r>
    </w:p>
    <w:p w14:paraId="7A92592A" w14:textId="77777777" w:rsidR="00F96BA4" w:rsidRPr="00985F05" w:rsidRDefault="00F96BA4" w:rsidP="00985F05">
      <w:pPr>
        <w:pBdr>
          <w:top w:val="nil"/>
          <w:left w:val="nil"/>
          <w:bottom w:val="nil"/>
          <w:right w:val="nil"/>
          <w:between w:val="nil"/>
        </w:pBdr>
        <w:tabs>
          <w:tab w:val="left" w:pos="3686"/>
          <w:tab w:val="left" w:pos="4536"/>
        </w:tabs>
        <w:rPr>
          <w:rFonts w:ascii="Gadugi" w:eastAsia="Georgia" w:hAnsi="Gadugi" w:cs="Georgia"/>
          <w:b/>
          <w:sz w:val="24"/>
          <w:szCs w:val="24"/>
        </w:rPr>
      </w:pPr>
    </w:p>
    <w:p w14:paraId="32BBD686" w14:textId="31FE2FEF" w:rsidR="00B039D8" w:rsidRPr="00985F05" w:rsidRDefault="00B00754" w:rsidP="00985F05">
      <w:pPr>
        <w:pBdr>
          <w:top w:val="nil"/>
          <w:left w:val="nil"/>
          <w:bottom w:val="nil"/>
          <w:right w:val="nil"/>
          <w:between w:val="nil"/>
        </w:pBdr>
        <w:tabs>
          <w:tab w:val="left" w:pos="3686"/>
          <w:tab w:val="left" w:pos="4536"/>
        </w:tabs>
        <w:jc w:val="both"/>
        <w:rPr>
          <w:rFonts w:ascii="Gadugi" w:eastAsia="Georgia" w:hAnsi="Gadugi" w:cs="Georgia"/>
          <w:sz w:val="24"/>
          <w:szCs w:val="24"/>
        </w:rPr>
      </w:pPr>
      <w:r w:rsidRPr="00985F05">
        <w:rPr>
          <w:rFonts w:ascii="Gadugi" w:eastAsia="Georgia" w:hAnsi="Gadugi" w:cs="Georgia"/>
          <w:sz w:val="24"/>
          <w:szCs w:val="24"/>
        </w:rPr>
        <w:t xml:space="preserve">Se declare la responsabilidad civil extracontractual de </w:t>
      </w:r>
      <w:r w:rsidR="008B6A00" w:rsidRPr="00985F05">
        <w:rPr>
          <w:rFonts w:ascii="Gadugi" w:eastAsia="Georgia" w:hAnsi="Gadugi" w:cs="Georgia"/>
          <w:sz w:val="24"/>
          <w:szCs w:val="24"/>
        </w:rPr>
        <w:t xml:space="preserve">la Aseguradora </w:t>
      </w:r>
      <w:r w:rsidR="00C649E3" w:rsidRPr="00985F05">
        <w:rPr>
          <w:rFonts w:ascii="Gadugi" w:eastAsia="Georgia" w:hAnsi="Gadugi" w:cs="Georgia"/>
          <w:sz w:val="24"/>
          <w:szCs w:val="24"/>
        </w:rPr>
        <w:t>S</w:t>
      </w:r>
      <w:r w:rsidR="002F41D1" w:rsidRPr="00985F05">
        <w:rPr>
          <w:rFonts w:ascii="Gadugi" w:eastAsia="Georgia" w:hAnsi="Gadugi" w:cs="Georgia"/>
          <w:sz w:val="24"/>
          <w:szCs w:val="24"/>
        </w:rPr>
        <w:t xml:space="preserve">olidaria de Colombia </w:t>
      </w:r>
      <w:r w:rsidR="007F3634" w:rsidRPr="00985F05">
        <w:rPr>
          <w:rFonts w:ascii="Gadugi" w:eastAsia="Georgia" w:hAnsi="Gadugi" w:cs="Georgia"/>
          <w:sz w:val="24"/>
          <w:szCs w:val="24"/>
        </w:rPr>
        <w:t>E</w:t>
      </w:r>
      <w:r w:rsidR="002F41D1" w:rsidRPr="00985F05">
        <w:rPr>
          <w:rFonts w:ascii="Gadugi" w:eastAsia="Georgia" w:hAnsi="Gadugi" w:cs="Georgia"/>
          <w:sz w:val="24"/>
          <w:szCs w:val="24"/>
        </w:rPr>
        <w:t xml:space="preserve">ntidad </w:t>
      </w:r>
      <w:r w:rsidR="007F3634" w:rsidRPr="00985F05">
        <w:rPr>
          <w:rFonts w:ascii="Gadugi" w:eastAsia="Georgia" w:hAnsi="Gadugi" w:cs="Georgia"/>
          <w:sz w:val="24"/>
          <w:szCs w:val="24"/>
        </w:rPr>
        <w:t>C</w:t>
      </w:r>
      <w:r w:rsidR="002F41D1" w:rsidRPr="00985F05">
        <w:rPr>
          <w:rFonts w:ascii="Gadugi" w:eastAsia="Georgia" w:hAnsi="Gadugi" w:cs="Georgia"/>
          <w:sz w:val="24"/>
          <w:szCs w:val="24"/>
        </w:rPr>
        <w:t>ooperativa</w:t>
      </w:r>
      <w:r w:rsidR="007F3634" w:rsidRPr="00985F05">
        <w:rPr>
          <w:rFonts w:ascii="Gadugi" w:eastAsia="Georgia" w:hAnsi="Gadugi" w:cs="Georgia"/>
          <w:sz w:val="24"/>
          <w:szCs w:val="24"/>
        </w:rPr>
        <w:t xml:space="preserve">, Primer Tax S.A., </w:t>
      </w:r>
      <w:r w:rsidR="002F41D1" w:rsidRPr="00985F05">
        <w:rPr>
          <w:rFonts w:ascii="Gadugi" w:eastAsia="Georgia" w:hAnsi="Gadugi" w:cs="Georgia"/>
          <w:sz w:val="24"/>
          <w:szCs w:val="24"/>
        </w:rPr>
        <w:t xml:space="preserve">Luis Aníbal </w:t>
      </w:r>
      <w:r w:rsidR="00010F95" w:rsidRPr="00985F05">
        <w:rPr>
          <w:rFonts w:ascii="Gadugi" w:eastAsia="Georgia" w:hAnsi="Gadugi" w:cs="Georgia"/>
          <w:sz w:val="24"/>
          <w:szCs w:val="24"/>
        </w:rPr>
        <w:t>M</w:t>
      </w:r>
      <w:r w:rsidR="002F41D1" w:rsidRPr="00985F05">
        <w:rPr>
          <w:rFonts w:ascii="Gadugi" w:eastAsia="Georgia" w:hAnsi="Gadugi" w:cs="Georgia"/>
          <w:sz w:val="24"/>
          <w:szCs w:val="24"/>
        </w:rPr>
        <w:t xml:space="preserve">aya </w:t>
      </w:r>
      <w:r w:rsidR="00010F95" w:rsidRPr="00985F05">
        <w:rPr>
          <w:rFonts w:ascii="Gadugi" w:eastAsia="Georgia" w:hAnsi="Gadugi" w:cs="Georgia"/>
          <w:sz w:val="24"/>
          <w:szCs w:val="24"/>
        </w:rPr>
        <w:t>A</w:t>
      </w:r>
      <w:r w:rsidR="002F41D1" w:rsidRPr="00985F05">
        <w:rPr>
          <w:rFonts w:ascii="Gadugi" w:eastAsia="Georgia" w:hAnsi="Gadugi" w:cs="Georgia"/>
          <w:sz w:val="24"/>
          <w:szCs w:val="24"/>
        </w:rPr>
        <w:t xml:space="preserve">ngano, Brian David </w:t>
      </w:r>
      <w:r w:rsidR="00010F95" w:rsidRPr="00985F05">
        <w:rPr>
          <w:rFonts w:ascii="Gadugi" w:eastAsia="Georgia" w:hAnsi="Gadugi" w:cs="Georgia"/>
          <w:sz w:val="24"/>
          <w:szCs w:val="24"/>
        </w:rPr>
        <w:t>M</w:t>
      </w:r>
      <w:r w:rsidR="002F41D1" w:rsidRPr="00985F05">
        <w:rPr>
          <w:rFonts w:ascii="Gadugi" w:eastAsia="Georgia" w:hAnsi="Gadugi" w:cs="Georgia"/>
          <w:sz w:val="24"/>
          <w:szCs w:val="24"/>
        </w:rPr>
        <w:t>aya Benavidez</w:t>
      </w:r>
      <w:r w:rsidR="001E2AB2" w:rsidRPr="00985F05">
        <w:rPr>
          <w:rFonts w:ascii="Gadugi" w:eastAsia="Georgia" w:hAnsi="Gadugi" w:cs="Georgia"/>
          <w:sz w:val="24"/>
          <w:szCs w:val="24"/>
        </w:rPr>
        <w:t xml:space="preserve"> y</w:t>
      </w:r>
      <w:r w:rsidR="002F41D1" w:rsidRPr="00985F05">
        <w:rPr>
          <w:rFonts w:ascii="Gadugi" w:eastAsia="Georgia" w:hAnsi="Gadugi" w:cs="Georgia"/>
          <w:sz w:val="24"/>
          <w:szCs w:val="24"/>
        </w:rPr>
        <w:t xml:space="preserve"> </w:t>
      </w:r>
      <w:r w:rsidR="00687F65" w:rsidRPr="00985F05">
        <w:rPr>
          <w:rFonts w:ascii="Gadugi" w:eastAsia="Georgia" w:hAnsi="Gadugi" w:cs="Georgia"/>
          <w:sz w:val="24"/>
          <w:szCs w:val="24"/>
        </w:rPr>
        <w:t>E</w:t>
      </w:r>
      <w:r w:rsidR="002F41D1" w:rsidRPr="00985F05">
        <w:rPr>
          <w:rFonts w:ascii="Gadugi" w:eastAsia="Georgia" w:hAnsi="Gadugi" w:cs="Georgia"/>
          <w:sz w:val="24"/>
          <w:szCs w:val="24"/>
        </w:rPr>
        <w:t xml:space="preserve">rminson Albeiro Arana Ayala </w:t>
      </w:r>
      <w:r w:rsidR="005A7ADB" w:rsidRPr="00985F05">
        <w:rPr>
          <w:rFonts w:ascii="Gadugi" w:eastAsia="Georgia" w:hAnsi="Gadugi" w:cs="Georgia"/>
          <w:sz w:val="24"/>
          <w:szCs w:val="24"/>
        </w:rPr>
        <w:t xml:space="preserve">por las negligencias e </w:t>
      </w:r>
      <w:r w:rsidRPr="00985F05">
        <w:rPr>
          <w:rFonts w:ascii="Gadugi" w:eastAsia="Georgia" w:hAnsi="Gadugi" w:cs="Georgia"/>
          <w:sz w:val="24"/>
          <w:szCs w:val="24"/>
        </w:rPr>
        <w:t xml:space="preserve">imprevisiones </w:t>
      </w:r>
      <w:r w:rsidR="005A7ADB" w:rsidRPr="00985F05">
        <w:rPr>
          <w:rFonts w:ascii="Gadugi" w:eastAsia="Georgia" w:hAnsi="Gadugi" w:cs="Georgia"/>
          <w:sz w:val="24"/>
          <w:szCs w:val="24"/>
        </w:rPr>
        <w:t>que dieron lugar al a</w:t>
      </w:r>
      <w:r w:rsidR="00D40E27" w:rsidRPr="00985F05">
        <w:rPr>
          <w:rFonts w:ascii="Gadugi" w:eastAsia="Georgia" w:hAnsi="Gadugi" w:cs="Georgia"/>
          <w:sz w:val="24"/>
          <w:szCs w:val="24"/>
        </w:rPr>
        <w:t xml:space="preserve">ccidente en el que resultó lesionado </w:t>
      </w:r>
      <w:r w:rsidR="002F41D1" w:rsidRPr="00985F05">
        <w:rPr>
          <w:rFonts w:ascii="Gadugi" w:eastAsia="Georgia" w:hAnsi="Gadugi" w:cs="Georgia"/>
          <w:sz w:val="24"/>
          <w:szCs w:val="24"/>
        </w:rPr>
        <w:t>Alejandro</w:t>
      </w:r>
      <w:r w:rsidRPr="00985F05">
        <w:rPr>
          <w:rFonts w:ascii="Gadugi" w:eastAsia="Georgia" w:hAnsi="Gadugi" w:cs="Georgia"/>
          <w:sz w:val="24"/>
          <w:szCs w:val="24"/>
        </w:rPr>
        <w:t xml:space="preserve"> </w:t>
      </w:r>
      <w:r w:rsidR="002F41D1" w:rsidRPr="00985F05">
        <w:rPr>
          <w:rFonts w:ascii="Gadugi" w:eastAsia="Georgia" w:hAnsi="Gadugi" w:cs="Georgia"/>
          <w:sz w:val="24"/>
          <w:szCs w:val="24"/>
        </w:rPr>
        <w:t>Suárez</w:t>
      </w:r>
      <w:r w:rsidR="00D40E27" w:rsidRPr="00985F05">
        <w:rPr>
          <w:rFonts w:ascii="Gadugi" w:eastAsia="Georgia" w:hAnsi="Gadugi" w:cs="Georgia"/>
          <w:sz w:val="24"/>
          <w:szCs w:val="24"/>
        </w:rPr>
        <w:t xml:space="preserve">; y como consecuencia de ello, se les condene al pago delos perjuicios materiales </w:t>
      </w:r>
      <w:r w:rsidR="002F416C" w:rsidRPr="00985F05">
        <w:rPr>
          <w:rFonts w:ascii="Gadugi" w:eastAsia="Georgia" w:hAnsi="Gadugi" w:cs="Georgia"/>
          <w:sz w:val="24"/>
          <w:szCs w:val="24"/>
        </w:rPr>
        <w:t xml:space="preserve">(daño </w:t>
      </w:r>
      <w:r w:rsidR="002F416C" w:rsidRPr="00985F05">
        <w:rPr>
          <w:rFonts w:ascii="Gadugi" w:eastAsia="Georgia" w:hAnsi="Gadugi" w:cs="Georgia"/>
          <w:sz w:val="24"/>
          <w:szCs w:val="24"/>
        </w:rPr>
        <w:lastRenderedPageBreak/>
        <w:t xml:space="preserve">emergente y lucro cesante) </w:t>
      </w:r>
      <w:r w:rsidR="00E243E0" w:rsidRPr="00985F05">
        <w:rPr>
          <w:rFonts w:ascii="Gadugi" w:eastAsia="Georgia" w:hAnsi="Gadugi" w:cs="Georgia"/>
          <w:sz w:val="24"/>
          <w:szCs w:val="24"/>
        </w:rPr>
        <w:t>a favor de la víctima directa, y de los inmateriales en beneficio de esta</w:t>
      </w:r>
      <w:r w:rsidR="00F728FA" w:rsidRPr="00985F05">
        <w:rPr>
          <w:rFonts w:ascii="Gadugi" w:eastAsia="Georgia" w:hAnsi="Gadugi" w:cs="Georgia"/>
          <w:sz w:val="24"/>
          <w:szCs w:val="24"/>
        </w:rPr>
        <w:t xml:space="preserve"> (daño moral y a la vida de relación) </w:t>
      </w:r>
      <w:r w:rsidR="00E243E0" w:rsidRPr="00985F05">
        <w:rPr>
          <w:rFonts w:ascii="Gadugi" w:eastAsia="Georgia" w:hAnsi="Gadugi" w:cs="Georgia"/>
          <w:sz w:val="24"/>
          <w:szCs w:val="24"/>
        </w:rPr>
        <w:t xml:space="preserve"> y de las de rebote</w:t>
      </w:r>
      <w:r w:rsidR="00F728FA" w:rsidRPr="00985F05">
        <w:rPr>
          <w:rFonts w:ascii="Gadugi" w:eastAsia="Georgia" w:hAnsi="Gadugi" w:cs="Georgia"/>
          <w:sz w:val="24"/>
          <w:szCs w:val="24"/>
        </w:rPr>
        <w:t xml:space="preserve"> (daño moral).</w:t>
      </w:r>
    </w:p>
    <w:p w14:paraId="27EFF928" w14:textId="77777777" w:rsidR="00B54F92" w:rsidRPr="00985F05" w:rsidRDefault="00B54F92" w:rsidP="00985F05">
      <w:pPr>
        <w:pBdr>
          <w:top w:val="nil"/>
          <w:left w:val="nil"/>
          <w:bottom w:val="nil"/>
          <w:right w:val="nil"/>
          <w:between w:val="nil"/>
        </w:pBdr>
        <w:tabs>
          <w:tab w:val="left" w:pos="3686"/>
          <w:tab w:val="left" w:pos="4536"/>
        </w:tabs>
        <w:jc w:val="both"/>
        <w:rPr>
          <w:rFonts w:ascii="Gadugi" w:eastAsia="Georgia" w:hAnsi="Gadugi" w:cs="Georgia"/>
          <w:b/>
          <w:color w:val="000000"/>
          <w:sz w:val="24"/>
          <w:szCs w:val="24"/>
        </w:rPr>
      </w:pPr>
    </w:p>
    <w:p w14:paraId="0326F28D" w14:textId="77777777" w:rsidR="00B039D8" w:rsidRPr="00985F05" w:rsidRDefault="00B00754" w:rsidP="00985F05">
      <w:pPr>
        <w:rPr>
          <w:rFonts w:ascii="Gadugi" w:eastAsia="Georgia" w:hAnsi="Gadugi" w:cs="Georgia"/>
          <w:b/>
          <w:sz w:val="24"/>
          <w:szCs w:val="24"/>
        </w:rPr>
      </w:pPr>
      <w:r w:rsidRPr="00985F05">
        <w:rPr>
          <w:rFonts w:ascii="Gadugi" w:eastAsia="Georgia" w:hAnsi="Gadugi" w:cs="Georgia"/>
          <w:b/>
          <w:sz w:val="24"/>
          <w:szCs w:val="24"/>
        </w:rPr>
        <w:t>1.3.    Trámite</w:t>
      </w:r>
    </w:p>
    <w:p w14:paraId="0788869D" w14:textId="77777777" w:rsidR="00B54F92" w:rsidRPr="00985F05" w:rsidRDefault="00B54F92" w:rsidP="00985F05">
      <w:pPr>
        <w:jc w:val="both"/>
        <w:rPr>
          <w:rFonts w:ascii="Gadugi" w:eastAsia="Georgia" w:hAnsi="Gadugi" w:cs="Georgia"/>
          <w:sz w:val="24"/>
          <w:szCs w:val="24"/>
        </w:rPr>
      </w:pPr>
    </w:p>
    <w:p w14:paraId="4ED5F925" w14:textId="11E4A618" w:rsidR="0041282E" w:rsidRPr="00985F05" w:rsidRDefault="00B00754" w:rsidP="00985F05">
      <w:pPr>
        <w:jc w:val="both"/>
        <w:rPr>
          <w:rFonts w:ascii="Gadugi" w:eastAsia="Georgia" w:hAnsi="Gadugi" w:cs="Georgia"/>
          <w:sz w:val="24"/>
          <w:szCs w:val="24"/>
        </w:rPr>
      </w:pPr>
      <w:r w:rsidRPr="00985F05">
        <w:rPr>
          <w:rFonts w:ascii="Gadugi" w:eastAsia="Georgia" w:hAnsi="Gadugi" w:cs="Georgia"/>
          <w:sz w:val="24"/>
          <w:szCs w:val="24"/>
        </w:rPr>
        <w:t>La demanda</w:t>
      </w:r>
      <w:r w:rsidR="00336C02" w:rsidRPr="00985F05">
        <w:rPr>
          <w:rFonts w:ascii="Gadugi" w:eastAsia="Georgia" w:hAnsi="Gadugi" w:cs="Georgia"/>
          <w:sz w:val="24"/>
          <w:szCs w:val="24"/>
        </w:rPr>
        <w:t>, luego de corregida, fue admitida el 25 de julio de 2017</w:t>
      </w:r>
      <w:r w:rsidR="000D3AF4" w:rsidRPr="00985F05">
        <w:rPr>
          <w:rStyle w:val="Refdenotaalpie"/>
          <w:rFonts w:ascii="Gadugi" w:eastAsia="Georgia" w:hAnsi="Gadugi" w:cs="Georgia"/>
          <w:sz w:val="24"/>
          <w:szCs w:val="24"/>
        </w:rPr>
        <w:footnoteReference w:id="3"/>
      </w:r>
      <w:r w:rsidR="00CD35D5" w:rsidRPr="00985F05">
        <w:rPr>
          <w:rFonts w:ascii="Gadugi" w:eastAsia="Georgia" w:hAnsi="Gadugi" w:cs="Georgia"/>
          <w:sz w:val="24"/>
          <w:szCs w:val="24"/>
        </w:rPr>
        <w:t xml:space="preserve">, aunque no se incluyó como demandado a Erminson Albeiro Arana Ayala, mencionado en las pretensiones, aspecto que no le mereció reparo a ninguno de los </w:t>
      </w:r>
      <w:r w:rsidR="007F62F5" w:rsidRPr="00985F05">
        <w:rPr>
          <w:rFonts w:ascii="Gadugi" w:eastAsia="Georgia" w:hAnsi="Gadugi" w:cs="Georgia"/>
          <w:sz w:val="24"/>
          <w:szCs w:val="24"/>
        </w:rPr>
        <w:t xml:space="preserve">demás vinculados. </w:t>
      </w:r>
    </w:p>
    <w:p w14:paraId="17172946" w14:textId="77777777" w:rsidR="00AD6511" w:rsidRPr="00985F05" w:rsidRDefault="00AD6511" w:rsidP="00985F05">
      <w:pPr>
        <w:jc w:val="both"/>
        <w:rPr>
          <w:rFonts w:ascii="Gadugi" w:eastAsia="Georgia" w:hAnsi="Gadugi" w:cs="Georgia"/>
          <w:sz w:val="24"/>
          <w:szCs w:val="24"/>
        </w:rPr>
      </w:pPr>
    </w:p>
    <w:p w14:paraId="23FA6A33" w14:textId="6E859E4F" w:rsidR="00A978A1" w:rsidRPr="00985F05" w:rsidRDefault="0041282E" w:rsidP="00985F05">
      <w:pPr>
        <w:jc w:val="both"/>
        <w:rPr>
          <w:rFonts w:ascii="Gadugi" w:eastAsia="Georgia" w:hAnsi="Gadugi" w:cs="Georgia"/>
          <w:sz w:val="24"/>
          <w:szCs w:val="24"/>
        </w:rPr>
      </w:pPr>
      <w:r w:rsidRPr="00985F05">
        <w:rPr>
          <w:rFonts w:ascii="Gadugi" w:eastAsia="Georgia" w:hAnsi="Gadugi" w:cs="Georgia"/>
          <w:sz w:val="24"/>
          <w:szCs w:val="24"/>
        </w:rPr>
        <w:t xml:space="preserve">Los </w:t>
      </w:r>
      <w:r w:rsidR="00A978A1" w:rsidRPr="00985F05">
        <w:rPr>
          <w:rFonts w:ascii="Gadugi" w:eastAsia="Georgia" w:hAnsi="Gadugi" w:cs="Georgia"/>
          <w:sz w:val="24"/>
          <w:szCs w:val="24"/>
        </w:rPr>
        <w:t>demandados contestaron así:</w:t>
      </w:r>
    </w:p>
    <w:p w14:paraId="3101E4B0" w14:textId="77777777" w:rsidR="00A978A1" w:rsidRPr="00985F05" w:rsidRDefault="00A978A1" w:rsidP="00985F05">
      <w:pPr>
        <w:jc w:val="both"/>
        <w:rPr>
          <w:rFonts w:ascii="Gadugi" w:eastAsia="Georgia" w:hAnsi="Gadugi" w:cs="Georgia"/>
          <w:sz w:val="24"/>
          <w:szCs w:val="24"/>
        </w:rPr>
      </w:pPr>
    </w:p>
    <w:p w14:paraId="7908F4C2" w14:textId="314DD564" w:rsidR="008D761F" w:rsidRPr="00985F05" w:rsidRDefault="00C229B0" w:rsidP="00985F05">
      <w:pPr>
        <w:jc w:val="both"/>
        <w:rPr>
          <w:rFonts w:ascii="Gadugi" w:eastAsia="Georgia" w:hAnsi="Gadugi" w:cs="Georgia"/>
          <w:sz w:val="24"/>
          <w:szCs w:val="24"/>
        </w:rPr>
      </w:pPr>
      <w:r w:rsidRPr="00985F05">
        <w:rPr>
          <w:rFonts w:ascii="Gadugi" w:eastAsia="Georgia" w:hAnsi="Gadugi" w:cs="Georgia"/>
          <w:sz w:val="24"/>
          <w:szCs w:val="24"/>
        </w:rPr>
        <w:t>La Aseguradora Solidaria de Colombia Entidad Cooperativa</w:t>
      </w:r>
      <w:r w:rsidR="008D761F" w:rsidRPr="00985F05">
        <w:rPr>
          <w:rStyle w:val="Refdenotaalpie"/>
          <w:rFonts w:ascii="Gadugi" w:eastAsia="Georgia" w:hAnsi="Gadugi" w:cs="Georgia"/>
          <w:sz w:val="24"/>
          <w:szCs w:val="24"/>
        </w:rPr>
        <w:footnoteReference w:id="4"/>
      </w:r>
      <w:r w:rsidRPr="00985F05">
        <w:rPr>
          <w:rFonts w:ascii="Gadugi" w:eastAsia="Georgia" w:hAnsi="Gadugi" w:cs="Georgia"/>
          <w:sz w:val="24"/>
          <w:szCs w:val="24"/>
        </w:rPr>
        <w:t>, se refirió a los hechos, opugnó las pretensiones y, en su defensa, excepcionó</w:t>
      </w:r>
      <w:r w:rsidR="006F03D6" w:rsidRPr="00985F05">
        <w:rPr>
          <w:rFonts w:ascii="Gadugi" w:eastAsia="Georgia" w:hAnsi="Gadugi" w:cs="Georgia"/>
          <w:sz w:val="24"/>
          <w:szCs w:val="24"/>
        </w:rPr>
        <w:t>:</w:t>
      </w:r>
      <w:r w:rsidRPr="00985F05">
        <w:rPr>
          <w:rFonts w:ascii="Gadugi" w:eastAsia="Georgia" w:hAnsi="Gadugi" w:cs="Georgia"/>
          <w:sz w:val="24"/>
          <w:szCs w:val="24"/>
        </w:rPr>
        <w:t xml:space="preserve"> (i) prescripción, </w:t>
      </w:r>
      <w:r w:rsidR="004039B2" w:rsidRPr="00985F05">
        <w:rPr>
          <w:rFonts w:ascii="Gadugi" w:eastAsia="Georgia" w:hAnsi="Gadugi" w:cs="Georgia"/>
          <w:sz w:val="24"/>
          <w:szCs w:val="24"/>
        </w:rPr>
        <w:t>por cuanto la reclamación se presentó pasados más de dos años del accidente; (ii) falta de legitimación por pasiva de la aseguradora</w:t>
      </w:r>
      <w:r w:rsidR="00F20047" w:rsidRPr="00985F05">
        <w:rPr>
          <w:rFonts w:ascii="Gadugi" w:eastAsia="Georgia" w:hAnsi="Gadugi" w:cs="Georgia"/>
          <w:sz w:val="24"/>
          <w:szCs w:val="24"/>
        </w:rPr>
        <w:t>, derivada de la prescripción; (iii) ruptura del nexo causal por culpa exclusiva de un tercero</w:t>
      </w:r>
      <w:r w:rsidR="005A2496" w:rsidRPr="00985F05">
        <w:rPr>
          <w:rFonts w:ascii="Gadugi" w:eastAsia="Georgia" w:hAnsi="Gadugi" w:cs="Georgia"/>
          <w:sz w:val="24"/>
          <w:szCs w:val="24"/>
        </w:rPr>
        <w:t xml:space="preserve">, </w:t>
      </w:r>
      <w:r w:rsidR="00976608" w:rsidRPr="00985F05">
        <w:rPr>
          <w:rFonts w:ascii="Gadugi" w:eastAsia="Georgia" w:hAnsi="Gadugi" w:cs="Georgia"/>
          <w:sz w:val="24"/>
          <w:szCs w:val="24"/>
        </w:rPr>
        <w:t>ya que la hipótesis de quien levantó el informe fue la distancia de seguridad por parte de quien conducía la motocicleta en la que la víctima se desplazaba como parril</w:t>
      </w:r>
      <w:r w:rsidR="009B0A30" w:rsidRPr="00985F05">
        <w:rPr>
          <w:rFonts w:ascii="Gadugi" w:eastAsia="Georgia" w:hAnsi="Gadugi" w:cs="Georgia"/>
          <w:sz w:val="24"/>
          <w:szCs w:val="24"/>
        </w:rPr>
        <w:t>l</w:t>
      </w:r>
      <w:r w:rsidR="00976608" w:rsidRPr="00985F05">
        <w:rPr>
          <w:rFonts w:ascii="Gadugi" w:eastAsia="Georgia" w:hAnsi="Gadugi" w:cs="Georgia"/>
          <w:sz w:val="24"/>
          <w:szCs w:val="24"/>
        </w:rPr>
        <w:t>ero</w:t>
      </w:r>
      <w:r w:rsidR="008D761F" w:rsidRPr="00985F05">
        <w:rPr>
          <w:rFonts w:ascii="Gadugi" w:eastAsia="Georgia" w:hAnsi="Gadugi" w:cs="Georgia"/>
          <w:sz w:val="24"/>
          <w:szCs w:val="24"/>
        </w:rPr>
        <w:t xml:space="preserve">. También se invocó una prejudicialidad. </w:t>
      </w:r>
    </w:p>
    <w:p w14:paraId="645BD02A" w14:textId="73BF06D1" w:rsidR="008D761F" w:rsidRPr="00985F05" w:rsidRDefault="008D761F" w:rsidP="00985F05">
      <w:pPr>
        <w:jc w:val="both"/>
        <w:rPr>
          <w:rFonts w:ascii="Gadugi" w:eastAsia="Georgia" w:hAnsi="Gadugi" w:cs="Georgia"/>
          <w:sz w:val="24"/>
          <w:szCs w:val="24"/>
        </w:rPr>
      </w:pPr>
    </w:p>
    <w:p w14:paraId="72CE7AF6" w14:textId="7F21B0C5" w:rsidR="00A75ADF" w:rsidRPr="00985F05" w:rsidRDefault="00A75ADF" w:rsidP="00985F05">
      <w:pPr>
        <w:jc w:val="both"/>
        <w:rPr>
          <w:rFonts w:ascii="Gadugi" w:eastAsia="Georgia" w:hAnsi="Gadugi" w:cs="Georgia"/>
          <w:sz w:val="24"/>
          <w:szCs w:val="24"/>
        </w:rPr>
      </w:pPr>
      <w:r w:rsidRPr="00985F05">
        <w:rPr>
          <w:rFonts w:ascii="Gadugi" w:eastAsia="Georgia" w:hAnsi="Gadugi" w:cs="Georgia"/>
          <w:sz w:val="24"/>
          <w:szCs w:val="24"/>
        </w:rPr>
        <w:t>Primer Tax S.A.</w:t>
      </w:r>
      <w:r w:rsidR="005E6910" w:rsidRPr="00985F05">
        <w:rPr>
          <w:rStyle w:val="Refdenotaalpie"/>
          <w:rFonts w:ascii="Gadugi" w:eastAsia="Georgia" w:hAnsi="Gadugi" w:cs="Georgia"/>
          <w:sz w:val="24"/>
          <w:szCs w:val="24"/>
        </w:rPr>
        <w:footnoteReference w:id="5"/>
      </w:r>
      <w:r w:rsidRPr="00985F05">
        <w:rPr>
          <w:rFonts w:ascii="Gadugi" w:eastAsia="Georgia" w:hAnsi="Gadugi" w:cs="Georgia"/>
          <w:sz w:val="24"/>
          <w:szCs w:val="24"/>
        </w:rPr>
        <w:t xml:space="preserve">, </w:t>
      </w:r>
      <w:r w:rsidR="00E47FAE" w:rsidRPr="00985F05">
        <w:rPr>
          <w:rFonts w:ascii="Gadugi" w:eastAsia="Georgia" w:hAnsi="Gadugi" w:cs="Georgia"/>
          <w:sz w:val="24"/>
          <w:szCs w:val="24"/>
        </w:rPr>
        <w:t xml:space="preserve">aludió a la cuestión fáctica; se opuso a lo pedido y </w:t>
      </w:r>
      <w:r w:rsidR="005E6910" w:rsidRPr="00985F05">
        <w:rPr>
          <w:rFonts w:ascii="Gadugi" w:eastAsia="Georgia" w:hAnsi="Gadugi" w:cs="Georgia"/>
          <w:sz w:val="24"/>
          <w:szCs w:val="24"/>
        </w:rPr>
        <w:t>planteó como excepci</w:t>
      </w:r>
      <w:r w:rsidR="00894240" w:rsidRPr="00985F05">
        <w:rPr>
          <w:rFonts w:ascii="Gadugi" w:eastAsia="Georgia" w:hAnsi="Gadugi" w:cs="Georgia"/>
          <w:sz w:val="24"/>
          <w:szCs w:val="24"/>
        </w:rPr>
        <w:t>ón la</w:t>
      </w:r>
      <w:r w:rsidR="005E6910" w:rsidRPr="00985F05">
        <w:rPr>
          <w:rFonts w:ascii="Gadugi" w:eastAsia="Georgia" w:hAnsi="Gadugi" w:cs="Georgia"/>
          <w:sz w:val="24"/>
          <w:szCs w:val="24"/>
        </w:rPr>
        <w:t xml:space="preserve"> </w:t>
      </w:r>
      <w:r w:rsidR="000A5527" w:rsidRPr="00985F05">
        <w:rPr>
          <w:rFonts w:ascii="Gadugi" w:eastAsia="Georgia" w:hAnsi="Gadugi" w:cs="Georgia"/>
          <w:sz w:val="24"/>
          <w:szCs w:val="24"/>
        </w:rPr>
        <w:t>inexistencia de la obligación</w:t>
      </w:r>
      <w:r w:rsidR="00894240" w:rsidRPr="00985F05">
        <w:rPr>
          <w:rFonts w:ascii="Gadugi" w:eastAsia="Georgia" w:hAnsi="Gadugi" w:cs="Georgia"/>
          <w:sz w:val="24"/>
          <w:szCs w:val="24"/>
        </w:rPr>
        <w:t xml:space="preserve">, por la culpa exclusiva del conductor de la moto. </w:t>
      </w:r>
    </w:p>
    <w:p w14:paraId="0EA75919" w14:textId="4511D1BF" w:rsidR="00894240" w:rsidRPr="00985F05" w:rsidRDefault="00894240" w:rsidP="00985F05">
      <w:pPr>
        <w:jc w:val="both"/>
        <w:rPr>
          <w:rFonts w:ascii="Gadugi" w:eastAsia="Georgia" w:hAnsi="Gadugi" w:cs="Georgia"/>
          <w:sz w:val="24"/>
          <w:szCs w:val="24"/>
        </w:rPr>
      </w:pPr>
    </w:p>
    <w:p w14:paraId="57A87908" w14:textId="7075E093" w:rsidR="00894240" w:rsidRPr="00985F05" w:rsidRDefault="002244C1" w:rsidP="00985F05">
      <w:pPr>
        <w:jc w:val="both"/>
        <w:rPr>
          <w:rFonts w:ascii="Gadugi" w:eastAsia="Georgia" w:hAnsi="Gadugi" w:cs="Georgia"/>
          <w:sz w:val="24"/>
          <w:szCs w:val="24"/>
        </w:rPr>
      </w:pPr>
      <w:r w:rsidRPr="00985F05">
        <w:rPr>
          <w:rFonts w:ascii="Gadugi" w:eastAsia="Georgia" w:hAnsi="Gadugi" w:cs="Georgia"/>
          <w:sz w:val="24"/>
          <w:szCs w:val="24"/>
        </w:rPr>
        <w:t>Fue reformada la demanda</w:t>
      </w:r>
      <w:r w:rsidRPr="00985F05">
        <w:rPr>
          <w:rStyle w:val="Refdenotaalpie"/>
          <w:rFonts w:ascii="Gadugi" w:eastAsia="Georgia" w:hAnsi="Gadugi" w:cs="Georgia"/>
          <w:sz w:val="24"/>
          <w:szCs w:val="24"/>
        </w:rPr>
        <w:footnoteReference w:id="6"/>
      </w:r>
      <w:r w:rsidR="00D85EAA" w:rsidRPr="00985F05">
        <w:rPr>
          <w:rFonts w:ascii="Gadugi" w:eastAsia="Georgia" w:hAnsi="Gadugi" w:cs="Georgia"/>
          <w:sz w:val="24"/>
          <w:szCs w:val="24"/>
        </w:rPr>
        <w:t xml:space="preserve"> con el fin de incorporar un dictamen relacionado con </w:t>
      </w:r>
      <w:r w:rsidR="00E75079" w:rsidRPr="00985F05">
        <w:rPr>
          <w:rFonts w:ascii="Gadugi" w:eastAsia="Georgia" w:hAnsi="Gadugi" w:cs="Georgia"/>
          <w:sz w:val="24"/>
          <w:szCs w:val="24"/>
        </w:rPr>
        <w:t xml:space="preserve">la forma en que pudo ocurrir el accidente. </w:t>
      </w:r>
    </w:p>
    <w:p w14:paraId="75356055" w14:textId="1BBDA3AD" w:rsidR="00DD161C" w:rsidRPr="00985F05" w:rsidRDefault="00DD161C" w:rsidP="00985F05">
      <w:pPr>
        <w:jc w:val="both"/>
        <w:rPr>
          <w:rFonts w:ascii="Gadugi" w:eastAsia="Georgia" w:hAnsi="Gadugi" w:cs="Georgia"/>
          <w:sz w:val="24"/>
          <w:szCs w:val="24"/>
        </w:rPr>
      </w:pPr>
    </w:p>
    <w:p w14:paraId="7DE57459" w14:textId="4C12A8B1" w:rsidR="006F3337" w:rsidRPr="00985F05" w:rsidRDefault="00DD161C" w:rsidP="00985F05">
      <w:pPr>
        <w:jc w:val="both"/>
        <w:rPr>
          <w:rFonts w:ascii="Gadugi" w:eastAsia="Georgia" w:hAnsi="Gadugi" w:cs="Georgia"/>
          <w:sz w:val="24"/>
          <w:szCs w:val="24"/>
        </w:rPr>
      </w:pPr>
      <w:r w:rsidRPr="00985F05">
        <w:rPr>
          <w:rFonts w:ascii="Gadugi" w:eastAsia="Georgia" w:hAnsi="Gadugi" w:cs="Georgia"/>
          <w:sz w:val="24"/>
          <w:szCs w:val="24"/>
        </w:rPr>
        <w:t xml:space="preserve">Después de que se corrigiera una irregularidad en el emplazamiento de </w:t>
      </w:r>
      <w:r w:rsidR="00FA7973" w:rsidRPr="00985F05">
        <w:rPr>
          <w:rFonts w:ascii="Gadugi" w:eastAsia="Georgia" w:hAnsi="Gadugi" w:cs="Georgia"/>
          <w:sz w:val="24"/>
          <w:szCs w:val="24"/>
        </w:rPr>
        <w:t xml:space="preserve">los codemandados Brian David Maya Benavidez y Luis Aníbal Maya Angano, </w:t>
      </w:r>
      <w:r w:rsidR="001F62CB" w:rsidRPr="00985F05">
        <w:rPr>
          <w:rFonts w:ascii="Gadugi" w:eastAsia="Georgia" w:hAnsi="Gadugi" w:cs="Georgia"/>
          <w:sz w:val="24"/>
          <w:szCs w:val="24"/>
        </w:rPr>
        <w:t>advertida en esta sede</w:t>
      </w:r>
      <w:r w:rsidR="00613283" w:rsidRPr="00985F05">
        <w:rPr>
          <w:rStyle w:val="Refdenotaalpie"/>
          <w:rFonts w:ascii="Gadugi" w:eastAsia="Georgia" w:hAnsi="Gadugi" w:cs="Georgia"/>
          <w:sz w:val="24"/>
          <w:szCs w:val="24"/>
        </w:rPr>
        <w:footnoteReference w:id="7"/>
      </w:r>
      <w:r w:rsidR="00CA61FF" w:rsidRPr="00985F05">
        <w:rPr>
          <w:rFonts w:ascii="Gadugi" w:eastAsia="Georgia" w:hAnsi="Gadugi" w:cs="Georgia"/>
          <w:sz w:val="24"/>
          <w:szCs w:val="24"/>
        </w:rPr>
        <w:t>, se les designó curador</w:t>
      </w:r>
      <w:r w:rsidR="00FA7973" w:rsidRPr="00985F05">
        <w:rPr>
          <w:rFonts w:ascii="Gadugi" w:eastAsia="Georgia" w:hAnsi="Gadugi" w:cs="Georgia"/>
          <w:sz w:val="24"/>
          <w:szCs w:val="24"/>
        </w:rPr>
        <w:t xml:space="preserve">, auxiliar que </w:t>
      </w:r>
      <w:r w:rsidR="00414AD8" w:rsidRPr="00985F05">
        <w:rPr>
          <w:rFonts w:ascii="Gadugi" w:eastAsia="Georgia" w:hAnsi="Gadugi" w:cs="Georgia"/>
          <w:sz w:val="24"/>
          <w:szCs w:val="24"/>
        </w:rPr>
        <w:t xml:space="preserve">se pronunció sobre los hechos, </w:t>
      </w:r>
      <w:r w:rsidR="009D5122" w:rsidRPr="00985F05">
        <w:rPr>
          <w:rFonts w:ascii="Gadugi" w:eastAsia="Georgia" w:hAnsi="Gadugi" w:cs="Georgia"/>
          <w:sz w:val="24"/>
          <w:szCs w:val="24"/>
        </w:rPr>
        <w:t>rebatió lo pedido y adujo como eximente de responsabilidad</w:t>
      </w:r>
      <w:r w:rsidR="007E4B42" w:rsidRPr="00985F05">
        <w:rPr>
          <w:rFonts w:ascii="Gadugi" w:eastAsia="Georgia" w:hAnsi="Gadugi" w:cs="Georgia"/>
          <w:sz w:val="24"/>
          <w:szCs w:val="24"/>
        </w:rPr>
        <w:t xml:space="preserve">: (i) </w:t>
      </w:r>
      <w:r w:rsidR="009D5122" w:rsidRPr="00985F05">
        <w:rPr>
          <w:rFonts w:ascii="Gadugi" w:eastAsia="Georgia" w:hAnsi="Gadugi" w:cs="Georgia"/>
          <w:sz w:val="24"/>
          <w:szCs w:val="24"/>
        </w:rPr>
        <w:t xml:space="preserve">el hecho de un tercero, pues </w:t>
      </w:r>
      <w:r w:rsidR="000B5730" w:rsidRPr="00985F05">
        <w:rPr>
          <w:rFonts w:ascii="Gadugi" w:eastAsia="Georgia" w:hAnsi="Gadugi" w:cs="Georgia"/>
          <w:sz w:val="24"/>
          <w:szCs w:val="24"/>
        </w:rPr>
        <w:t>la prueba documental apunta a que fue el conductor de la moto quien inobservó la distancia que le incumbía y propi</w:t>
      </w:r>
      <w:r w:rsidR="007E4B42" w:rsidRPr="00985F05">
        <w:rPr>
          <w:rFonts w:ascii="Gadugi" w:eastAsia="Georgia" w:hAnsi="Gadugi" w:cs="Georgia"/>
          <w:sz w:val="24"/>
          <w:szCs w:val="24"/>
        </w:rPr>
        <w:t xml:space="preserve">ció el accidente; </w:t>
      </w:r>
      <w:r w:rsidR="002765F0" w:rsidRPr="00985F05">
        <w:rPr>
          <w:rFonts w:ascii="Gadugi" w:eastAsia="Georgia" w:hAnsi="Gadugi" w:cs="Georgia"/>
          <w:sz w:val="24"/>
          <w:szCs w:val="24"/>
        </w:rPr>
        <w:t xml:space="preserve">y </w:t>
      </w:r>
      <w:r w:rsidR="007E4B42" w:rsidRPr="00985F05">
        <w:rPr>
          <w:rFonts w:ascii="Gadugi" w:eastAsia="Georgia" w:hAnsi="Gadugi" w:cs="Georgia"/>
          <w:sz w:val="24"/>
          <w:szCs w:val="24"/>
        </w:rPr>
        <w:t xml:space="preserve">(ii) la </w:t>
      </w:r>
      <w:r w:rsidR="00A472CF" w:rsidRPr="00985F05">
        <w:rPr>
          <w:rFonts w:ascii="Gadugi" w:eastAsia="Georgia" w:hAnsi="Gadugi" w:cs="Georgia"/>
          <w:i/>
          <w:iCs/>
          <w:sz w:val="24"/>
          <w:szCs w:val="24"/>
        </w:rPr>
        <w:t>“culpa e</w:t>
      </w:r>
      <w:r w:rsidR="006F3337" w:rsidRPr="00985F05">
        <w:rPr>
          <w:rFonts w:ascii="Gadugi" w:eastAsia="Georgia" w:hAnsi="Gadugi" w:cs="Georgia"/>
          <w:i/>
          <w:iCs/>
          <w:sz w:val="24"/>
          <w:szCs w:val="24"/>
        </w:rPr>
        <w:t>x</w:t>
      </w:r>
      <w:r w:rsidR="00A472CF" w:rsidRPr="00985F05">
        <w:rPr>
          <w:rFonts w:ascii="Gadugi" w:eastAsia="Georgia" w:hAnsi="Gadugi" w:cs="Georgia"/>
          <w:i/>
          <w:iCs/>
          <w:sz w:val="24"/>
          <w:szCs w:val="24"/>
        </w:rPr>
        <w:t>clusiva de la víctima”</w:t>
      </w:r>
      <w:r w:rsidR="00BF7109" w:rsidRPr="00985F05">
        <w:rPr>
          <w:rFonts w:ascii="Gadugi" w:eastAsia="Georgia" w:hAnsi="Gadugi" w:cs="Georgia"/>
          <w:i/>
          <w:iCs/>
          <w:sz w:val="24"/>
          <w:szCs w:val="24"/>
        </w:rPr>
        <w:t xml:space="preserve">, </w:t>
      </w:r>
      <w:r w:rsidR="00BF7109" w:rsidRPr="00985F05">
        <w:rPr>
          <w:rFonts w:ascii="Gadugi" w:eastAsia="Georgia" w:hAnsi="Gadugi" w:cs="Georgia"/>
          <w:sz w:val="24"/>
          <w:szCs w:val="24"/>
        </w:rPr>
        <w:t>por cuanto, para la época del accidente, estaba prohibido el parril</w:t>
      </w:r>
      <w:r w:rsidR="006F3337" w:rsidRPr="00985F05">
        <w:rPr>
          <w:rFonts w:ascii="Gadugi" w:eastAsia="Georgia" w:hAnsi="Gadugi" w:cs="Georgia"/>
          <w:sz w:val="24"/>
          <w:szCs w:val="24"/>
        </w:rPr>
        <w:t>l</w:t>
      </w:r>
      <w:r w:rsidR="00BF7109" w:rsidRPr="00985F05">
        <w:rPr>
          <w:rFonts w:ascii="Gadugi" w:eastAsia="Georgia" w:hAnsi="Gadugi" w:cs="Georgia"/>
          <w:sz w:val="24"/>
          <w:szCs w:val="24"/>
        </w:rPr>
        <w:t>ero hombre en la ciudad.</w:t>
      </w:r>
    </w:p>
    <w:p w14:paraId="26B03DA0" w14:textId="77777777" w:rsidR="006F3337" w:rsidRPr="00985F05" w:rsidRDefault="006F3337" w:rsidP="00985F05">
      <w:pPr>
        <w:jc w:val="both"/>
        <w:rPr>
          <w:rFonts w:ascii="Gadugi" w:eastAsia="Georgia" w:hAnsi="Gadugi" w:cs="Georgia"/>
          <w:sz w:val="24"/>
          <w:szCs w:val="24"/>
        </w:rPr>
      </w:pPr>
    </w:p>
    <w:p w14:paraId="068FC801" w14:textId="762DF2F1" w:rsidR="00B865CD" w:rsidRPr="00985F05" w:rsidRDefault="00B77F53" w:rsidP="00985F05">
      <w:pPr>
        <w:jc w:val="both"/>
        <w:rPr>
          <w:rFonts w:ascii="Gadugi" w:eastAsia="Georgia" w:hAnsi="Gadugi" w:cs="Georgia"/>
          <w:sz w:val="24"/>
          <w:szCs w:val="24"/>
        </w:rPr>
      </w:pPr>
      <w:r w:rsidRPr="00985F05">
        <w:rPr>
          <w:rFonts w:ascii="Gadugi" w:eastAsia="Georgia" w:hAnsi="Gadugi" w:cs="Georgia"/>
          <w:sz w:val="24"/>
          <w:szCs w:val="24"/>
        </w:rPr>
        <w:t>Primer Tax S.A., llamó en garantía a la misma Aseguradora Solidaria de Colombia</w:t>
      </w:r>
      <w:r w:rsidR="00552E0B" w:rsidRPr="00985F05">
        <w:rPr>
          <w:rStyle w:val="Refdenotaalpie"/>
          <w:rFonts w:ascii="Gadugi" w:eastAsia="Georgia" w:hAnsi="Gadugi" w:cs="Georgia"/>
          <w:sz w:val="24"/>
          <w:szCs w:val="24"/>
        </w:rPr>
        <w:footnoteReference w:id="8"/>
      </w:r>
      <w:r w:rsidR="00193BF6" w:rsidRPr="00985F05">
        <w:rPr>
          <w:rFonts w:ascii="Gadugi" w:eastAsia="Georgia" w:hAnsi="Gadugi" w:cs="Georgia"/>
          <w:sz w:val="24"/>
          <w:szCs w:val="24"/>
        </w:rPr>
        <w:t>; se admitió</w:t>
      </w:r>
      <w:r w:rsidR="004E2FC5" w:rsidRPr="00985F05">
        <w:rPr>
          <w:rFonts w:ascii="Gadugi" w:eastAsia="Georgia" w:hAnsi="Gadugi" w:cs="Georgia"/>
          <w:sz w:val="24"/>
          <w:szCs w:val="24"/>
        </w:rPr>
        <w:t xml:space="preserve"> la solicitud</w:t>
      </w:r>
      <w:r w:rsidR="00604AFD" w:rsidRPr="00985F05">
        <w:rPr>
          <w:rStyle w:val="Refdenotaalpie"/>
          <w:rFonts w:ascii="Gadugi" w:eastAsia="Georgia" w:hAnsi="Gadugi" w:cs="Georgia"/>
          <w:sz w:val="24"/>
          <w:szCs w:val="24"/>
        </w:rPr>
        <w:footnoteReference w:id="9"/>
      </w:r>
      <w:r w:rsidR="004E2FC5" w:rsidRPr="00985F05">
        <w:rPr>
          <w:rFonts w:ascii="Gadugi" w:eastAsia="Georgia" w:hAnsi="Gadugi" w:cs="Georgia"/>
          <w:sz w:val="24"/>
          <w:szCs w:val="24"/>
        </w:rPr>
        <w:t xml:space="preserve"> y oportunamente se pronunció</w:t>
      </w:r>
      <w:r w:rsidR="00FB0A56" w:rsidRPr="00985F05">
        <w:rPr>
          <w:rFonts w:ascii="Gadugi" w:eastAsia="Georgia" w:hAnsi="Gadugi" w:cs="Georgia"/>
          <w:sz w:val="24"/>
          <w:szCs w:val="24"/>
        </w:rPr>
        <w:t xml:space="preserve">. Al llamamiento </w:t>
      </w:r>
      <w:r w:rsidR="006461D4" w:rsidRPr="00985F05">
        <w:rPr>
          <w:rFonts w:ascii="Gadugi" w:eastAsia="Georgia" w:hAnsi="Gadugi" w:cs="Georgia"/>
          <w:sz w:val="24"/>
          <w:szCs w:val="24"/>
        </w:rPr>
        <w:t>opuso las excepciones denominadas (i) límite máximo de la indemnización</w:t>
      </w:r>
      <w:r w:rsidR="003213A1" w:rsidRPr="00985F05">
        <w:rPr>
          <w:rFonts w:ascii="Gadugi" w:eastAsia="Georgia" w:hAnsi="Gadugi" w:cs="Georgia"/>
          <w:sz w:val="24"/>
          <w:szCs w:val="24"/>
        </w:rPr>
        <w:t xml:space="preserve"> y (ii) deducible.</w:t>
      </w:r>
    </w:p>
    <w:p w14:paraId="2EE5D97A" w14:textId="77777777" w:rsidR="00F728FA" w:rsidRPr="00985F05" w:rsidRDefault="00F728FA" w:rsidP="00985F05">
      <w:pPr>
        <w:rPr>
          <w:rFonts w:ascii="Gadugi" w:eastAsia="Georgia" w:hAnsi="Gadugi" w:cs="Georgia"/>
          <w:b/>
          <w:sz w:val="24"/>
          <w:szCs w:val="24"/>
        </w:rPr>
      </w:pPr>
    </w:p>
    <w:p w14:paraId="45D359D4" w14:textId="7F81BABD" w:rsidR="00B039D8" w:rsidRPr="00985F05" w:rsidRDefault="00B00754" w:rsidP="00985F05">
      <w:pPr>
        <w:rPr>
          <w:rFonts w:ascii="Gadugi" w:eastAsia="Georgia" w:hAnsi="Gadugi" w:cs="Georgia"/>
          <w:b/>
          <w:sz w:val="24"/>
          <w:szCs w:val="24"/>
        </w:rPr>
      </w:pPr>
      <w:r w:rsidRPr="00985F05">
        <w:rPr>
          <w:rFonts w:ascii="Gadugi" w:eastAsia="Georgia" w:hAnsi="Gadugi" w:cs="Georgia"/>
          <w:b/>
          <w:sz w:val="24"/>
          <w:szCs w:val="24"/>
        </w:rPr>
        <w:t xml:space="preserve">1.4.   Sentencia de </w:t>
      </w:r>
      <w:r w:rsidR="00C91443" w:rsidRPr="00985F05">
        <w:rPr>
          <w:rFonts w:ascii="Gadugi" w:eastAsia="Georgia" w:hAnsi="Gadugi" w:cs="Georgia"/>
          <w:b/>
          <w:sz w:val="24"/>
          <w:szCs w:val="24"/>
        </w:rPr>
        <w:t>p</w:t>
      </w:r>
      <w:r w:rsidRPr="00985F05">
        <w:rPr>
          <w:rFonts w:ascii="Gadugi" w:eastAsia="Georgia" w:hAnsi="Gadugi" w:cs="Georgia"/>
          <w:b/>
          <w:sz w:val="24"/>
          <w:szCs w:val="24"/>
        </w:rPr>
        <w:t xml:space="preserve">rimera </w:t>
      </w:r>
      <w:r w:rsidR="00C91443" w:rsidRPr="00985F05">
        <w:rPr>
          <w:rFonts w:ascii="Gadugi" w:eastAsia="Georgia" w:hAnsi="Gadugi" w:cs="Georgia"/>
          <w:b/>
          <w:sz w:val="24"/>
          <w:szCs w:val="24"/>
        </w:rPr>
        <w:t>i</w:t>
      </w:r>
      <w:r w:rsidRPr="00985F05">
        <w:rPr>
          <w:rFonts w:ascii="Gadugi" w:eastAsia="Georgia" w:hAnsi="Gadugi" w:cs="Georgia"/>
          <w:b/>
          <w:sz w:val="24"/>
          <w:szCs w:val="24"/>
        </w:rPr>
        <w:t>nstancia</w:t>
      </w:r>
    </w:p>
    <w:p w14:paraId="36DD79FB" w14:textId="02040010" w:rsidR="00C91443" w:rsidRPr="00985F05" w:rsidRDefault="00C91443" w:rsidP="00985F05">
      <w:pPr>
        <w:jc w:val="both"/>
        <w:rPr>
          <w:rFonts w:ascii="Gadugi" w:eastAsia="Georgia" w:hAnsi="Gadugi" w:cs="Georgia"/>
          <w:sz w:val="24"/>
          <w:szCs w:val="24"/>
        </w:rPr>
      </w:pPr>
    </w:p>
    <w:p w14:paraId="6E83085A" w14:textId="22B64EE6" w:rsidR="006A5E4A" w:rsidRPr="00985F05" w:rsidRDefault="00207E18" w:rsidP="00985F05">
      <w:pPr>
        <w:tabs>
          <w:tab w:val="left" w:pos="3686"/>
          <w:tab w:val="left" w:pos="4536"/>
        </w:tabs>
        <w:jc w:val="both"/>
        <w:rPr>
          <w:rFonts w:ascii="Gadugi" w:eastAsia="Georgia" w:hAnsi="Gadugi" w:cs="Georgia"/>
          <w:bCs/>
          <w:sz w:val="24"/>
          <w:szCs w:val="24"/>
        </w:rPr>
      </w:pPr>
      <w:r w:rsidRPr="00985F05">
        <w:rPr>
          <w:rFonts w:ascii="Gadugi" w:eastAsia="Georgia" w:hAnsi="Gadugi" w:cs="Georgia"/>
          <w:sz w:val="24"/>
          <w:szCs w:val="24"/>
        </w:rPr>
        <w:t xml:space="preserve">El 14 de diciembre de 2021 </w:t>
      </w:r>
      <w:r w:rsidR="00E255D6" w:rsidRPr="00985F05">
        <w:rPr>
          <w:rFonts w:ascii="Gadugi" w:eastAsia="Georgia" w:hAnsi="Gadugi" w:cs="Georgia"/>
          <w:sz w:val="24"/>
          <w:szCs w:val="24"/>
        </w:rPr>
        <w:t xml:space="preserve">fue </w:t>
      </w:r>
      <w:r w:rsidRPr="00985F05">
        <w:rPr>
          <w:rFonts w:ascii="Gadugi" w:eastAsia="Georgia" w:hAnsi="Gadugi" w:cs="Georgia"/>
          <w:sz w:val="24"/>
          <w:szCs w:val="24"/>
        </w:rPr>
        <w:t>prof</w:t>
      </w:r>
      <w:r w:rsidR="00E255D6" w:rsidRPr="00985F05">
        <w:rPr>
          <w:rFonts w:ascii="Gadugi" w:eastAsia="Georgia" w:hAnsi="Gadugi" w:cs="Georgia"/>
          <w:sz w:val="24"/>
          <w:szCs w:val="24"/>
        </w:rPr>
        <w:t>erido</w:t>
      </w:r>
      <w:r w:rsidRPr="00985F05">
        <w:rPr>
          <w:rFonts w:ascii="Gadugi" w:eastAsia="Georgia" w:hAnsi="Gadugi" w:cs="Georgia"/>
          <w:sz w:val="24"/>
          <w:szCs w:val="24"/>
        </w:rPr>
        <w:t xml:space="preserve"> el fallo</w:t>
      </w:r>
      <w:r w:rsidR="009E4F6A" w:rsidRPr="00985F05">
        <w:rPr>
          <w:rStyle w:val="Refdenotaalpie"/>
          <w:rFonts w:ascii="Gadugi" w:eastAsia="Georgia" w:hAnsi="Gadugi" w:cs="Georgia"/>
          <w:sz w:val="24"/>
          <w:szCs w:val="24"/>
        </w:rPr>
        <w:footnoteReference w:id="10"/>
      </w:r>
      <w:r w:rsidR="00CE33AC" w:rsidRPr="00985F05">
        <w:rPr>
          <w:rFonts w:ascii="Gadugi" w:eastAsia="Georgia" w:hAnsi="Gadugi" w:cs="Georgia"/>
          <w:sz w:val="24"/>
          <w:szCs w:val="24"/>
        </w:rPr>
        <w:t xml:space="preserve"> </w:t>
      </w:r>
      <w:r w:rsidR="00E255D6" w:rsidRPr="00985F05">
        <w:rPr>
          <w:rFonts w:ascii="Gadugi" w:eastAsia="Georgia" w:hAnsi="Gadugi" w:cs="Georgia"/>
          <w:sz w:val="24"/>
          <w:szCs w:val="24"/>
        </w:rPr>
        <w:t xml:space="preserve">que </w:t>
      </w:r>
      <w:r w:rsidR="0053438A" w:rsidRPr="00985F05">
        <w:rPr>
          <w:rFonts w:ascii="Gadugi" w:eastAsia="Georgia" w:hAnsi="Gadugi" w:cs="Georgia"/>
          <w:sz w:val="24"/>
          <w:szCs w:val="24"/>
        </w:rPr>
        <w:t xml:space="preserve">(i) </w:t>
      </w:r>
      <w:r w:rsidR="00CE33AC" w:rsidRPr="00985F05">
        <w:rPr>
          <w:rFonts w:ascii="Gadugi" w:eastAsia="Georgia" w:hAnsi="Gadugi" w:cs="Georgia"/>
          <w:sz w:val="24"/>
          <w:szCs w:val="24"/>
        </w:rPr>
        <w:t>desestim</w:t>
      </w:r>
      <w:r w:rsidR="001600AE" w:rsidRPr="00985F05">
        <w:rPr>
          <w:rFonts w:ascii="Gadugi" w:eastAsia="Georgia" w:hAnsi="Gadugi" w:cs="Georgia"/>
          <w:sz w:val="24"/>
          <w:szCs w:val="24"/>
        </w:rPr>
        <w:t xml:space="preserve">ó </w:t>
      </w:r>
      <w:r w:rsidR="00CE33AC" w:rsidRPr="00985F05">
        <w:rPr>
          <w:rFonts w:ascii="Gadugi" w:eastAsia="Georgia" w:hAnsi="Gadugi" w:cs="Georgia"/>
          <w:sz w:val="24"/>
          <w:szCs w:val="24"/>
        </w:rPr>
        <w:t>las excepciones</w:t>
      </w:r>
      <w:r w:rsidR="00C555E0" w:rsidRPr="00985F05">
        <w:rPr>
          <w:rFonts w:ascii="Gadugi" w:eastAsia="Georgia" w:hAnsi="Gadugi" w:cs="Georgia"/>
          <w:sz w:val="24"/>
          <w:szCs w:val="24"/>
        </w:rPr>
        <w:t xml:space="preserve">, </w:t>
      </w:r>
      <w:r w:rsidR="0053438A" w:rsidRPr="00985F05">
        <w:rPr>
          <w:rFonts w:ascii="Gadugi" w:eastAsia="Georgia" w:hAnsi="Gadugi" w:cs="Georgia"/>
          <w:sz w:val="24"/>
          <w:szCs w:val="24"/>
        </w:rPr>
        <w:t xml:space="preserve">(ii) </w:t>
      </w:r>
      <w:r w:rsidR="00C555E0" w:rsidRPr="00985F05">
        <w:rPr>
          <w:rFonts w:ascii="Gadugi" w:eastAsia="Georgia" w:hAnsi="Gadugi" w:cs="Georgia"/>
          <w:sz w:val="24"/>
          <w:szCs w:val="24"/>
        </w:rPr>
        <w:t>declaró la responsabilidad solid</w:t>
      </w:r>
      <w:r w:rsidR="004D6207" w:rsidRPr="00985F05">
        <w:rPr>
          <w:rFonts w:ascii="Gadugi" w:eastAsia="Georgia" w:hAnsi="Gadugi" w:cs="Georgia"/>
          <w:sz w:val="24"/>
          <w:szCs w:val="24"/>
        </w:rPr>
        <w:t>a</w:t>
      </w:r>
      <w:r w:rsidR="00C555E0" w:rsidRPr="00985F05">
        <w:rPr>
          <w:rFonts w:ascii="Gadugi" w:eastAsia="Georgia" w:hAnsi="Gadugi" w:cs="Georgia"/>
          <w:sz w:val="24"/>
          <w:szCs w:val="24"/>
        </w:rPr>
        <w:t xml:space="preserve">ria de los codemandados </w:t>
      </w:r>
      <w:r w:rsidR="004D6207" w:rsidRPr="00985F05">
        <w:rPr>
          <w:rFonts w:ascii="Gadugi" w:eastAsia="Georgia" w:hAnsi="Gadugi" w:cs="Georgia"/>
          <w:bCs/>
          <w:sz w:val="24"/>
          <w:szCs w:val="24"/>
          <w:highlight w:val="white"/>
        </w:rPr>
        <w:t>Primer TAX S.A., Brian David Maya Benavidez y Luis Aníbal Maya Angano</w:t>
      </w:r>
      <w:r w:rsidR="009B7EBD" w:rsidRPr="00985F05">
        <w:rPr>
          <w:rFonts w:ascii="Gadugi" w:eastAsia="Georgia" w:hAnsi="Gadugi" w:cs="Georgia"/>
          <w:bCs/>
          <w:sz w:val="24"/>
          <w:szCs w:val="24"/>
        </w:rPr>
        <w:t xml:space="preserve">, </w:t>
      </w:r>
      <w:r w:rsidR="0053438A" w:rsidRPr="00985F05">
        <w:rPr>
          <w:rFonts w:ascii="Gadugi" w:eastAsia="Georgia" w:hAnsi="Gadugi" w:cs="Georgia"/>
          <w:bCs/>
          <w:sz w:val="24"/>
          <w:szCs w:val="24"/>
        </w:rPr>
        <w:t xml:space="preserve">(iii) </w:t>
      </w:r>
      <w:r w:rsidR="009B7EBD" w:rsidRPr="00985F05">
        <w:rPr>
          <w:rFonts w:ascii="Gadugi" w:eastAsia="Georgia" w:hAnsi="Gadugi" w:cs="Georgia"/>
          <w:bCs/>
          <w:sz w:val="24"/>
          <w:szCs w:val="24"/>
        </w:rPr>
        <w:t xml:space="preserve">condenó a pagar a </w:t>
      </w:r>
      <w:r w:rsidR="008A134D" w:rsidRPr="00985F05">
        <w:rPr>
          <w:rFonts w:ascii="Gadugi" w:eastAsia="Georgia" w:hAnsi="Gadugi" w:cs="Georgia"/>
          <w:bCs/>
          <w:sz w:val="24"/>
          <w:szCs w:val="24"/>
        </w:rPr>
        <w:t xml:space="preserve">Alejandro Suárez Cadavid </w:t>
      </w:r>
      <w:r w:rsidR="00FC73EA" w:rsidRPr="00985F05">
        <w:rPr>
          <w:rFonts w:ascii="Gadugi" w:eastAsia="Georgia" w:hAnsi="Gadugi" w:cs="Georgia"/>
          <w:bCs/>
          <w:sz w:val="24"/>
          <w:szCs w:val="24"/>
        </w:rPr>
        <w:t>perjuicios por el daño moral y a la vida de relación, cada uno en cuantía de $40</w:t>
      </w:r>
      <w:r w:rsidR="00EC67C9" w:rsidRPr="00985F05">
        <w:rPr>
          <w:rFonts w:ascii="Gadugi" w:eastAsia="Georgia" w:hAnsi="Gadugi" w:cs="Georgia"/>
          <w:bCs/>
          <w:sz w:val="24"/>
          <w:szCs w:val="24"/>
        </w:rPr>
        <w:t>’000.000</w:t>
      </w:r>
      <w:r w:rsidR="00E350E4">
        <w:rPr>
          <w:rFonts w:ascii="Gadugi" w:eastAsia="Georgia" w:hAnsi="Gadugi" w:cs="Georgia"/>
          <w:bCs/>
          <w:sz w:val="24"/>
          <w:szCs w:val="24"/>
        </w:rPr>
        <w:t>,00</w:t>
      </w:r>
      <w:r w:rsidR="00EC67C9" w:rsidRPr="00985F05">
        <w:rPr>
          <w:rFonts w:ascii="Gadugi" w:eastAsia="Georgia" w:hAnsi="Gadugi" w:cs="Georgia"/>
          <w:bCs/>
          <w:sz w:val="24"/>
          <w:szCs w:val="24"/>
        </w:rPr>
        <w:t>, daño emergente por $1’118.000</w:t>
      </w:r>
      <w:r w:rsidR="00E350E4">
        <w:rPr>
          <w:rFonts w:ascii="Gadugi" w:eastAsia="Georgia" w:hAnsi="Gadugi" w:cs="Georgia"/>
          <w:bCs/>
          <w:sz w:val="24"/>
          <w:szCs w:val="24"/>
        </w:rPr>
        <w:t>,00</w:t>
      </w:r>
      <w:r w:rsidR="00EC67C9" w:rsidRPr="00985F05">
        <w:rPr>
          <w:rFonts w:ascii="Gadugi" w:eastAsia="Georgia" w:hAnsi="Gadugi" w:cs="Georgia"/>
          <w:bCs/>
          <w:sz w:val="24"/>
          <w:szCs w:val="24"/>
        </w:rPr>
        <w:t xml:space="preserve"> y lucro cesante por $</w:t>
      </w:r>
      <w:r w:rsidR="00603091" w:rsidRPr="00985F05">
        <w:rPr>
          <w:rFonts w:ascii="Gadugi" w:eastAsia="Georgia" w:hAnsi="Gadugi" w:cs="Georgia"/>
          <w:bCs/>
          <w:sz w:val="24"/>
          <w:szCs w:val="24"/>
        </w:rPr>
        <w:t>9’557.300</w:t>
      </w:r>
      <w:r w:rsidR="00E350E4">
        <w:rPr>
          <w:rFonts w:ascii="Gadugi" w:eastAsia="Georgia" w:hAnsi="Gadugi" w:cs="Georgia"/>
          <w:bCs/>
          <w:sz w:val="24"/>
          <w:szCs w:val="24"/>
        </w:rPr>
        <w:t>,00</w:t>
      </w:r>
      <w:r w:rsidR="00603091" w:rsidRPr="00985F05">
        <w:rPr>
          <w:rFonts w:ascii="Gadugi" w:eastAsia="Georgia" w:hAnsi="Gadugi" w:cs="Georgia"/>
          <w:bCs/>
          <w:sz w:val="24"/>
          <w:szCs w:val="24"/>
        </w:rPr>
        <w:t xml:space="preserve">. Y a </w:t>
      </w:r>
      <w:r w:rsidR="00E2093A" w:rsidRPr="00985F05">
        <w:rPr>
          <w:rFonts w:ascii="Gadugi" w:eastAsia="Georgia" w:hAnsi="Gadugi" w:cs="Georgia"/>
          <w:bCs/>
          <w:sz w:val="24"/>
          <w:szCs w:val="24"/>
        </w:rPr>
        <w:t>Martha Lucía Suárez Cadavid, la suma de $30’000.000</w:t>
      </w:r>
      <w:r w:rsidR="00E350E4">
        <w:rPr>
          <w:rFonts w:ascii="Gadugi" w:eastAsia="Georgia" w:hAnsi="Gadugi" w:cs="Georgia"/>
          <w:bCs/>
          <w:sz w:val="24"/>
          <w:szCs w:val="24"/>
        </w:rPr>
        <w:t>,00</w:t>
      </w:r>
      <w:r w:rsidR="00E2093A" w:rsidRPr="00985F05">
        <w:rPr>
          <w:rFonts w:ascii="Gadugi" w:eastAsia="Georgia" w:hAnsi="Gadugi" w:cs="Georgia"/>
          <w:bCs/>
          <w:sz w:val="24"/>
          <w:szCs w:val="24"/>
        </w:rPr>
        <w:t xml:space="preserve"> por </w:t>
      </w:r>
      <w:r w:rsidR="00C50A4D" w:rsidRPr="00985F05">
        <w:rPr>
          <w:rFonts w:ascii="Gadugi" w:eastAsia="Georgia" w:hAnsi="Gadugi" w:cs="Georgia"/>
          <w:bCs/>
          <w:sz w:val="24"/>
          <w:szCs w:val="24"/>
        </w:rPr>
        <w:t>el daño moral infligido</w:t>
      </w:r>
      <w:r w:rsidR="008B68ED" w:rsidRPr="00985F05">
        <w:rPr>
          <w:rFonts w:ascii="Gadugi" w:eastAsia="Georgia" w:hAnsi="Gadugi" w:cs="Georgia"/>
          <w:bCs/>
          <w:sz w:val="24"/>
          <w:szCs w:val="24"/>
        </w:rPr>
        <w:t>. Sumas todas que devengarán interés del 6% anual;</w:t>
      </w:r>
      <w:r w:rsidR="00C50A4D" w:rsidRPr="00985F05">
        <w:rPr>
          <w:rFonts w:ascii="Gadugi" w:eastAsia="Georgia" w:hAnsi="Gadugi" w:cs="Georgia"/>
          <w:bCs/>
          <w:sz w:val="24"/>
          <w:szCs w:val="24"/>
        </w:rPr>
        <w:t xml:space="preserve"> (iv) declaró que la </w:t>
      </w:r>
      <w:r w:rsidR="004D6207" w:rsidRPr="00985F05">
        <w:rPr>
          <w:rFonts w:ascii="Gadugi" w:eastAsia="Georgia" w:hAnsi="Gadugi" w:cs="Georgia"/>
          <w:bCs/>
          <w:sz w:val="24"/>
          <w:szCs w:val="24"/>
          <w:highlight w:val="white"/>
        </w:rPr>
        <w:t>Aseguradora Solidaria de Colombia,</w:t>
      </w:r>
      <w:r w:rsidR="00DF66FF" w:rsidRPr="00985F05">
        <w:rPr>
          <w:rFonts w:ascii="Gadugi" w:eastAsia="Georgia" w:hAnsi="Gadugi" w:cs="Georgia"/>
          <w:bCs/>
          <w:sz w:val="24"/>
          <w:szCs w:val="24"/>
        </w:rPr>
        <w:t xml:space="preserve"> debe cubrir lo que corresponda al </w:t>
      </w:r>
      <w:r w:rsidR="005C6CB5" w:rsidRPr="00985F05">
        <w:rPr>
          <w:rFonts w:ascii="Gadugi" w:eastAsia="Georgia" w:hAnsi="Gadugi" w:cs="Georgia"/>
          <w:bCs/>
          <w:i/>
          <w:iCs/>
          <w:sz w:val="24"/>
          <w:szCs w:val="24"/>
        </w:rPr>
        <w:t>“</w:t>
      </w:r>
      <w:r w:rsidR="00DF66FF" w:rsidRPr="00985F05">
        <w:rPr>
          <w:rFonts w:ascii="Gadugi" w:eastAsia="Georgia" w:hAnsi="Gadugi" w:cs="Georgia"/>
          <w:bCs/>
          <w:i/>
          <w:iCs/>
          <w:sz w:val="24"/>
          <w:szCs w:val="24"/>
        </w:rPr>
        <w:t>benefici</w:t>
      </w:r>
      <w:r w:rsidR="005C6CB5" w:rsidRPr="00985F05">
        <w:rPr>
          <w:rFonts w:ascii="Gadugi" w:eastAsia="Georgia" w:hAnsi="Gadugi" w:cs="Georgia"/>
          <w:bCs/>
          <w:i/>
          <w:iCs/>
          <w:sz w:val="24"/>
          <w:szCs w:val="24"/>
        </w:rPr>
        <w:t>ario</w:t>
      </w:r>
      <w:r w:rsidR="005C6CB5" w:rsidRPr="00985F05">
        <w:rPr>
          <w:rFonts w:ascii="Gadugi" w:eastAsia="Georgia" w:hAnsi="Gadugi" w:cs="Georgia"/>
          <w:bCs/>
          <w:sz w:val="24"/>
          <w:szCs w:val="24"/>
        </w:rPr>
        <w:t xml:space="preserve">”, de acuerdo </w:t>
      </w:r>
      <w:r w:rsidR="00C525CB" w:rsidRPr="00985F05">
        <w:rPr>
          <w:rFonts w:ascii="Gadugi" w:eastAsia="Georgia" w:hAnsi="Gadugi" w:cs="Georgia"/>
          <w:bCs/>
          <w:sz w:val="24"/>
          <w:szCs w:val="24"/>
        </w:rPr>
        <w:t>a lo pactado en la póliza de seguro de automóviles 580-40-</w:t>
      </w:r>
      <w:r w:rsidR="002B08BA" w:rsidRPr="00985F05">
        <w:rPr>
          <w:rFonts w:ascii="Gadugi" w:eastAsia="Georgia" w:hAnsi="Gadugi" w:cs="Georgia"/>
          <w:bCs/>
          <w:sz w:val="24"/>
          <w:szCs w:val="24"/>
        </w:rPr>
        <w:t xml:space="preserve">994000009276, previo descuento del deducible pactado; (v) negó las pretensiones de Beatriz Elena García Castaño; y (vi) condenó en costas a </w:t>
      </w:r>
      <w:r w:rsidR="00CB1A32" w:rsidRPr="00985F05">
        <w:rPr>
          <w:rFonts w:ascii="Gadugi" w:eastAsia="Georgia" w:hAnsi="Gadugi" w:cs="Georgia"/>
          <w:bCs/>
          <w:sz w:val="24"/>
          <w:szCs w:val="24"/>
          <w:highlight w:val="white"/>
        </w:rPr>
        <w:t>Primer TAX S.A., Brian David Maya Benavidez y Luis Aníbal Maya Angano</w:t>
      </w:r>
      <w:r w:rsidR="002A72FE" w:rsidRPr="00985F05">
        <w:rPr>
          <w:rFonts w:ascii="Gadugi" w:eastAsia="Georgia" w:hAnsi="Gadugi" w:cs="Georgia"/>
          <w:bCs/>
          <w:sz w:val="24"/>
          <w:szCs w:val="24"/>
        </w:rPr>
        <w:t>.</w:t>
      </w:r>
      <w:r w:rsidR="00CB1A32" w:rsidRPr="00985F05">
        <w:rPr>
          <w:rFonts w:ascii="Gadugi" w:eastAsia="Georgia" w:hAnsi="Gadugi" w:cs="Georgia"/>
          <w:bCs/>
          <w:sz w:val="24"/>
          <w:szCs w:val="24"/>
        </w:rPr>
        <w:t xml:space="preserve"> </w:t>
      </w:r>
    </w:p>
    <w:p w14:paraId="1D63C35D" w14:textId="174A898D" w:rsidR="00CB1A32" w:rsidRPr="00985F05" w:rsidRDefault="00CB1A32" w:rsidP="00985F05">
      <w:pPr>
        <w:tabs>
          <w:tab w:val="left" w:pos="3686"/>
          <w:tab w:val="left" w:pos="4536"/>
        </w:tabs>
        <w:jc w:val="both"/>
        <w:rPr>
          <w:rFonts w:ascii="Gadugi" w:eastAsia="Georgia" w:hAnsi="Gadugi" w:cs="Georgia"/>
          <w:bCs/>
          <w:sz w:val="24"/>
          <w:szCs w:val="24"/>
        </w:rPr>
      </w:pPr>
    </w:p>
    <w:p w14:paraId="204E8175" w14:textId="77777777" w:rsidR="00A64299" w:rsidRPr="00985F05" w:rsidRDefault="00B00754" w:rsidP="00985F05">
      <w:pPr>
        <w:jc w:val="both"/>
        <w:rPr>
          <w:rFonts w:ascii="Gadugi" w:eastAsia="Georgia" w:hAnsi="Gadugi" w:cs="Georgia"/>
          <w:b/>
          <w:sz w:val="24"/>
          <w:szCs w:val="24"/>
        </w:rPr>
      </w:pPr>
      <w:r w:rsidRPr="00985F05">
        <w:rPr>
          <w:rFonts w:ascii="Gadugi" w:eastAsia="Georgia" w:hAnsi="Gadugi" w:cs="Georgia"/>
          <w:b/>
          <w:sz w:val="24"/>
          <w:szCs w:val="24"/>
        </w:rPr>
        <w:t xml:space="preserve">1.5.  </w:t>
      </w:r>
      <w:r w:rsidR="00A64299" w:rsidRPr="00985F05">
        <w:rPr>
          <w:rFonts w:ascii="Gadugi" w:eastAsia="Georgia" w:hAnsi="Gadugi" w:cs="Georgia"/>
          <w:b/>
          <w:sz w:val="24"/>
          <w:szCs w:val="24"/>
        </w:rPr>
        <w:t xml:space="preserve">Recursos de apelación. </w:t>
      </w:r>
    </w:p>
    <w:p w14:paraId="050698E4" w14:textId="77777777" w:rsidR="00A64299" w:rsidRPr="00985F05" w:rsidRDefault="00A64299" w:rsidP="00985F05">
      <w:pPr>
        <w:jc w:val="both"/>
        <w:rPr>
          <w:rFonts w:ascii="Gadugi" w:eastAsia="Georgia" w:hAnsi="Gadugi" w:cs="Georgia"/>
          <w:b/>
          <w:sz w:val="24"/>
          <w:szCs w:val="24"/>
        </w:rPr>
      </w:pPr>
    </w:p>
    <w:p w14:paraId="68D6FFA9" w14:textId="3CADF87F" w:rsidR="00B039D8" w:rsidRPr="00985F05" w:rsidRDefault="00A64299" w:rsidP="00985F05">
      <w:pPr>
        <w:jc w:val="both"/>
        <w:rPr>
          <w:rFonts w:ascii="Gadugi" w:eastAsia="Georgia" w:hAnsi="Gadugi" w:cs="Georgia"/>
          <w:bCs/>
          <w:sz w:val="24"/>
          <w:szCs w:val="24"/>
        </w:rPr>
      </w:pPr>
      <w:r w:rsidRPr="00985F05">
        <w:rPr>
          <w:rFonts w:ascii="Gadugi" w:eastAsia="Georgia" w:hAnsi="Gadugi" w:cs="Georgia"/>
          <w:bCs/>
          <w:sz w:val="24"/>
          <w:szCs w:val="24"/>
        </w:rPr>
        <w:t>Apelaron</w:t>
      </w:r>
      <w:r w:rsidRPr="00985F05">
        <w:rPr>
          <w:rFonts w:ascii="Gadugi" w:eastAsia="Georgia" w:hAnsi="Gadugi" w:cs="Georgia"/>
          <w:b/>
          <w:sz w:val="24"/>
          <w:szCs w:val="24"/>
        </w:rPr>
        <w:t xml:space="preserve"> </w:t>
      </w:r>
      <w:r w:rsidR="00397EAD" w:rsidRPr="00985F05">
        <w:rPr>
          <w:rFonts w:ascii="Gadugi" w:eastAsia="Georgia" w:hAnsi="Gadugi" w:cs="Georgia"/>
          <w:bCs/>
          <w:sz w:val="24"/>
          <w:szCs w:val="24"/>
        </w:rPr>
        <w:t>los demandantes</w:t>
      </w:r>
      <w:r w:rsidR="007C7F68" w:rsidRPr="00985F05">
        <w:rPr>
          <w:rFonts w:ascii="Gadugi" w:eastAsia="Georgia" w:hAnsi="Gadugi" w:cs="Georgia"/>
          <w:bCs/>
          <w:sz w:val="24"/>
          <w:szCs w:val="24"/>
        </w:rPr>
        <w:t>, parcialmente,</w:t>
      </w:r>
      <w:r w:rsidR="00044D94" w:rsidRPr="00985F05">
        <w:rPr>
          <w:rFonts w:ascii="Gadugi" w:eastAsia="Georgia" w:hAnsi="Gadugi" w:cs="Georgia"/>
          <w:bCs/>
          <w:sz w:val="24"/>
          <w:szCs w:val="24"/>
        </w:rPr>
        <w:t xml:space="preserve"> </w:t>
      </w:r>
      <w:r w:rsidR="00397EAD" w:rsidRPr="00985F05">
        <w:rPr>
          <w:rFonts w:ascii="Gadugi" w:eastAsia="Georgia" w:hAnsi="Gadugi" w:cs="Georgia"/>
          <w:bCs/>
          <w:sz w:val="24"/>
          <w:szCs w:val="24"/>
        </w:rPr>
        <w:t>y todos los demandados</w:t>
      </w:r>
      <w:r w:rsidR="00712B5B" w:rsidRPr="00985F05">
        <w:rPr>
          <w:rStyle w:val="Refdenotaalpie"/>
          <w:rFonts w:ascii="Gadugi" w:eastAsia="Georgia" w:hAnsi="Gadugi" w:cs="Georgia"/>
          <w:bCs/>
          <w:sz w:val="24"/>
          <w:szCs w:val="24"/>
        </w:rPr>
        <w:footnoteReference w:id="11"/>
      </w:r>
      <w:r w:rsidR="00712B5B" w:rsidRPr="00985F05">
        <w:rPr>
          <w:rFonts w:ascii="Gadugi" w:eastAsia="Georgia" w:hAnsi="Gadugi" w:cs="Georgia"/>
          <w:bCs/>
          <w:sz w:val="24"/>
          <w:szCs w:val="24"/>
        </w:rPr>
        <w:t xml:space="preserve">. </w:t>
      </w:r>
      <w:r w:rsidR="00C347FB" w:rsidRPr="00985F05">
        <w:rPr>
          <w:rFonts w:ascii="Gadugi" w:eastAsia="Georgia" w:hAnsi="Gadugi" w:cs="Georgia"/>
          <w:bCs/>
          <w:sz w:val="24"/>
          <w:szCs w:val="24"/>
        </w:rPr>
        <w:t>Aquellos presentaron sus reparos en la misma audiencia</w:t>
      </w:r>
      <w:r w:rsidR="00B3665D" w:rsidRPr="00985F05">
        <w:rPr>
          <w:rFonts w:ascii="Gadugi" w:eastAsia="Georgia" w:hAnsi="Gadugi" w:cs="Georgia"/>
          <w:bCs/>
          <w:sz w:val="24"/>
          <w:szCs w:val="24"/>
        </w:rPr>
        <w:t>, y estos por escrito</w:t>
      </w:r>
      <w:r w:rsidR="0061771B" w:rsidRPr="00985F05">
        <w:rPr>
          <w:rFonts w:ascii="Gadugi" w:eastAsia="Georgia" w:hAnsi="Gadugi" w:cs="Georgia"/>
          <w:bCs/>
          <w:sz w:val="24"/>
          <w:szCs w:val="24"/>
        </w:rPr>
        <w:t>, en los que, de una vez sustentaron</w:t>
      </w:r>
      <w:r w:rsidR="0061771B" w:rsidRPr="00985F05">
        <w:rPr>
          <w:rStyle w:val="Refdenotaalpie"/>
          <w:rFonts w:ascii="Gadugi" w:eastAsia="Georgia" w:hAnsi="Gadugi" w:cs="Georgia"/>
          <w:bCs/>
          <w:sz w:val="24"/>
          <w:szCs w:val="24"/>
        </w:rPr>
        <w:footnoteReference w:id="12"/>
      </w:r>
      <w:r w:rsidR="0061771B" w:rsidRPr="00985F05">
        <w:rPr>
          <w:rFonts w:ascii="Gadugi" w:eastAsia="Georgia" w:hAnsi="Gadugi" w:cs="Georgia"/>
          <w:bCs/>
          <w:sz w:val="24"/>
          <w:szCs w:val="24"/>
        </w:rPr>
        <w:t xml:space="preserve">. </w:t>
      </w:r>
      <w:r w:rsidR="00B7652E" w:rsidRPr="00985F05">
        <w:rPr>
          <w:rFonts w:ascii="Gadugi" w:eastAsia="Georgia" w:hAnsi="Gadugi" w:cs="Georgia"/>
          <w:bCs/>
          <w:sz w:val="24"/>
          <w:szCs w:val="24"/>
        </w:rPr>
        <w:t xml:space="preserve">En esta sede, </w:t>
      </w:r>
      <w:r w:rsidR="0061771B" w:rsidRPr="00985F05">
        <w:rPr>
          <w:rFonts w:ascii="Gadugi" w:eastAsia="Georgia" w:hAnsi="Gadugi" w:cs="Georgia"/>
          <w:bCs/>
          <w:sz w:val="24"/>
          <w:szCs w:val="24"/>
        </w:rPr>
        <w:t xml:space="preserve">intervinieron </w:t>
      </w:r>
      <w:r w:rsidR="006331D5" w:rsidRPr="00985F05">
        <w:rPr>
          <w:rFonts w:ascii="Gadugi" w:eastAsia="Georgia" w:hAnsi="Gadugi" w:cs="Georgia"/>
          <w:bCs/>
          <w:sz w:val="24"/>
          <w:szCs w:val="24"/>
        </w:rPr>
        <w:t>la Aseguradora y los demandant</w:t>
      </w:r>
      <w:r w:rsidR="00E71B86" w:rsidRPr="00985F05">
        <w:rPr>
          <w:rFonts w:ascii="Gadugi" w:eastAsia="Georgia" w:hAnsi="Gadugi" w:cs="Georgia"/>
          <w:bCs/>
          <w:sz w:val="24"/>
          <w:szCs w:val="24"/>
        </w:rPr>
        <w:t>es</w:t>
      </w:r>
      <w:r w:rsidR="00AF50C7" w:rsidRPr="00985F05">
        <w:rPr>
          <w:rFonts w:ascii="Gadugi" w:eastAsia="Georgia" w:hAnsi="Gadugi" w:cs="Georgia"/>
          <w:bCs/>
          <w:sz w:val="24"/>
          <w:szCs w:val="24"/>
        </w:rPr>
        <w:t xml:space="preserve"> para sustentar</w:t>
      </w:r>
      <w:r w:rsidR="00915AA8" w:rsidRPr="00985F05">
        <w:rPr>
          <w:rStyle w:val="Refdenotaalpie"/>
          <w:rFonts w:ascii="Gadugi" w:eastAsia="Georgia" w:hAnsi="Gadugi" w:cs="Georgia"/>
          <w:bCs/>
          <w:sz w:val="24"/>
          <w:szCs w:val="24"/>
        </w:rPr>
        <w:footnoteReference w:id="13"/>
      </w:r>
      <w:r w:rsidR="00EF0B37" w:rsidRPr="00985F05">
        <w:rPr>
          <w:rFonts w:ascii="Gadugi" w:eastAsia="Georgia" w:hAnsi="Gadugi" w:cs="Georgia"/>
          <w:bCs/>
          <w:sz w:val="24"/>
          <w:szCs w:val="24"/>
        </w:rPr>
        <w:t xml:space="preserve">. </w:t>
      </w:r>
    </w:p>
    <w:p w14:paraId="1FEDCA4F" w14:textId="77777777" w:rsidR="00F05D9C" w:rsidRPr="00985F05" w:rsidRDefault="00F05D9C" w:rsidP="00985F05">
      <w:pPr>
        <w:jc w:val="both"/>
        <w:rPr>
          <w:rFonts w:ascii="Gadugi" w:eastAsia="Georgia" w:hAnsi="Gadugi" w:cs="Georgia"/>
          <w:bCs/>
          <w:sz w:val="24"/>
          <w:szCs w:val="24"/>
        </w:rPr>
      </w:pPr>
    </w:p>
    <w:p w14:paraId="0E6DAC44" w14:textId="76A706D0" w:rsidR="00B12180" w:rsidRPr="00985F05" w:rsidRDefault="00B12180" w:rsidP="00985F05">
      <w:pPr>
        <w:jc w:val="both"/>
        <w:rPr>
          <w:rFonts w:ascii="Gadugi" w:eastAsia="Georgia" w:hAnsi="Gadugi" w:cs="Georgia"/>
          <w:b/>
          <w:sz w:val="24"/>
          <w:szCs w:val="24"/>
          <w:vertAlign w:val="superscript"/>
        </w:rPr>
      </w:pPr>
      <w:r w:rsidRPr="00985F05">
        <w:rPr>
          <w:rFonts w:ascii="Gadugi" w:eastAsia="Georgia" w:hAnsi="Gadugi" w:cs="Georgia"/>
          <w:bCs/>
          <w:sz w:val="24"/>
          <w:szCs w:val="24"/>
        </w:rPr>
        <w:t xml:space="preserve">En vista de que los otros demandados sustentaron </w:t>
      </w:r>
      <w:r w:rsidR="00761611" w:rsidRPr="00985F05">
        <w:rPr>
          <w:rFonts w:ascii="Gadugi" w:eastAsia="Georgia" w:hAnsi="Gadugi" w:cs="Georgia"/>
          <w:bCs/>
          <w:sz w:val="24"/>
          <w:szCs w:val="24"/>
        </w:rPr>
        <w:t xml:space="preserve">junto con los reparos en primera instancia, </w:t>
      </w:r>
      <w:r w:rsidR="00564253" w:rsidRPr="00985F05">
        <w:rPr>
          <w:rFonts w:ascii="Gadugi" w:eastAsia="Georgia" w:hAnsi="Gadugi" w:cs="Georgia"/>
          <w:bCs/>
          <w:sz w:val="24"/>
          <w:szCs w:val="24"/>
        </w:rPr>
        <w:t>con auto del 9 de agosto de 2022</w:t>
      </w:r>
      <w:r w:rsidR="00564253" w:rsidRPr="00985F05">
        <w:rPr>
          <w:rStyle w:val="Refdenotaalpie"/>
          <w:rFonts w:ascii="Gadugi" w:eastAsia="Georgia" w:hAnsi="Gadugi" w:cs="Georgia"/>
          <w:bCs/>
          <w:sz w:val="24"/>
          <w:szCs w:val="24"/>
        </w:rPr>
        <w:footnoteReference w:id="14"/>
      </w:r>
      <w:r w:rsidR="00236EA6" w:rsidRPr="00985F05">
        <w:rPr>
          <w:rFonts w:ascii="Gadugi" w:eastAsia="Georgia" w:hAnsi="Gadugi" w:cs="Georgia"/>
          <w:bCs/>
          <w:sz w:val="24"/>
          <w:szCs w:val="24"/>
        </w:rPr>
        <w:t xml:space="preserve"> se tuvo por cumplida esa carga. </w:t>
      </w:r>
    </w:p>
    <w:p w14:paraId="4D909C5E" w14:textId="023FCD75" w:rsidR="00AF50C7" w:rsidRPr="00985F05" w:rsidRDefault="00AF50C7" w:rsidP="00985F05">
      <w:pPr>
        <w:jc w:val="both"/>
        <w:rPr>
          <w:rFonts w:ascii="Gadugi" w:eastAsia="Georgia" w:hAnsi="Gadugi" w:cs="Georgia"/>
          <w:sz w:val="24"/>
          <w:szCs w:val="24"/>
        </w:rPr>
      </w:pPr>
    </w:p>
    <w:p w14:paraId="716E05AC" w14:textId="77777777" w:rsidR="00D46308" w:rsidRPr="00985F05" w:rsidRDefault="00D46308" w:rsidP="00985F05">
      <w:pPr>
        <w:rPr>
          <w:rFonts w:ascii="Gadugi" w:eastAsia="Georgia" w:hAnsi="Gadugi" w:cs="Georgia"/>
          <w:b/>
          <w:sz w:val="24"/>
          <w:szCs w:val="24"/>
        </w:rPr>
      </w:pPr>
      <w:r w:rsidRPr="00985F05">
        <w:rPr>
          <w:rFonts w:ascii="Gadugi" w:eastAsia="Georgia" w:hAnsi="Gadugi" w:cs="Georgia"/>
          <w:b/>
          <w:sz w:val="24"/>
          <w:szCs w:val="24"/>
        </w:rPr>
        <w:t>2. CONSIDERACIONES</w:t>
      </w:r>
    </w:p>
    <w:p w14:paraId="24DC9E35" w14:textId="77777777" w:rsidR="00D46308" w:rsidRPr="00985F05" w:rsidRDefault="00D46308" w:rsidP="00985F05">
      <w:pPr>
        <w:rPr>
          <w:rFonts w:ascii="Gadugi" w:eastAsia="Georgia" w:hAnsi="Gadugi" w:cs="Georgia"/>
          <w:b/>
          <w:sz w:val="24"/>
          <w:szCs w:val="24"/>
        </w:rPr>
      </w:pPr>
    </w:p>
    <w:p w14:paraId="3EAE2182" w14:textId="77777777" w:rsidR="00D46308" w:rsidRPr="00985F05" w:rsidRDefault="00D46308" w:rsidP="00985F05">
      <w:pPr>
        <w:jc w:val="both"/>
        <w:rPr>
          <w:rFonts w:ascii="Gadugi" w:eastAsia="Georgia" w:hAnsi="Gadugi" w:cs="Georgia"/>
          <w:bCs/>
          <w:sz w:val="24"/>
          <w:szCs w:val="24"/>
        </w:rPr>
      </w:pPr>
      <w:r w:rsidRPr="00985F05">
        <w:rPr>
          <w:rFonts w:ascii="Gadugi" w:eastAsia="Georgia" w:hAnsi="Gadugi" w:cs="Georgia"/>
          <w:bCs/>
          <w:sz w:val="24"/>
          <w:szCs w:val="24"/>
        </w:rPr>
        <w:t>2.1. En este asunto concurren los presupuestos procesales y no se advierte nulidad alguna que pueda derruir lo actuado, con lo que la decisión será de fondo.</w:t>
      </w:r>
    </w:p>
    <w:p w14:paraId="3948524B" w14:textId="77777777" w:rsidR="00D46308" w:rsidRPr="00985F05" w:rsidRDefault="00D46308" w:rsidP="00985F05">
      <w:pPr>
        <w:jc w:val="both"/>
        <w:rPr>
          <w:rFonts w:ascii="Gadugi" w:eastAsia="Georgia" w:hAnsi="Gadugi" w:cs="Georgia"/>
          <w:bCs/>
          <w:sz w:val="24"/>
          <w:szCs w:val="24"/>
        </w:rPr>
      </w:pPr>
    </w:p>
    <w:p w14:paraId="55E443C4" w14:textId="77A64397" w:rsidR="00DE2976" w:rsidRPr="00985F05" w:rsidRDefault="00D46308" w:rsidP="00985F05">
      <w:pPr>
        <w:jc w:val="both"/>
        <w:rPr>
          <w:rFonts w:ascii="Gadugi" w:eastAsia="Georgia" w:hAnsi="Gadugi" w:cs="Georgia"/>
          <w:sz w:val="24"/>
          <w:szCs w:val="24"/>
        </w:rPr>
      </w:pPr>
      <w:r w:rsidRPr="00985F05">
        <w:rPr>
          <w:rFonts w:ascii="Gadugi" w:eastAsia="Georgia" w:hAnsi="Gadugi" w:cs="Georgia"/>
          <w:sz w:val="24"/>
          <w:szCs w:val="24"/>
        </w:rPr>
        <w:t xml:space="preserve">2.2. La legitimación en la causa no admite discusión. Por activa la tienen </w:t>
      </w:r>
      <w:r w:rsidR="00D269EF" w:rsidRPr="00985F05">
        <w:rPr>
          <w:rFonts w:ascii="Gadugi" w:eastAsia="Georgia" w:hAnsi="Gadugi" w:cs="Georgia"/>
          <w:sz w:val="24"/>
          <w:szCs w:val="24"/>
        </w:rPr>
        <w:t>Alejandro Suárez, víctima directa</w:t>
      </w:r>
      <w:r w:rsidR="004C53CB" w:rsidRPr="00985F05">
        <w:rPr>
          <w:rFonts w:ascii="Gadugi" w:eastAsia="Georgia" w:hAnsi="Gadugi" w:cs="Georgia"/>
          <w:sz w:val="24"/>
          <w:szCs w:val="24"/>
        </w:rPr>
        <w:t xml:space="preserve">, según </w:t>
      </w:r>
      <w:r w:rsidR="00284C3D" w:rsidRPr="00985F05">
        <w:rPr>
          <w:rFonts w:ascii="Gadugi" w:eastAsia="Georgia" w:hAnsi="Gadugi" w:cs="Georgia"/>
          <w:sz w:val="24"/>
          <w:szCs w:val="24"/>
        </w:rPr>
        <w:t>el informe del accidente</w:t>
      </w:r>
      <w:r w:rsidR="00284C3D" w:rsidRPr="00985F05">
        <w:rPr>
          <w:rStyle w:val="Refdenotaalpie"/>
          <w:rFonts w:ascii="Gadugi" w:eastAsia="Georgia" w:hAnsi="Gadugi" w:cs="Georgia"/>
          <w:sz w:val="24"/>
          <w:szCs w:val="24"/>
        </w:rPr>
        <w:footnoteReference w:id="15"/>
      </w:r>
      <w:r w:rsidR="00857041" w:rsidRPr="00985F05">
        <w:rPr>
          <w:rFonts w:ascii="Gadugi" w:eastAsia="Georgia" w:hAnsi="Gadugi" w:cs="Georgia"/>
          <w:sz w:val="24"/>
          <w:szCs w:val="24"/>
        </w:rPr>
        <w:t xml:space="preserve">, </w:t>
      </w:r>
      <w:r w:rsidR="00B42F04" w:rsidRPr="00985F05">
        <w:rPr>
          <w:rFonts w:ascii="Gadugi" w:eastAsia="Georgia" w:hAnsi="Gadugi" w:cs="Georgia"/>
          <w:sz w:val="24"/>
          <w:szCs w:val="24"/>
        </w:rPr>
        <w:t xml:space="preserve">y </w:t>
      </w:r>
      <w:r w:rsidR="00626A93" w:rsidRPr="00985F05">
        <w:rPr>
          <w:rFonts w:ascii="Gadugi" w:eastAsia="Georgia" w:hAnsi="Gadugi" w:cs="Georgia"/>
          <w:sz w:val="24"/>
          <w:szCs w:val="24"/>
        </w:rPr>
        <w:t>M</w:t>
      </w:r>
      <w:r w:rsidR="00482B49" w:rsidRPr="00985F05">
        <w:rPr>
          <w:rFonts w:ascii="Gadugi" w:eastAsia="Georgia" w:hAnsi="Gadugi" w:cs="Georgia"/>
          <w:sz w:val="24"/>
          <w:szCs w:val="24"/>
        </w:rPr>
        <w:t>a</w:t>
      </w:r>
      <w:r w:rsidR="00626A93" w:rsidRPr="00985F05">
        <w:rPr>
          <w:rFonts w:ascii="Gadugi" w:eastAsia="Georgia" w:hAnsi="Gadugi" w:cs="Georgia"/>
          <w:sz w:val="24"/>
          <w:szCs w:val="24"/>
        </w:rPr>
        <w:t xml:space="preserve">rtha Lucía </w:t>
      </w:r>
      <w:r w:rsidR="00482B49" w:rsidRPr="00985F05">
        <w:rPr>
          <w:rFonts w:ascii="Gadugi" w:eastAsia="Georgia" w:hAnsi="Gadugi" w:cs="Georgia"/>
          <w:sz w:val="24"/>
          <w:szCs w:val="24"/>
        </w:rPr>
        <w:t>C</w:t>
      </w:r>
      <w:r w:rsidR="00626A93" w:rsidRPr="00985F05">
        <w:rPr>
          <w:rFonts w:ascii="Gadugi" w:eastAsia="Georgia" w:hAnsi="Gadugi" w:cs="Georgia"/>
          <w:sz w:val="24"/>
          <w:szCs w:val="24"/>
        </w:rPr>
        <w:t>adavid</w:t>
      </w:r>
      <w:r w:rsidR="00B42F04" w:rsidRPr="00985F05">
        <w:rPr>
          <w:rFonts w:ascii="Gadugi" w:eastAsia="Georgia" w:hAnsi="Gadugi" w:cs="Georgia"/>
          <w:sz w:val="24"/>
          <w:szCs w:val="24"/>
        </w:rPr>
        <w:t>, madre de aquel</w:t>
      </w:r>
      <w:r w:rsidR="00B42F04" w:rsidRPr="00985F05">
        <w:rPr>
          <w:rStyle w:val="Refdenotaalpie"/>
          <w:rFonts w:ascii="Gadugi" w:eastAsia="Georgia" w:hAnsi="Gadugi" w:cs="Georgia"/>
          <w:sz w:val="24"/>
          <w:szCs w:val="24"/>
        </w:rPr>
        <w:footnoteReference w:id="16"/>
      </w:r>
      <w:r w:rsidR="00B42F04" w:rsidRPr="00985F05">
        <w:rPr>
          <w:rFonts w:ascii="Gadugi" w:eastAsia="Georgia" w:hAnsi="Gadugi" w:cs="Georgia"/>
          <w:sz w:val="24"/>
          <w:szCs w:val="24"/>
        </w:rPr>
        <w:t>, quien reclama como víctima indirecta.</w:t>
      </w:r>
      <w:r w:rsidR="00FB71EC" w:rsidRPr="00985F05">
        <w:rPr>
          <w:rFonts w:ascii="Gadugi" w:eastAsia="Georgia" w:hAnsi="Gadugi" w:cs="Georgia"/>
          <w:sz w:val="24"/>
          <w:szCs w:val="24"/>
        </w:rPr>
        <w:t xml:space="preserve"> También </w:t>
      </w:r>
      <w:r w:rsidR="002158F4" w:rsidRPr="00985F05">
        <w:rPr>
          <w:rFonts w:ascii="Gadugi" w:eastAsia="Georgia" w:hAnsi="Gadugi" w:cs="Georgia"/>
          <w:sz w:val="24"/>
          <w:szCs w:val="24"/>
        </w:rPr>
        <w:t>Beatriz Elena García Castaño, quien acudió como compañera permanente de</w:t>
      </w:r>
      <w:r w:rsidR="008D500D" w:rsidRPr="00985F05">
        <w:rPr>
          <w:rFonts w:ascii="Gadugi" w:eastAsia="Georgia" w:hAnsi="Gadugi" w:cs="Georgia"/>
          <w:sz w:val="24"/>
          <w:szCs w:val="24"/>
        </w:rPr>
        <w:t xml:space="preserve"> Alejandro, relación que se acreditó con </w:t>
      </w:r>
      <w:r w:rsidR="007B04D7" w:rsidRPr="00985F05">
        <w:rPr>
          <w:rFonts w:ascii="Gadugi" w:eastAsia="Georgia" w:hAnsi="Gadugi" w:cs="Georgia"/>
          <w:sz w:val="24"/>
          <w:szCs w:val="24"/>
        </w:rPr>
        <w:t>la declaración que se trajo con la demanda</w:t>
      </w:r>
      <w:r w:rsidR="007B04D7" w:rsidRPr="00985F05">
        <w:rPr>
          <w:rStyle w:val="Refdenotaalpie"/>
          <w:rFonts w:ascii="Gadugi" w:eastAsia="Georgia" w:hAnsi="Gadugi" w:cs="Georgia"/>
          <w:sz w:val="24"/>
          <w:szCs w:val="24"/>
        </w:rPr>
        <w:footnoteReference w:id="17"/>
      </w:r>
      <w:r w:rsidR="007B04D7" w:rsidRPr="00985F05">
        <w:rPr>
          <w:rFonts w:ascii="Gadugi" w:eastAsia="Georgia" w:hAnsi="Gadugi" w:cs="Georgia"/>
          <w:sz w:val="24"/>
          <w:szCs w:val="24"/>
        </w:rPr>
        <w:t xml:space="preserve"> y se corroboró con </w:t>
      </w:r>
      <w:r w:rsidR="00C20566" w:rsidRPr="00985F05">
        <w:rPr>
          <w:rFonts w:ascii="Gadugi" w:eastAsia="Georgia" w:hAnsi="Gadugi" w:cs="Georgia"/>
          <w:sz w:val="24"/>
          <w:szCs w:val="24"/>
        </w:rPr>
        <w:t>el dicho de la misma Martha Lucía Cadavid</w:t>
      </w:r>
      <w:r w:rsidR="00C20566" w:rsidRPr="00985F05">
        <w:rPr>
          <w:rStyle w:val="Refdenotaalpie"/>
          <w:rFonts w:ascii="Gadugi" w:eastAsia="Georgia" w:hAnsi="Gadugi" w:cs="Georgia"/>
          <w:sz w:val="24"/>
          <w:szCs w:val="24"/>
        </w:rPr>
        <w:footnoteReference w:id="18"/>
      </w:r>
      <w:r w:rsidR="0073566A" w:rsidRPr="00985F05">
        <w:rPr>
          <w:rFonts w:ascii="Gadugi" w:eastAsia="Georgia" w:hAnsi="Gadugi" w:cs="Georgia"/>
          <w:sz w:val="24"/>
          <w:szCs w:val="24"/>
        </w:rPr>
        <w:t>.</w:t>
      </w:r>
    </w:p>
    <w:p w14:paraId="30234C53" w14:textId="1A817906" w:rsidR="00DE2976" w:rsidRPr="00985F05" w:rsidRDefault="00DE2976" w:rsidP="00985F05">
      <w:pPr>
        <w:jc w:val="both"/>
        <w:rPr>
          <w:rFonts w:ascii="Gadugi" w:eastAsia="Georgia" w:hAnsi="Gadugi" w:cs="Georgia"/>
          <w:bCs/>
          <w:sz w:val="24"/>
          <w:szCs w:val="24"/>
        </w:rPr>
      </w:pPr>
    </w:p>
    <w:p w14:paraId="126B5F8A" w14:textId="3680214C" w:rsidR="0073566A" w:rsidRPr="00985F05" w:rsidRDefault="00BD3D9F" w:rsidP="00985F05">
      <w:pPr>
        <w:jc w:val="both"/>
        <w:rPr>
          <w:rFonts w:ascii="Gadugi" w:hAnsi="Gadugi"/>
          <w:sz w:val="24"/>
          <w:szCs w:val="24"/>
        </w:rPr>
      </w:pPr>
      <w:r w:rsidRPr="00985F05">
        <w:rPr>
          <w:rFonts w:ascii="Gadugi" w:eastAsia="Georgia" w:hAnsi="Gadugi" w:cs="Georgia"/>
          <w:sz w:val="24"/>
          <w:szCs w:val="24"/>
        </w:rPr>
        <w:t>Y por pasiva</w:t>
      </w:r>
      <w:r w:rsidR="00261A01" w:rsidRPr="00985F05">
        <w:rPr>
          <w:rFonts w:ascii="Gadugi" w:eastAsia="Georgia" w:hAnsi="Gadugi" w:cs="Georgia"/>
          <w:sz w:val="24"/>
          <w:szCs w:val="24"/>
        </w:rPr>
        <w:t xml:space="preserve"> concurren </w:t>
      </w:r>
      <w:r w:rsidR="001217D1" w:rsidRPr="00985F05">
        <w:rPr>
          <w:rFonts w:ascii="Gadugi" w:eastAsia="Georgia" w:hAnsi="Gadugi" w:cs="Georgia"/>
          <w:sz w:val="24"/>
          <w:szCs w:val="24"/>
        </w:rPr>
        <w:t>Luis Aníbal Maya Angano</w:t>
      </w:r>
      <w:r w:rsidR="00280C6E" w:rsidRPr="00985F05">
        <w:rPr>
          <w:rFonts w:ascii="Gadugi" w:eastAsia="Georgia" w:hAnsi="Gadugi" w:cs="Georgia"/>
          <w:sz w:val="24"/>
          <w:szCs w:val="24"/>
        </w:rPr>
        <w:t>, en quien recaía la guarda jurídica del bien para esa época como propietario del automotor</w:t>
      </w:r>
      <w:r w:rsidR="00115280" w:rsidRPr="00985F05">
        <w:rPr>
          <w:rFonts w:ascii="Gadugi" w:eastAsia="Georgia" w:hAnsi="Gadugi" w:cs="Georgia"/>
          <w:sz w:val="24"/>
          <w:szCs w:val="24"/>
        </w:rPr>
        <w:t xml:space="preserve"> de placas SJT584</w:t>
      </w:r>
      <w:r w:rsidR="00280C6E" w:rsidRPr="00985F05">
        <w:rPr>
          <w:rFonts w:ascii="Gadugi" w:eastAsia="Georgia" w:hAnsi="Gadugi" w:cs="Georgia"/>
          <w:sz w:val="24"/>
          <w:szCs w:val="24"/>
        </w:rPr>
        <w:t xml:space="preserve">; la sociedad </w:t>
      </w:r>
      <w:r w:rsidR="00115280" w:rsidRPr="00985F05">
        <w:rPr>
          <w:rFonts w:ascii="Gadugi" w:eastAsia="Georgia" w:hAnsi="Gadugi" w:cs="Georgia"/>
          <w:sz w:val="24"/>
          <w:szCs w:val="24"/>
        </w:rPr>
        <w:t xml:space="preserve">Primer Tax S.A. </w:t>
      </w:r>
      <w:r w:rsidR="00395C2B" w:rsidRPr="00985F05">
        <w:rPr>
          <w:rFonts w:ascii="Gadugi" w:eastAsia="Georgia" w:hAnsi="Gadugi" w:cs="Georgia"/>
          <w:sz w:val="24"/>
          <w:szCs w:val="24"/>
        </w:rPr>
        <w:t xml:space="preserve">a la que estaba afiliado </w:t>
      </w:r>
      <w:r w:rsidR="00D46308" w:rsidRPr="00985F05">
        <w:rPr>
          <w:rFonts w:ascii="Gadugi" w:eastAsia="Georgia" w:hAnsi="Gadugi" w:cs="Georgia"/>
          <w:sz w:val="24"/>
          <w:szCs w:val="24"/>
        </w:rPr>
        <w:t>y</w:t>
      </w:r>
      <w:r w:rsidR="00442763" w:rsidRPr="00985F05">
        <w:rPr>
          <w:rFonts w:ascii="Gadugi" w:eastAsia="Georgia" w:hAnsi="Gadugi" w:cs="Georgia"/>
          <w:sz w:val="24"/>
          <w:szCs w:val="24"/>
        </w:rPr>
        <w:t>,</w:t>
      </w:r>
      <w:r w:rsidR="00D46308" w:rsidRPr="00985F05">
        <w:rPr>
          <w:rFonts w:ascii="Gadugi" w:eastAsia="Georgia" w:hAnsi="Gadugi" w:cs="Georgia"/>
          <w:sz w:val="24"/>
          <w:szCs w:val="24"/>
        </w:rPr>
        <w:t xml:space="preserve"> por tanto</w:t>
      </w:r>
      <w:r w:rsidR="00442763" w:rsidRPr="00985F05">
        <w:rPr>
          <w:rFonts w:ascii="Gadugi" w:eastAsia="Georgia" w:hAnsi="Gadugi" w:cs="Georgia"/>
          <w:sz w:val="24"/>
          <w:szCs w:val="24"/>
        </w:rPr>
        <w:t>,</w:t>
      </w:r>
      <w:r w:rsidR="00D46308" w:rsidRPr="00985F05">
        <w:rPr>
          <w:rFonts w:ascii="Gadugi" w:eastAsia="Georgia" w:hAnsi="Gadugi" w:cs="Georgia"/>
          <w:sz w:val="24"/>
          <w:szCs w:val="24"/>
        </w:rPr>
        <w:t xml:space="preserve"> obtenía provecho de la actividad</w:t>
      </w:r>
      <w:r w:rsidR="003429F1" w:rsidRPr="00985F05">
        <w:rPr>
          <w:rStyle w:val="Refdenotaalpie"/>
          <w:rFonts w:ascii="Gadugi" w:eastAsia="Georgia" w:hAnsi="Gadugi" w:cs="Georgia"/>
          <w:sz w:val="24"/>
          <w:szCs w:val="24"/>
        </w:rPr>
        <w:footnoteReference w:id="19"/>
      </w:r>
      <w:r w:rsidR="00D46308" w:rsidRPr="00985F05">
        <w:rPr>
          <w:rFonts w:ascii="Gadugi" w:eastAsia="Georgia" w:hAnsi="Gadugi" w:cs="Georgia"/>
          <w:sz w:val="24"/>
          <w:szCs w:val="24"/>
        </w:rPr>
        <w:t xml:space="preserve">, </w:t>
      </w:r>
      <w:r w:rsidR="0015194C" w:rsidRPr="00985F05">
        <w:rPr>
          <w:rFonts w:ascii="Gadugi" w:eastAsia="Georgia" w:hAnsi="Gadugi" w:cs="Georgia"/>
          <w:bCs/>
          <w:sz w:val="24"/>
          <w:szCs w:val="24"/>
        </w:rPr>
        <w:t>Brian David Maya Benavidez, conductor del mismo,</w:t>
      </w:r>
      <w:r w:rsidR="0015194C" w:rsidRPr="00985F05">
        <w:rPr>
          <w:rFonts w:ascii="Gadugi" w:eastAsia="Georgia" w:hAnsi="Gadugi" w:cs="Georgia"/>
          <w:sz w:val="24"/>
          <w:szCs w:val="24"/>
        </w:rPr>
        <w:t xml:space="preserve"> </w:t>
      </w:r>
      <w:r w:rsidR="00D46308" w:rsidRPr="00985F05">
        <w:rPr>
          <w:rFonts w:ascii="Gadugi" w:eastAsia="Georgia" w:hAnsi="Gadugi" w:cs="Georgia"/>
          <w:sz w:val="24"/>
          <w:szCs w:val="24"/>
        </w:rPr>
        <w:t>circunstancia</w:t>
      </w:r>
      <w:r w:rsidR="00442763" w:rsidRPr="00985F05">
        <w:rPr>
          <w:rFonts w:ascii="Gadugi" w:eastAsia="Georgia" w:hAnsi="Gadugi" w:cs="Georgia"/>
          <w:sz w:val="24"/>
          <w:szCs w:val="24"/>
        </w:rPr>
        <w:t>s que no fueron</w:t>
      </w:r>
      <w:r w:rsidR="00395C2B" w:rsidRPr="00985F05">
        <w:rPr>
          <w:rFonts w:ascii="Gadugi" w:eastAsia="Georgia" w:hAnsi="Gadugi" w:cs="Georgia"/>
          <w:sz w:val="24"/>
          <w:szCs w:val="24"/>
        </w:rPr>
        <w:t xml:space="preserve"> discutidas</w:t>
      </w:r>
      <w:r w:rsidR="00DE14AB" w:rsidRPr="00985F05">
        <w:rPr>
          <w:rFonts w:ascii="Gadugi" w:eastAsia="Georgia" w:hAnsi="Gadugi" w:cs="Georgia"/>
          <w:sz w:val="24"/>
          <w:szCs w:val="24"/>
        </w:rPr>
        <w:t>;</w:t>
      </w:r>
      <w:r w:rsidR="00D677F9" w:rsidRPr="00985F05">
        <w:rPr>
          <w:rFonts w:ascii="Gadugi" w:eastAsia="Georgia" w:hAnsi="Gadugi" w:cs="Georgia"/>
          <w:sz w:val="24"/>
          <w:szCs w:val="24"/>
        </w:rPr>
        <w:t xml:space="preserve"> y la Aseguradora Solidaria de Colombia que </w:t>
      </w:r>
      <w:r w:rsidR="00E83546" w:rsidRPr="00985F05">
        <w:rPr>
          <w:rFonts w:ascii="Gadugi" w:eastAsia="Georgia" w:hAnsi="Gadugi" w:cs="Georgia"/>
          <w:sz w:val="24"/>
          <w:szCs w:val="24"/>
        </w:rPr>
        <w:t>expidió la póliza de automóviles 994000009276</w:t>
      </w:r>
      <w:r w:rsidR="006F4B17" w:rsidRPr="00985F05">
        <w:rPr>
          <w:rStyle w:val="Refdenotaalpie"/>
          <w:rFonts w:ascii="Gadugi" w:eastAsia="Georgia" w:hAnsi="Gadugi" w:cs="Georgia"/>
          <w:sz w:val="24"/>
          <w:szCs w:val="24"/>
        </w:rPr>
        <w:footnoteReference w:id="20"/>
      </w:r>
      <w:r w:rsidR="00D46308" w:rsidRPr="00985F05">
        <w:rPr>
          <w:rFonts w:ascii="Gadugi" w:eastAsia="Georgia" w:hAnsi="Gadugi" w:cs="Georgia"/>
          <w:sz w:val="24"/>
          <w:szCs w:val="24"/>
        </w:rPr>
        <w:t xml:space="preserve"> </w:t>
      </w:r>
      <w:r w:rsidR="0030355C" w:rsidRPr="00985F05">
        <w:rPr>
          <w:rFonts w:ascii="Gadugi" w:eastAsia="Georgia" w:hAnsi="Gadugi" w:cs="Georgia"/>
          <w:sz w:val="24"/>
          <w:szCs w:val="24"/>
        </w:rPr>
        <w:t>respecto de ese automotor.</w:t>
      </w:r>
    </w:p>
    <w:p w14:paraId="0917CF75" w14:textId="77777777" w:rsidR="0073566A" w:rsidRPr="00985F05" w:rsidRDefault="0073566A" w:rsidP="00985F05">
      <w:pPr>
        <w:jc w:val="both"/>
        <w:rPr>
          <w:rFonts w:ascii="Gadugi" w:hAnsi="Gadugi"/>
          <w:sz w:val="24"/>
          <w:szCs w:val="24"/>
        </w:rPr>
      </w:pPr>
    </w:p>
    <w:p w14:paraId="5D70E24C" w14:textId="07DFA264" w:rsidR="00D46308" w:rsidRPr="00985F05" w:rsidRDefault="0073566A" w:rsidP="00985F05">
      <w:pPr>
        <w:jc w:val="both"/>
        <w:rPr>
          <w:rFonts w:ascii="Gadugi" w:eastAsia="Georgia" w:hAnsi="Gadugi" w:cs="Georgia"/>
          <w:bCs/>
          <w:sz w:val="24"/>
          <w:szCs w:val="24"/>
        </w:rPr>
      </w:pPr>
      <w:r w:rsidRPr="00985F05">
        <w:rPr>
          <w:rFonts w:ascii="Gadugi" w:hAnsi="Gadugi"/>
          <w:sz w:val="24"/>
          <w:szCs w:val="24"/>
        </w:rPr>
        <w:t>2</w:t>
      </w:r>
      <w:r w:rsidR="00D46308" w:rsidRPr="00985F05">
        <w:rPr>
          <w:rFonts w:ascii="Gadugi" w:eastAsia="Georgia" w:hAnsi="Gadugi" w:cs="Georgia"/>
          <w:bCs/>
          <w:sz w:val="24"/>
          <w:szCs w:val="24"/>
        </w:rPr>
        <w:t>.</w:t>
      </w:r>
      <w:r w:rsidRPr="00985F05">
        <w:rPr>
          <w:rFonts w:ascii="Gadugi" w:eastAsia="Georgia" w:hAnsi="Gadugi" w:cs="Georgia"/>
          <w:bCs/>
          <w:sz w:val="24"/>
          <w:szCs w:val="24"/>
        </w:rPr>
        <w:t>3.</w:t>
      </w:r>
      <w:r w:rsidR="00D46308" w:rsidRPr="00985F05">
        <w:rPr>
          <w:rFonts w:ascii="Gadugi" w:eastAsia="Georgia" w:hAnsi="Gadugi" w:cs="Georgia"/>
          <w:bCs/>
          <w:sz w:val="24"/>
          <w:szCs w:val="24"/>
        </w:rPr>
        <w:t xml:space="preserve"> La Sala debe decidir si </w:t>
      </w:r>
      <w:r w:rsidR="00D251AE" w:rsidRPr="00985F05">
        <w:rPr>
          <w:rFonts w:ascii="Gadugi" w:eastAsia="Georgia" w:hAnsi="Gadugi" w:cs="Georgia"/>
          <w:bCs/>
          <w:sz w:val="24"/>
          <w:szCs w:val="24"/>
        </w:rPr>
        <w:t xml:space="preserve">(i) </w:t>
      </w:r>
      <w:r w:rsidR="00D46308" w:rsidRPr="00985F05">
        <w:rPr>
          <w:rFonts w:ascii="Gadugi" w:eastAsia="Georgia" w:hAnsi="Gadugi" w:cs="Georgia"/>
          <w:bCs/>
          <w:sz w:val="24"/>
          <w:szCs w:val="24"/>
        </w:rPr>
        <w:t xml:space="preserve">confirma o revoca el fallo de primera instancia que </w:t>
      </w:r>
      <w:r w:rsidR="0030355C" w:rsidRPr="00985F05">
        <w:rPr>
          <w:rFonts w:ascii="Gadugi" w:eastAsia="Georgia" w:hAnsi="Gadugi" w:cs="Georgia"/>
          <w:bCs/>
          <w:sz w:val="24"/>
          <w:szCs w:val="24"/>
        </w:rPr>
        <w:t xml:space="preserve">accedió parcialmente a las </w:t>
      </w:r>
      <w:r w:rsidR="00D46308" w:rsidRPr="00985F05">
        <w:rPr>
          <w:rFonts w:ascii="Gadugi" w:eastAsia="Georgia" w:hAnsi="Gadugi" w:cs="Georgia"/>
          <w:bCs/>
          <w:sz w:val="24"/>
          <w:szCs w:val="24"/>
        </w:rPr>
        <w:t>pretensiones de la demanda, porque se demostr</w:t>
      </w:r>
      <w:r w:rsidR="0030355C" w:rsidRPr="00985F05">
        <w:rPr>
          <w:rFonts w:ascii="Gadugi" w:eastAsia="Georgia" w:hAnsi="Gadugi" w:cs="Georgia"/>
          <w:bCs/>
          <w:sz w:val="24"/>
          <w:szCs w:val="24"/>
        </w:rPr>
        <w:t>aron</w:t>
      </w:r>
      <w:r w:rsidR="00D46308" w:rsidRPr="00985F05">
        <w:rPr>
          <w:rFonts w:ascii="Gadugi" w:eastAsia="Georgia" w:hAnsi="Gadugi" w:cs="Georgia"/>
          <w:bCs/>
          <w:sz w:val="24"/>
          <w:szCs w:val="24"/>
        </w:rPr>
        <w:t xml:space="preserve"> </w:t>
      </w:r>
      <w:r w:rsidR="0030355C" w:rsidRPr="00985F05">
        <w:rPr>
          <w:rFonts w:ascii="Gadugi" w:eastAsia="Georgia" w:hAnsi="Gadugi" w:cs="Georgia"/>
          <w:bCs/>
          <w:sz w:val="24"/>
          <w:szCs w:val="24"/>
        </w:rPr>
        <w:t>la ocurrencia del accidente y los daños infli</w:t>
      </w:r>
      <w:r w:rsidRPr="00985F05">
        <w:rPr>
          <w:rFonts w:ascii="Gadugi" w:eastAsia="Georgia" w:hAnsi="Gadugi" w:cs="Georgia"/>
          <w:bCs/>
          <w:sz w:val="24"/>
          <w:szCs w:val="24"/>
        </w:rPr>
        <w:t>g</w:t>
      </w:r>
      <w:r w:rsidR="0030355C" w:rsidRPr="00985F05">
        <w:rPr>
          <w:rFonts w:ascii="Gadugi" w:eastAsia="Georgia" w:hAnsi="Gadugi" w:cs="Georgia"/>
          <w:bCs/>
          <w:sz w:val="24"/>
          <w:szCs w:val="24"/>
        </w:rPr>
        <w:t xml:space="preserve">idos a </w:t>
      </w:r>
      <w:r w:rsidR="002F6AEA" w:rsidRPr="00985F05">
        <w:rPr>
          <w:rFonts w:ascii="Gadugi" w:eastAsia="Georgia" w:hAnsi="Gadugi" w:cs="Georgia"/>
          <w:bCs/>
          <w:sz w:val="24"/>
          <w:szCs w:val="24"/>
        </w:rPr>
        <w:t>dos de los demandantes</w:t>
      </w:r>
      <w:r w:rsidR="00D251AE" w:rsidRPr="00985F05">
        <w:rPr>
          <w:rFonts w:ascii="Gadugi" w:eastAsia="Georgia" w:hAnsi="Gadugi" w:cs="Georgia"/>
          <w:bCs/>
          <w:sz w:val="24"/>
          <w:szCs w:val="24"/>
        </w:rPr>
        <w:t xml:space="preserve">; (ii) </w:t>
      </w:r>
      <w:r w:rsidR="00D46308" w:rsidRPr="00985F05">
        <w:rPr>
          <w:rFonts w:ascii="Gadugi" w:eastAsia="Georgia" w:hAnsi="Gadugi" w:cs="Georgia"/>
          <w:bCs/>
          <w:sz w:val="24"/>
          <w:szCs w:val="24"/>
        </w:rPr>
        <w:t xml:space="preserve">si lo </w:t>
      </w:r>
      <w:r w:rsidR="00D251AE" w:rsidRPr="00985F05">
        <w:rPr>
          <w:rFonts w:ascii="Gadugi" w:eastAsia="Georgia" w:hAnsi="Gadugi" w:cs="Georgia"/>
          <w:bCs/>
          <w:sz w:val="24"/>
          <w:szCs w:val="24"/>
        </w:rPr>
        <w:t>modifica para reconocer también los perjuicios causados a la otra accionan</w:t>
      </w:r>
      <w:r w:rsidR="00516832" w:rsidRPr="00985F05">
        <w:rPr>
          <w:rFonts w:ascii="Gadugi" w:eastAsia="Georgia" w:hAnsi="Gadugi" w:cs="Georgia"/>
          <w:bCs/>
          <w:sz w:val="24"/>
          <w:szCs w:val="24"/>
        </w:rPr>
        <w:t>te o bien para declarar la concurrencia de hechos</w:t>
      </w:r>
      <w:r w:rsidR="00AE4875" w:rsidRPr="00985F05">
        <w:rPr>
          <w:rFonts w:ascii="Gadugi" w:eastAsia="Georgia" w:hAnsi="Gadugi" w:cs="Georgia"/>
          <w:bCs/>
          <w:sz w:val="24"/>
          <w:szCs w:val="24"/>
        </w:rPr>
        <w:t xml:space="preserve"> causales, según reclaman </w:t>
      </w:r>
      <w:r w:rsidR="00066557" w:rsidRPr="00985F05">
        <w:rPr>
          <w:rFonts w:ascii="Gadugi" w:eastAsia="Georgia" w:hAnsi="Gadugi" w:cs="Georgia"/>
          <w:bCs/>
          <w:sz w:val="24"/>
          <w:szCs w:val="24"/>
        </w:rPr>
        <w:t xml:space="preserve">algunos </w:t>
      </w:r>
      <w:r w:rsidR="00AE4875" w:rsidRPr="00985F05">
        <w:rPr>
          <w:rFonts w:ascii="Gadugi" w:eastAsia="Georgia" w:hAnsi="Gadugi" w:cs="Georgia"/>
          <w:bCs/>
          <w:sz w:val="24"/>
          <w:szCs w:val="24"/>
        </w:rPr>
        <w:t>demandados</w:t>
      </w:r>
      <w:r w:rsidR="00516832" w:rsidRPr="00985F05">
        <w:rPr>
          <w:rFonts w:ascii="Gadugi" w:eastAsia="Georgia" w:hAnsi="Gadugi" w:cs="Georgia"/>
          <w:bCs/>
          <w:sz w:val="24"/>
          <w:szCs w:val="24"/>
        </w:rPr>
        <w:t>; (iii) o la revoca</w:t>
      </w:r>
      <w:r w:rsidR="00AE4875" w:rsidRPr="00985F05">
        <w:rPr>
          <w:rFonts w:ascii="Gadugi" w:eastAsia="Georgia" w:hAnsi="Gadugi" w:cs="Georgia"/>
          <w:bCs/>
          <w:sz w:val="24"/>
          <w:szCs w:val="24"/>
        </w:rPr>
        <w:t xml:space="preserve"> para declarar que hubo un hecho exclusivo de la víctima</w:t>
      </w:r>
      <w:r w:rsidR="00066557" w:rsidRPr="00985F05">
        <w:rPr>
          <w:rFonts w:ascii="Gadugi" w:eastAsia="Georgia" w:hAnsi="Gadugi" w:cs="Georgia"/>
          <w:bCs/>
          <w:sz w:val="24"/>
          <w:szCs w:val="24"/>
        </w:rPr>
        <w:t xml:space="preserve"> o de un tercero. </w:t>
      </w:r>
    </w:p>
    <w:p w14:paraId="4EA654AD" w14:textId="77777777" w:rsidR="00D46308" w:rsidRPr="00985F05" w:rsidRDefault="00D46308" w:rsidP="00985F05">
      <w:pPr>
        <w:jc w:val="both"/>
        <w:rPr>
          <w:rFonts w:ascii="Gadugi" w:eastAsia="Georgia" w:hAnsi="Gadugi" w:cs="Georgia"/>
          <w:bCs/>
          <w:sz w:val="24"/>
          <w:szCs w:val="24"/>
          <w:lang w:val="es-CO"/>
        </w:rPr>
      </w:pPr>
      <w:r w:rsidRPr="00985F05">
        <w:rPr>
          <w:rFonts w:ascii="Gadugi" w:eastAsia="Georgia" w:hAnsi="Gadugi" w:cs="Georgia"/>
          <w:bCs/>
          <w:sz w:val="24"/>
          <w:szCs w:val="24"/>
          <w:lang w:val="es-CO"/>
        </w:rPr>
        <w:t xml:space="preserve"> </w:t>
      </w:r>
    </w:p>
    <w:p w14:paraId="5E0B4D3C" w14:textId="77777777" w:rsidR="00D46308" w:rsidRPr="00985F05" w:rsidRDefault="00D46308" w:rsidP="00985F05">
      <w:pPr>
        <w:jc w:val="both"/>
        <w:rPr>
          <w:rFonts w:ascii="Gadugi" w:eastAsia="Georgia" w:hAnsi="Gadugi" w:cs="Georgia"/>
          <w:bCs/>
          <w:sz w:val="24"/>
          <w:szCs w:val="24"/>
          <w:lang w:val="es-CO"/>
        </w:rPr>
      </w:pPr>
      <w:r w:rsidRPr="00985F05">
        <w:rPr>
          <w:rFonts w:ascii="Gadugi" w:eastAsia="Georgia" w:hAnsi="Gadugi" w:cs="Georgia"/>
          <w:bCs/>
          <w:sz w:val="24"/>
          <w:szCs w:val="24"/>
          <w:lang w:val="es-CO"/>
        </w:rPr>
        <w:t>2.6. A estos aspectos contraerá la Sala su decisión, si se recuerda que, producto de la redacción del artículo 328 del CGP, el sendero que traza la competencia del Superior está dado por aquellos aspectos que fueron objeto de impugnación, sin perjuicio de algunas situaciones que permiten decidir de oficio (legitimación en la causa -como aquí ocurrió-, prestaciones mutuas, asuntos relacionados con la familia, las costas procesales, por ejemplo). Es lo que se ha dado en denominar la pretensión impugnaticia, como ha sido reconocido por esta Sala de tiempo atrás</w:t>
      </w:r>
      <w:r w:rsidRPr="00985F05">
        <w:rPr>
          <w:rFonts w:ascii="Gadugi" w:eastAsia="Georgia" w:hAnsi="Gadugi" w:cs="Georgia"/>
          <w:bCs/>
          <w:sz w:val="24"/>
          <w:szCs w:val="24"/>
          <w:vertAlign w:val="superscript"/>
          <w:lang w:val="es-CO"/>
        </w:rPr>
        <w:footnoteReference w:id="21"/>
      </w:r>
      <w:r w:rsidRPr="00985F05">
        <w:rPr>
          <w:rFonts w:ascii="Gadugi" w:eastAsia="Georgia" w:hAnsi="Gadugi" w:cs="Georgia"/>
          <w:bCs/>
          <w:sz w:val="24"/>
          <w:szCs w:val="24"/>
          <w:lang w:val="es-CO"/>
        </w:rPr>
        <w:t xml:space="preserve"> y lo han reiterado otras</w:t>
      </w:r>
      <w:r w:rsidRPr="00985F05">
        <w:rPr>
          <w:rFonts w:ascii="Gadugi" w:eastAsia="Georgia" w:hAnsi="Gadugi" w:cs="Georgia"/>
          <w:bCs/>
          <w:sz w:val="24"/>
          <w:szCs w:val="24"/>
          <w:vertAlign w:val="superscript"/>
          <w:lang w:val="es-CO"/>
        </w:rPr>
        <w:footnoteReference w:id="22"/>
      </w:r>
      <w:r w:rsidRPr="00985F05">
        <w:rPr>
          <w:rFonts w:ascii="Gadugi" w:eastAsia="Georgia" w:hAnsi="Gadugi" w:cs="Georgia"/>
          <w:bCs/>
          <w:sz w:val="24"/>
          <w:szCs w:val="24"/>
          <w:lang w:val="es-CO"/>
        </w:rPr>
        <w:t>, con soporte en decisiones de la Corte, unas de tutela</w:t>
      </w:r>
      <w:r w:rsidRPr="00985F05">
        <w:rPr>
          <w:rFonts w:ascii="Gadugi" w:eastAsia="Georgia" w:hAnsi="Gadugi" w:cs="Georgia"/>
          <w:bCs/>
          <w:sz w:val="24"/>
          <w:szCs w:val="24"/>
          <w:vertAlign w:val="superscript"/>
          <w:lang w:val="es-CO"/>
        </w:rPr>
        <w:footnoteReference w:id="23"/>
      </w:r>
      <w:r w:rsidRPr="00985F05">
        <w:rPr>
          <w:rFonts w:ascii="Gadugi" w:eastAsia="Georgia" w:hAnsi="Gadugi" w:cs="Georgia"/>
          <w:bCs/>
          <w:sz w:val="24"/>
          <w:szCs w:val="24"/>
          <w:lang w:val="es-CO"/>
        </w:rPr>
        <w:t>, que se acogen como criterio auxiliar, y otras de casación</w:t>
      </w:r>
      <w:r w:rsidRPr="00985F05">
        <w:rPr>
          <w:rFonts w:ascii="Gadugi" w:eastAsia="Georgia" w:hAnsi="Gadugi" w:cs="Georgia"/>
          <w:bCs/>
          <w:sz w:val="24"/>
          <w:szCs w:val="24"/>
          <w:vertAlign w:val="superscript"/>
          <w:lang w:val="es-CO"/>
        </w:rPr>
        <w:footnoteReference w:id="24"/>
      </w:r>
      <w:r w:rsidRPr="00985F05">
        <w:rPr>
          <w:rFonts w:ascii="Gadugi" w:eastAsia="Georgia" w:hAnsi="Gadugi" w:cs="Georgia"/>
          <w:bCs/>
          <w:sz w:val="24"/>
          <w:szCs w:val="24"/>
          <w:lang w:val="es-CO"/>
        </w:rPr>
        <w:t xml:space="preserve">. </w:t>
      </w:r>
    </w:p>
    <w:p w14:paraId="729ECF36" w14:textId="77777777" w:rsidR="00D46308" w:rsidRPr="00985F05" w:rsidRDefault="00D46308" w:rsidP="00985F05">
      <w:pPr>
        <w:jc w:val="both"/>
        <w:rPr>
          <w:rFonts w:ascii="Gadugi" w:eastAsia="Georgia" w:hAnsi="Gadugi" w:cs="Georgia"/>
          <w:bCs/>
          <w:sz w:val="24"/>
          <w:szCs w:val="24"/>
          <w:lang w:val="es-CO"/>
        </w:rPr>
      </w:pPr>
    </w:p>
    <w:p w14:paraId="51803158" w14:textId="4E0B0CEE" w:rsidR="00D46308" w:rsidRPr="00985F05" w:rsidRDefault="00D46308" w:rsidP="00985F05">
      <w:pPr>
        <w:jc w:val="both"/>
        <w:rPr>
          <w:rFonts w:ascii="Gadugi" w:eastAsia="Georgia" w:hAnsi="Gadugi" w:cs="Georgia"/>
          <w:bCs/>
          <w:color w:val="FF0000"/>
          <w:sz w:val="24"/>
          <w:szCs w:val="24"/>
          <w:lang w:val="es-CO"/>
        </w:rPr>
      </w:pPr>
      <w:r w:rsidRPr="00985F05">
        <w:rPr>
          <w:rFonts w:ascii="Gadugi" w:eastAsia="Georgia" w:hAnsi="Gadugi" w:cs="Georgia"/>
          <w:bCs/>
          <w:sz w:val="24"/>
          <w:szCs w:val="24"/>
          <w:lang w:val="es-CO"/>
        </w:rPr>
        <w:t xml:space="preserve">2.7. Se anticipa que la decisión de primer grado será </w:t>
      </w:r>
      <w:r w:rsidR="004B370D" w:rsidRPr="00985F05">
        <w:rPr>
          <w:rFonts w:ascii="Gadugi" w:eastAsia="Georgia" w:hAnsi="Gadugi" w:cs="Georgia"/>
          <w:bCs/>
          <w:sz w:val="24"/>
          <w:szCs w:val="24"/>
          <w:lang w:val="es-CO"/>
        </w:rPr>
        <w:t>revocada parcialmente, en lo que tiene que ver con el perjuicio por el daño moral que reclama la compañera permanente.</w:t>
      </w:r>
      <w:r w:rsidRPr="00985F05">
        <w:rPr>
          <w:rFonts w:ascii="Gadugi" w:eastAsia="Georgia" w:hAnsi="Gadugi" w:cs="Georgia"/>
          <w:bCs/>
          <w:sz w:val="24"/>
          <w:szCs w:val="24"/>
          <w:lang w:val="es-CO"/>
        </w:rPr>
        <w:t xml:space="preserve"> </w:t>
      </w:r>
      <w:r w:rsidR="00463E4E" w:rsidRPr="00985F05">
        <w:rPr>
          <w:rFonts w:ascii="Gadugi" w:eastAsia="Georgia" w:hAnsi="Gadugi" w:cs="Georgia"/>
          <w:bCs/>
          <w:sz w:val="24"/>
          <w:szCs w:val="24"/>
          <w:lang w:val="es-CO"/>
        </w:rPr>
        <w:t xml:space="preserve">En lo demás, se confirmará. </w:t>
      </w:r>
    </w:p>
    <w:p w14:paraId="3DF1D802" w14:textId="77777777" w:rsidR="00D46308" w:rsidRPr="00985F05" w:rsidRDefault="00D46308" w:rsidP="00985F05">
      <w:pPr>
        <w:jc w:val="both"/>
        <w:rPr>
          <w:rFonts w:ascii="Gadugi" w:eastAsia="Georgia" w:hAnsi="Gadugi" w:cs="Georgia"/>
          <w:bCs/>
          <w:color w:val="FF0000"/>
          <w:sz w:val="24"/>
          <w:szCs w:val="24"/>
          <w:lang w:val="es-CO"/>
        </w:rPr>
      </w:pPr>
    </w:p>
    <w:p w14:paraId="01F892CE" w14:textId="77777777" w:rsidR="00D46308" w:rsidRPr="00985F05" w:rsidRDefault="00D46308" w:rsidP="00985F05">
      <w:pPr>
        <w:jc w:val="both"/>
        <w:rPr>
          <w:rFonts w:ascii="Gadugi" w:eastAsia="Georgia" w:hAnsi="Gadugi" w:cs="Georgia"/>
          <w:bCs/>
          <w:sz w:val="24"/>
          <w:szCs w:val="24"/>
          <w:lang w:val="es-ES"/>
        </w:rPr>
      </w:pPr>
      <w:r w:rsidRPr="00985F05">
        <w:rPr>
          <w:rFonts w:ascii="Gadugi" w:eastAsia="Georgia" w:hAnsi="Gadugi" w:cs="Georgia"/>
          <w:bCs/>
          <w:sz w:val="24"/>
          <w:szCs w:val="24"/>
          <w:lang w:val="es-CO"/>
        </w:rPr>
        <w:t>Pero, antes de acometer el análisis de los reparos y dado que, según se anunció, e</w:t>
      </w:r>
      <w:r w:rsidRPr="00985F05">
        <w:rPr>
          <w:rFonts w:ascii="Gadugi" w:eastAsia="Georgia" w:hAnsi="Gadugi" w:cs="Georgia"/>
          <w:bCs/>
          <w:sz w:val="24"/>
          <w:szCs w:val="24"/>
          <w:lang w:val="es-ES"/>
        </w:rPr>
        <w:t>l asunto tiene que ver con una responsabilidad civil extracontractual, es bueno memorar, según lo viene haciendo esta Sala</w:t>
      </w:r>
      <w:r w:rsidRPr="00985F05">
        <w:rPr>
          <w:rFonts w:ascii="Gadugi" w:eastAsia="Georgia" w:hAnsi="Gadugi" w:cs="Georgia"/>
          <w:bCs/>
          <w:sz w:val="24"/>
          <w:szCs w:val="24"/>
          <w:vertAlign w:val="superscript"/>
          <w:lang w:val="es-ES"/>
        </w:rPr>
        <w:footnoteReference w:id="25"/>
      </w:r>
      <w:r w:rsidRPr="00985F05">
        <w:rPr>
          <w:rFonts w:ascii="Gadugi" w:eastAsia="Georgia" w:hAnsi="Gadugi" w:cs="Georgia"/>
          <w:bCs/>
          <w:sz w:val="24"/>
          <w:szCs w:val="24"/>
          <w:lang w:val="es-ES"/>
        </w:rPr>
        <w:t>, que quien causa un daño a otro debe resarcirlo, como enseña el artículo 2341 del Código Civil, siempre que se demuestre, y esa es carga de quien la invoca, que hubo el hecho, que medió culpa del agente, que hubo un daño y que entre este y el hecho existió un nexo causal.</w:t>
      </w:r>
    </w:p>
    <w:p w14:paraId="3824A6A7" w14:textId="77777777" w:rsidR="00D46308" w:rsidRPr="00985F05" w:rsidRDefault="00D46308" w:rsidP="00985F05">
      <w:pPr>
        <w:jc w:val="both"/>
        <w:rPr>
          <w:rFonts w:ascii="Gadugi" w:eastAsia="Georgia" w:hAnsi="Gadugi" w:cs="Georgia"/>
          <w:bCs/>
          <w:sz w:val="24"/>
          <w:szCs w:val="24"/>
          <w:lang w:val="es-ES"/>
        </w:rPr>
      </w:pPr>
    </w:p>
    <w:p w14:paraId="711A28E3" w14:textId="77777777" w:rsidR="00D46308" w:rsidRPr="00985F05" w:rsidRDefault="00D46308" w:rsidP="00985F05">
      <w:pPr>
        <w:jc w:val="both"/>
        <w:rPr>
          <w:rFonts w:ascii="Gadugi" w:eastAsia="Georgia" w:hAnsi="Gadugi" w:cs="Georgia"/>
          <w:bCs/>
          <w:sz w:val="24"/>
          <w:szCs w:val="24"/>
          <w:lang w:val="es-CO"/>
        </w:rPr>
      </w:pPr>
      <w:r w:rsidRPr="00985F05">
        <w:rPr>
          <w:rFonts w:ascii="Gadugi" w:eastAsia="Georgia" w:hAnsi="Gadugi" w:cs="Georgia"/>
          <w:bCs/>
          <w:sz w:val="24"/>
          <w:szCs w:val="24"/>
          <w:lang w:val="es-CO"/>
        </w:rPr>
        <w:lastRenderedPageBreak/>
        <w:t xml:space="preserve">Y si se trata del ejercicio de una actividad peligrosa, de aquellas que enuncia el artículo 2356 del mismo estatuto, se aligera la carga probatoria del demandante, porque tradicionalmente se ha dicho que lleva inserta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 es decir, que la discusión se da en el ámbito de la causalidad y no de la culpabilidad. </w:t>
      </w:r>
    </w:p>
    <w:p w14:paraId="139F839B" w14:textId="77777777" w:rsidR="00D46308" w:rsidRPr="00985F05" w:rsidRDefault="00D46308" w:rsidP="00985F05">
      <w:pPr>
        <w:jc w:val="both"/>
        <w:rPr>
          <w:rFonts w:ascii="Gadugi" w:eastAsia="Georgia" w:hAnsi="Gadugi" w:cs="Georgia"/>
          <w:bCs/>
          <w:sz w:val="24"/>
          <w:szCs w:val="24"/>
          <w:lang w:val="es-CO"/>
        </w:rPr>
      </w:pPr>
    </w:p>
    <w:p w14:paraId="69887D97" w14:textId="77777777" w:rsidR="00D46308" w:rsidRPr="00985F05" w:rsidRDefault="00D46308" w:rsidP="00985F05">
      <w:pPr>
        <w:jc w:val="both"/>
        <w:rPr>
          <w:rFonts w:ascii="Gadugi" w:eastAsia="Georgia" w:hAnsi="Gadugi" w:cs="Georgia"/>
          <w:bCs/>
          <w:sz w:val="24"/>
          <w:szCs w:val="24"/>
          <w:lang w:val="es-CO"/>
        </w:rPr>
      </w:pPr>
      <w:r w:rsidRPr="00985F05">
        <w:rPr>
          <w:rFonts w:ascii="Gadugi" w:eastAsia="Georgia" w:hAnsi="Gadugi" w:cs="Georgia"/>
          <w:bCs/>
          <w:sz w:val="24"/>
          <w:szCs w:val="24"/>
          <w:lang w:val="es-CO"/>
        </w:rPr>
        <w:t>Por supuesto que esta percepción se soporta en la jurisprudencia nacional que, a pesar de los intentos para variarla</w:t>
      </w:r>
      <w:r w:rsidRPr="00985F05">
        <w:rPr>
          <w:rFonts w:ascii="Gadugi" w:eastAsia="Georgia" w:hAnsi="Gadugi" w:cs="Georgia"/>
          <w:bCs/>
          <w:sz w:val="24"/>
          <w:szCs w:val="24"/>
          <w:vertAlign w:val="superscript"/>
          <w:lang w:val="es-CO"/>
        </w:rPr>
        <w:footnoteReference w:id="26"/>
      </w:r>
      <w:r w:rsidRPr="00985F05">
        <w:rPr>
          <w:rFonts w:ascii="Gadugi" w:eastAsia="Georgia" w:hAnsi="Gadugi" w:cs="Georgia"/>
          <w:bCs/>
          <w:sz w:val="24"/>
          <w:szCs w:val="24"/>
          <w:lang w:val="es-CO"/>
        </w:rPr>
        <w:t xml:space="preserve">, en el discurrir de los tiempos sobre el tema así lo ha adoctrinado, por ejemplo, en la sentencia SC665-2019, en la que enfatizó que: </w:t>
      </w:r>
    </w:p>
    <w:p w14:paraId="57189924" w14:textId="77777777" w:rsidR="00B0688E" w:rsidRPr="00985F05" w:rsidRDefault="00B0688E" w:rsidP="00985F05">
      <w:pPr>
        <w:ind w:left="426" w:right="382"/>
        <w:jc w:val="both"/>
        <w:rPr>
          <w:rFonts w:ascii="Gadugi" w:eastAsia="Georgia" w:hAnsi="Gadugi" w:cs="Georgia"/>
          <w:bCs/>
          <w:sz w:val="24"/>
          <w:szCs w:val="24"/>
          <w:lang w:val="es-CO"/>
        </w:rPr>
      </w:pPr>
    </w:p>
    <w:p w14:paraId="209C7E30" w14:textId="3BD78BBD" w:rsidR="00D46308" w:rsidRPr="00985F05" w:rsidRDefault="00D46308" w:rsidP="00985F05">
      <w:pPr>
        <w:ind w:left="426" w:right="382"/>
        <w:jc w:val="both"/>
        <w:rPr>
          <w:rFonts w:ascii="Gadugi" w:eastAsia="Georgia" w:hAnsi="Gadugi" w:cs="Georgia"/>
          <w:bCs/>
          <w:sz w:val="24"/>
          <w:szCs w:val="24"/>
          <w:lang w:val="es-CO"/>
        </w:rPr>
      </w:pPr>
      <w:r w:rsidRPr="00985F05">
        <w:rPr>
          <w:rFonts w:ascii="Gadugi" w:eastAsia="Georgia" w:hAnsi="Gadugi" w:cs="Georgia"/>
          <w:bCs/>
          <w:sz w:val="24"/>
          <w:szCs w:val="24"/>
          <w:lang w:val="es-CO"/>
        </w:rPr>
        <w:t xml:space="preserve">De otra parte, el artículo 2356 del Código Civil, dispone que «[p]or regla general todo daño que pueda imputarse a malicia o negligencia de otra persona, debe ser reparado por ésta», norma a partir de la cual se ha edificado el régimen de responsabilidad por el ejercicio de actividades peligrosas con culpa presunta, ampliamente desarrollado por la Corte en su Jurisprudencia, a partir de la emblemática SC de 14 mar. 1938, reiterada en SC 31 may. 1938 y en CSJ SNG 17 jun. 1938. </w:t>
      </w:r>
    </w:p>
    <w:p w14:paraId="2EA1C810" w14:textId="77777777" w:rsidR="00D46308" w:rsidRPr="00985F05" w:rsidRDefault="00D46308" w:rsidP="00985F05">
      <w:pPr>
        <w:jc w:val="both"/>
        <w:rPr>
          <w:rFonts w:ascii="Gadugi" w:eastAsia="Georgia" w:hAnsi="Gadugi" w:cs="Georgia"/>
          <w:bCs/>
          <w:sz w:val="24"/>
          <w:szCs w:val="24"/>
          <w:lang w:val="es-CO"/>
        </w:rPr>
      </w:pPr>
    </w:p>
    <w:p w14:paraId="0F84D260" w14:textId="77777777" w:rsidR="00D46308" w:rsidRPr="00985F05" w:rsidRDefault="00D46308" w:rsidP="00985F05">
      <w:pPr>
        <w:jc w:val="both"/>
        <w:rPr>
          <w:rFonts w:ascii="Gadugi" w:eastAsia="Georgia" w:hAnsi="Gadugi" w:cs="Georgia"/>
          <w:bCs/>
          <w:sz w:val="24"/>
          <w:szCs w:val="24"/>
          <w:lang w:val="es-CO"/>
        </w:rPr>
      </w:pPr>
      <w:r w:rsidRPr="00985F05">
        <w:rPr>
          <w:rFonts w:ascii="Gadugi" w:eastAsia="Georgia" w:hAnsi="Gadugi" w:cs="Georgia"/>
          <w:bCs/>
          <w:sz w:val="24"/>
          <w:szCs w:val="24"/>
          <w:lang w:val="es-CO"/>
        </w:rPr>
        <w:t xml:space="preserve">En esa sentencia se trajeron al recuerdo otras varias que apuntan en el mismo sentido, como la SC9788-2015, la SC del 27 de febrero de 2009, radicado 2001-00013-01, y la SC del 26 de agosto de 2010, radicado 2005-00611-01.  </w:t>
      </w:r>
    </w:p>
    <w:p w14:paraId="75876811" w14:textId="77777777" w:rsidR="00D46308" w:rsidRPr="00985F05" w:rsidRDefault="00D46308" w:rsidP="00985F05">
      <w:pPr>
        <w:jc w:val="both"/>
        <w:rPr>
          <w:rFonts w:ascii="Gadugi" w:eastAsia="Georgia" w:hAnsi="Gadugi" w:cs="Georgia"/>
          <w:bCs/>
          <w:sz w:val="24"/>
          <w:szCs w:val="24"/>
          <w:lang w:val="es-CO"/>
        </w:rPr>
      </w:pPr>
    </w:p>
    <w:p w14:paraId="66B0410B" w14:textId="77777777" w:rsidR="00D46308" w:rsidRPr="00985F05" w:rsidRDefault="00D46308" w:rsidP="00985F05">
      <w:pPr>
        <w:jc w:val="both"/>
        <w:rPr>
          <w:rFonts w:ascii="Gadugi" w:eastAsia="Georgia" w:hAnsi="Gadugi" w:cs="Georgia"/>
          <w:bCs/>
          <w:sz w:val="24"/>
          <w:szCs w:val="24"/>
          <w:lang w:val="es-CO"/>
        </w:rPr>
      </w:pPr>
      <w:bookmarkStart w:id="2" w:name="_Hlk118270791"/>
      <w:r w:rsidRPr="00985F05">
        <w:rPr>
          <w:rFonts w:ascii="Gadugi" w:eastAsia="Georgia" w:hAnsi="Gadugi" w:cs="Georgia"/>
          <w:bCs/>
          <w:sz w:val="24"/>
          <w:szCs w:val="24"/>
          <w:lang w:val="es-CO"/>
        </w:rPr>
        <w:t>En todo caso, si la exención de la responsabilidad se hace derivar de la conducta también desplegada por la víctima, es decir, del hecho que se le atribuya, más que de su culpa, cualquier comportamiento que pueda contribuir en todo o en parte al resultado final y que sirva como eximente o como factor de reducción, se ha calificado como hecho exclusivo o parcial de la víctima</w:t>
      </w:r>
      <w:bookmarkEnd w:id="2"/>
      <w:r w:rsidRPr="00985F05">
        <w:rPr>
          <w:rFonts w:ascii="Gadugi" w:eastAsia="Georgia" w:hAnsi="Gadugi" w:cs="Georgia"/>
          <w:bCs/>
          <w:sz w:val="24"/>
          <w:szCs w:val="24"/>
          <w:lang w:val="es-CO"/>
        </w:rPr>
        <w:t>, según ha sido señalado por esta Colegiatura en pretéritas ocasiones</w:t>
      </w:r>
      <w:r w:rsidRPr="00985F05">
        <w:rPr>
          <w:rFonts w:ascii="Gadugi" w:eastAsia="Georgia" w:hAnsi="Gadugi" w:cs="Georgia"/>
          <w:bCs/>
          <w:sz w:val="24"/>
          <w:szCs w:val="24"/>
          <w:vertAlign w:val="superscript"/>
          <w:lang w:val="es-CO"/>
        </w:rPr>
        <w:footnoteReference w:id="27"/>
      </w:r>
      <w:r w:rsidRPr="00985F05">
        <w:rPr>
          <w:rFonts w:ascii="Gadugi" w:eastAsia="Georgia" w:hAnsi="Gadugi" w:cs="Georgia"/>
          <w:bCs/>
          <w:sz w:val="24"/>
          <w:szCs w:val="24"/>
          <w:lang w:val="es-CO"/>
        </w:rPr>
        <w:t xml:space="preserve"> y lo explica la Corte. </w:t>
      </w:r>
    </w:p>
    <w:p w14:paraId="12BC405B" w14:textId="77777777" w:rsidR="00D46308" w:rsidRPr="00985F05" w:rsidRDefault="00D46308" w:rsidP="00985F05">
      <w:pPr>
        <w:jc w:val="both"/>
        <w:rPr>
          <w:rFonts w:ascii="Gadugi" w:eastAsia="Georgia" w:hAnsi="Gadugi" w:cs="Georgia"/>
          <w:bCs/>
          <w:sz w:val="24"/>
          <w:szCs w:val="24"/>
          <w:lang w:val="es-CO"/>
        </w:rPr>
      </w:pPr>
    </w:p>
    <w:p w14:paraId="5AFD921D" w14:textId="77777777" w:rsidR="00D46308" w:rsidRPr="00985F05" w:rsidRDefault="00D46308" w:rsidP="00985F05">
      <w:pPr>
        <w:jc w:val="both"/>
        <w:rPr>
          <w:rFonts w:ascii="Gadugi" w:eastAsia="Georgia" w:hAnsi="Gadugi" w:cs="Georgia"/>
          <w:bCs/>
          <w:sz w:val="24"/>
          <w:szCs w:val="24"/>
          <w:lang w:val="es-CO"/>
        </w:rPr>
      </w:pPr>
      <w:bookmarkStart w:id="3" w:name="_Hlk118270854"/>
      <w:r w:rsidRPr="00985F05">
        <w:rPr>
          <w:rFonts w:ascii="Gadugi" w:eastAsia="Georgia" w:hAnsi="Gadugi" w:cs="Georgia"/>
          <w:bCs/>
          <w:sz w:val="24"/>
          <w:szCs w:val="24"/>
          <w:lang w:val="es-CO"/>
        </w:rPr>
        <w:t xml:space="preserve">En tales eventos, no se aniquila la presunción, ni se neutraliza, tampoco se debilita el régimen de culpa presunta, que subsiste en ambos agentes, así que lo que incumbe es demostrarle al juez cuál de tales comportamientos tuvo incidencia causal en la producción del daño, que, si solo fue el del demandado, advendrá la condena total, si </w:t>
      </w:r>
      <w:r w:rsidRPr="00985F05">
        <w:rPr>
          <w:rFonts w:ascii="Gadugi" w:eastAsia="Georgia" w:hAnsi="Gadugi" w:cs="Georgia"/>
          <w:bCs/>
          <w:sz w:val="24"/>
          <w:szCs w:val="24"/>
          <w:lang w:val="es-CO"/>
        </w:rPr>
        <w:lastRenderedPageBreak/>
        <w:t xml:space="preserve">lo fue por ambos extremos, podrá haber lugar a la reducción de la indemnización, y si el hecho de la víctima fue exclusivo, sobrevendrá la absolución. </w:t>
      </w:r>
    </w:p>
    <w:bookmarkEnd w:id="3"/>
    <w:p w14:paraId="4CDB3F12" w14:textId="77777777" w:rsidR="00D46308" w:rsidRPr="00985F05" w:rsidRDefault="00D46308" w:rsidP="00985F05">
      <w:pPr>
        <w:jc w:val="both"/>
        <w:rPr>
          <w:rFonts w:ascii="Gadugi" w:eastAsia="Georgia" w:hAnsi="Gadugi" w:cs="Georgia"/>
          <w:bCs/>
          <w:sz w:val="24"/>
          <w:szCs w:val="24"/>
          <w:lang w:val="es-CO"/>
        </w:rPr>
      </w:pPr>
    </w:p>
    <w:p w14:paraId="120F7BE5" w14:textId="77777777" w:rsidR="00D46308" w:rsidRPr="00985F05" w:rsidRDefault="00D46308" w:rsidP="00985F05">
      <w:pPr>
        <w:jc w:val="both"/>
        <w:rPr>
          <w:rFonts w:ascii="Gadugi" w:eastAsia="Georgia" w:hAnsi="Gadugi" w:cs="Georgia"/>
          <w:bCs/>
          <w:sz w:val="24"/>
          <w:szCs w:val="24"/>
          <w:lang w:val="es-CO"/>
        </w:rPr>
      </w:pPr>
      <w:r w:rsidRPr="00985F05">
        <w:rPr>
          <w:rFonts w:ascii="Gadugi" w:eastAsia="Georgia" w:hAnsi="Gadugi" w:cs="Georgia"/>
          <w:bCs/>
          <w:sz w:val="24"/>
          <w:szCs w:val="24"/>
          <w:lang w:val="es-CO"/>
        </w:rPr>
        <w:t xml:space="preserve">Así está dicho en las SC2111-2021 citada (que conviene con el régimen objetivo) y en la SC12994-2016 (al abrigo de la presunción de culpa). En esta última, se señaló que: </w:t>
      </w:r>
    </w:p>
    <w:p w14:paraId="7710B84F" w14:textId="77777777" w:rsidR="00D46308" w:rsidRPr="00985F05" w:rsidRDefault="00D46308" w:rsidP="00985F05">
      <w:pPr>
        <w:jc w:val="both"/>
        <w:rPr>
          <w:rFonts w:ascii="Gadugi" w:eastAsia="Georgia" w:hAnsi="Gadugi" w:cs="Georgia"/>
          <w:b/>
          <w:bCs/>
          <w:sz w:val="24"/>
          <w:szCs w:val="24"/>
          <w:lang w:val="es-CO"/>
        </w:rPr>
      </w:pPr>
      <w:r w:rsidRPr="00985F05">
        <w:rPr>
          <w:rFonts w:ascii="Gadugi" w:eastAsia="Georgia" w:hAnsi="Gadugi" w:cs="Georgia"/>
          <w:bCs/>
          <w:sz w:val="24"/>
          <w:szCs w:val="24"/>
          <w:lang w:val="es-CO"/>
        </w:rPr>
        <w:t xml:space="preserve"> </w:t>
      </w:r>
    </w:p>
    <w:p w14:paraId="577BB0C6" w14:textId="77777777" w:rsidR="00D46308" w:rsidRPr="00DD2C71" w:rsidRDefault="00D46308" w:rsidP="00DD2C71">
      <w:pPr>
        <w:tabs>
          <w:tab w:val="left" w:pos="7230"/>
        </w:tabs>
        <w:spacing w:line="240" w:lineRule="auto"/>
        <w:ind w:left="426" w:right="420"/>
        <w:jc w:val="both"/>
        <w:rPr>
          <w:rFonts w:ascii="Gadugi" w:eastAsia="Georgia" w:hAnsi="Gadugi" w:cs="Georgia"/>
          <w:bCs/>
          <w:szCs w:val="24"/>
          <w:lang w:val="es-CO"/>
        </w:rPr>
      </w:pPr>
      <w:r w:rsidRPr="00DD2C71">
        <w:rPr>
          <w:rFonts w:ascii="Gadugi" w:eastAsia="Georgia" w:hAnsi="Gadugi" w:cs="Georgia"/>
          <w:bCs/>
          <w:szCs w:val="24"/>
          <w:lang w:val="es-CO"/>
        </w:rPr>
        <w:t xml:space="preserve">Al demandarse a quien causó una lesión como resultado de desarrollar una actividad calificada como peligrosa y, al tiempo, el opositor aduce culpa de la víctima, es menester estudiar cuál se excluye, acontecimiento en el que, ha precisado la Corporación: </w:t>
      </w:r>
    </w:p>
    <w:p w14:paraId="3F39825B" w14:textId="77777777" w:rsidR="00D46308" w:rsidRPr="00DD2C71" w:rsidRDefault="00D46308" w:rsidP="00DD2C71">
      <w:pPr>
        <w:spacing w:line="240" w:lineRule="auto"/>
        <w:ind w:left="426" w:right="420"/>
        <w:jc w:val="both"/>
        <w:rPr>
          <w:rFonts w:ascii="Gadugi" w:eastAsia="Georgia" w:hAnsi="Gadugi" w:cs="Georgia"/>
          <w:bCs/>
          <w:szCs w:val="24"/>
          <w:lang w:val="es-CO"/>
        </w:rPr>
      </w:pPr>
    </w:p>
    <w:p w14:paraId="0ED7700C" w14:textId="77777777" w:rsidR="0016352E" w:rsidRPr="00DD2C71" w:rsidRDefault="00D46308" w:rsidP="00DD2C71">
      <w:pPr>
        <w:spacing w:line="240" w:lineRule="auto"/>
        <w:ind w:left="426" w:right="420"/>
        <w:jc w:val="both"/>
        <w:rPr>
          <w:rFonts w:ascii="Gadugi" w:eastAsia="Georgia" w:hAnsi="Gadugi" w:cs="Georgia"/>
          <w:bCs/>
          <w:szCs w:val="24"/>
          <w:lang w:val="es-CO"/>
        </w:rPr>
      </w:pPr>
      <w:r w:rsidRPr="00DD2C71">
        <w:rPr>
          <w:rFonts w:ascii="Gadugi" w:eastAsia="Georgia" w:hAnsi="Gadugi" w:cs="Georgia"/>
          <w:bCs/>
          <w:szCs w:val="24"/>
          <w:lang w:val="es-CO"/>
        </w:rPr>
        <w:t xml:space="preserve">“en la ejecución de esa tarea evaluativa no se puede inadvertir ‘que para que se configure la culpa de la víctima, como hecho exonerativo de responsabilidad civil, debe aparecer de manera clara su influencia en la ocurrencia del daño, tanto como para que, no obstante la naturaleza y entidad de la actividad peligrosa, ésta deba considerarse irrelevante o apenas concurrente dentro del conjunto de sucesos que constituyen la cadena causal antecedente del resultado dañoso’. Lo anterior es así por cuanto, en tratándose ‘de la concurrencia de causas que se produce cuando en el origen del perjuicio confluyen el hecho ilícito del ofensor y el obrar reprochable de la víctima, deviene fundamental establecer con exactitud la injerencia de este segundo factor en la producción del daño, habida cuenta que una investigación de esta índole viene impuesta por dos principios elementales de lógica jurídica que dominan esta materia, a saber: que cada quien debe soportar el daño en la medida en que ha contribuido a provocarlo, y que nadie debe cargar con la responsabilidad y el perjuicio ocasionado por otro (G. J. Tomos LXI, pág. 60, LXXVII, pág. 699, y CLXXXVIII, pág. 186, Primer Semestre, (…) Reiterado en CSJ CS Jul. 25 de 2014, radiación n. 2006-00315). </w:t>
      </w:r>
    </w:p>
    <w:p w14:paraId="5DB718AB" w14:textId="77777777" w:rsidR="0016352E" w:rsidRPr="00985F05" w:rsidRDefault="0016352E" w:rsidP="00985F05">
      <w:pPr>
        <w:ind w:left="567" w:right="567"/>
        <w:jc w:val="both"/>
        <w:rPr>
          <w:rFonts w:ascii="Gadugi" w:eastAsia="Georgia" w:hAnsi="Gadugi" w:cs="Georgia"/>
          <w:bCs/>
          <w:sz w:val="24"/>
          <w:szCs w:val="24"/>
          <w:lang w:val="es-CO"/>
        </w:rPr>
      </w:pPr>
    </w:p>
    <w:p w14:paraId="3C1B5D32" w14:textId="34AC6107" w:rsidR="0016352E" w:rsidRPr="00985F05" w:rsidRDefault="00EB675D" w:rsidP="00985F05">
      <w:pPr>
        <w:jc w:val="both"/>
        <w:rPr>
          <w:rFonts w:ascii="Gadugi" w:eastAsia="Georgia" w:hAnsi="Gadugi" w:cs="Georgia"/>
          <w:bCs/>
          <w:sz w:val="24"/>
          <w:szCs w:val="24"/>
          <w:lang w:val="es-CO"/>
        </w:rPr>
      </w:pPr>
      <w:r w:rsidRPr="00985F05">
        <w:rPr>
          <w:rFonts w:ascii="Gadugi" w:eastAsia="Calibri" w:hAnsi="Gadugi" w:cs="Times New Roman"/>
          <w:sz w:val="24"/>
          <w:szCs w:val="24"/>
        </w:rPr>
        <w:t>Hay que adicionar a todo que</w:t>
      </w:r>
      <w:r w:rsidR="00F97FFD" w:rsidRPr="00985F05">
        <w:rPr>
          <w:rFonts w:ascii="Gadugi" w:eastAsia="Calibri" w:hAnsi="Gadugi" w:cs="Times New Roman"/>
          <w:sz w:val="24"/>
          <w:szCs w:val="24"/>
        </w:rPr>
        <w:t>,</w:t>
      </w:r>
      <w:r w:rsidRPr="00985F05">
        <w:rPr>
          <w:rFonts w:ascii="Gadugi" w:eastAsia="Calibri" w:hAnsi="Gadugi" w:cs="Times New Roman"/>
          <w:sz w:val="24"/>
          <w:szCs w:val="24"/>
        </w:rPr>
        <w:t xml:space="preserve"> cuando la víctima es el pasajero de un automotor, su situación es diversa a la del conductor. Mientras que este desarrolla una actividad peligrosa, aquel no y, por tanto, si en el suceso convergen un automóvil y una motocicleta que colisionan, pero quien resulta afectado es el pasajero de la moto, </w:t>
      </w:r>
      <w:r w:rsidR="0016352E" w:rsidRPr="00985F05">
        <w:rPr>
          <w:rFonts w:ascii="Gadugi" w:eastAsia="Calibri" w:hAnsi="Gadugi" w:cs="Times New Roman"/>
          <w:sz w:val="24"/>
          <w:szCs w:val="24"/>
        </w:rPr>
        <w:t xml:space="preserve">habrá una presunción de culpa en aquellos dos, nunca en este. En la sentencia </w:t>
      </w:r>
      <w:r w:rsidR="0016352E" w:rsidRPr="00985F05">
        <w:rPr>
          <w:rFonts w:ascii="Gadugi" w:eastAsia="Malgun Gothic" w:hAnsi="Gadugi" w:cs="Estrangelo Edessa"/>
          <w:sz w:val="24"/>
          <w:szCs w:val="24"/>
        </w:rPr>
        <w:t>SC-0083-2021 de esta misma Sala, se trajo al recuerdo</w:t>
      </w:r>
    </w:p>
    <w:p w14:paraId="79E632DB" w14:textId="77777777" w:rsidR="0016352E" w:rsidRPr="00985F05" w:rsidRDefault="0016352E" w:rsidP="00985F05">
      <w:pPr>
        <w:tabs>
          <w:tab w:val="left" w:pos="2268"/>
          <w:tab w:val="left" w:pos="3119"/>
        </w:tabs>
        <w:ind w:left="567" w:right="567" w:firstLine="2268"/>
        <w:jc w:val="both"/>
        <w:rPr>
          <w:rFonts w:ascii="Gadugi" w:eastAsia="Malgun Gothic" w:hAnsi="Gadugi" w:cs="Estrangelo Edessa"/>
          <w:sz w:val="24"/>
          <w:szCs w:val="24"/>
        </w:rPr>
      </w:pPr>
    </w:p>
    <w:p w14:paraId="588DEF5D" w14:textId="4460F2DB" w:rsidR="00EB675D" w:rsidRPr="004E1F81" w:rsidRDefault="0016352E" w:rsidP="004E1F81">
      <w:pPr>
        <w:tabs>
          <w:tab w:val="left" w:pos="2268"/>
          <w:tab w:val="left" w:pos="3119"/>
        </w:tabs>
        <w:spacing w:line="240" w:lineRule="auto"/>
        <w:ind w:left="426" w:right="420"/>
        <w:jc w:val="both"/>
        <w:rPr>
          <w:rFonts w:ascii="Gadugi" w:eastAsia="Malgun Gothic" w:hAnsi="Gadugi" w:cs="Estrangelo Edessa"/>
          <w:szCs w:val="24"/>
        </w:rPr>
      </w:pPr>
      <w:r w:rsidRPr="004E1F81">
        <w:rPr>
          <w:rFonts w:ascii="Gadugi" w:eastAsia="Malgun Gothic" w:hAnsi="Gadugi" w:cs="Estrangelo Edessa"/>
          <w:szCs w:val="24"/>
        </w:rPr>
        <w:t>…</w:t>
      </w:r>
      <w:r w:rsidR="004E1F81" w:rsidRPr="004E1F81">
        <w:rPr>
          <w:rFonts w:ascii="Gadugi" w:eastAsia="Malgun Gothic" w:hAnsi="Gadugi" w:cs="Estrangelo Edessa"/>
          <w:szCs w:val="24"/>
        </w:rPr>
        <w:t xml:space="preserve"> </w:t>
      </w:r>
      <w:r w:rsidR="00EB675D" w:rsidRPr="004E1F81">
        <w:rPr>
          <w:rFonts w:ascii="Gadugi" w:eastAsia="Malgun Gothic" w:hAnsi="Gadugi" w:cs="Estrangelo Edessa"/>
          <w:szCs w:val="24"/>
        </w:rPr>
        <w:t>lo dicho recientemente por esta Sala</w:t>
      </w:r>
      <w:r w:rsidR="00EB675D" w:rsidRPr="004E1F81">
        <w:rPr>
          <w:rStyle w:val="Refdenotaalpie"/>
          <w:rFonts w:ascii="Gadugi" w:eastAsia="Malgun Gothic" w:hAnsi="Gadugi" w:cs="Estrangelo Edessa"/>
          <w:szCs w:val="24"/>
        </w:rPr>
        <w:footnoteReference w:id="28"/>
      </w:r>
      <w:r w:rsidR="00EB675D" w:rsidRPr="004E1F81">
        <w:rPr>
          <w:rFonts w:ascii="Gadugi" w:eastAsia="Malgun Gothic" w:hAnsi="Gadugi" w:cs="Estrangelo Edessa"/>
          <w:szCs w:val="24"/>
        </w:rPr>
        <w:t xml:space="preserve">, acerca de que: </w:t>
      </w:r>
    </w:p>
    <w:p w14:paraId="5824A697" w14:textId="77777777" w:rsidR="00EB675D" w:rsidRPr="004E1F81" w:rsidRDefault="00EB675D" w:rsidP="004E1F81">
      <w:pPr>
        <w:tabs>
          <w:tab w:val="left" w:pos="2268"/>
          <w:tab w:val="left" w:pos="3119"/>
        </w:tabs>
        <w:spacing w:line="240" w:lineRule="auto"/>
        <w:ind w:left="426" w:right="420" w:firstLine="2268"/>
        <w:jc w:val="both"/>
        <w:rPr>
          <w:rFonts w:ascii="Gadugi" w:eastAsia="Malgun Gothic" w:hAnsi="Gadugi" w:cs="Estrangelo Edessa"/>
          <w:szCs w:val="24"/>
        </w:rPr>
      </w:pPr>
    </w:p>
    <w:p w14:paraId="1117C69A" w14:textId="565186C9" w:rsidR="00EB675D" w:rsidRPr="004E1F81" w:rsidRDefault="00EB675D" w:rsidP="004E1F81">
      <w:pPr>
        <w:tabs>
          <w:tab w:val="left" w:pos="567"/>
          <w:tab w:val="left" w:pos="3119"/>
        </w:tabs>
        <w:spacing w:line="240" w:lineRule="auto"/>
        <w:ind w:left="426" w:right="420"/>
        <w:jc w:val="both"/>
        <w:rPr>
          <w:rFonts w:ascii="Gadugi" w:hAnsi="Gadugi"/>
          <w:i/>
          <w:szCs w:val="24"/>
        </w:rPr>
      </w:pPr>
      <w:r w:rsidRPr="004E1F81">
        <w:rPr>
          <w:rFonts w:ascii="Gadugi" w:hAnsi="Gadugi"/>
          <w:szCs w:val="24"/>
        </w:rPr>
        <w:t>…</w:t>
      </w:r>
      <w:r w:rsidR="004E1F81" w:rsidRPr="004E1F81">
        <w:rPr>
          <w:rFonts w:ascii="Gadugi" w:hAnsi="Gadugi"/>
          <w:szCs w:val="24"/>
        </w:rPr>
        <w:t xml:space="preserve"> </w:t>
      </w:r>
      <w:r w:rsidRPr="004E1F81">
        <w:rPr>
          <w:rFonts w:ascii="Gadugi" w:hAnsi="Gadugi"/>
          <w:szCs w:val="24"/>
        </w:rPr>
        <w:t>como ha sido señalado por la jurisprudencia</w:t>
      </w:r>
      <w:r w:rsidRPr="004E1F81">
        <w:rPr>
          <w:rStyle w:val="Refdenotaalpie"/>
          <w:rFonts w:ascii="Gadugi" w:hAnsi="Gadugi"/>
          <w:szCs w:val="24"/>
        </w:rPr>
        <w:footnoteReference w:id="29"/>
      </w:r>
      <w:r w:rsidRPr="004E1F81">
        <w:rPr>
          <w:rFonts w:ascii="Gadugi" w:hAnsi="Gadugi"/>
          <w:szCs w:val="24"/>
        </w:rPr>
        <w:t xml:space="preserve">, “el pasajero, al decir de la Corte, </w:t>
      </w:r>
      <w:r w:rsidRPr="004E1F81">
        <w:rPr>
          <w:rFonts w:ascii="Gadugi" w:hAnsi="Gadugi"/>
          <w:i/>
          <w:szCs w:val="24"/>
        </w:rPr>
        <w:t>“(…) a no dudarlo, en su condición de tal, no despliega –por regla general comportamiento alguno que pueda calificarse como peligroso. Su actividad, en relación con el automotor que lo transporta, de ordinario es típicamente pasiva y, por tanto, incapaz de generar un riesgo de cara a la conducción material de aquel. Muy por el contrario, está sometido a uno de ellos: el que emerge de la prenotada conducción vehicular. Mutatis mutandis, el ocupante, en dichas condiciones, no es más que un</w:t>
      </w:r>
      <w:r w:rsidRPr="004E1F81">
        <w:rPr>
          <w:rFonts w:ascii="Gadugi" w:hAnsi="Gadugi"/>
          <w:szCs w:val="24"/>
        </w:rPr>
        <w:t xml:space="preserve"> </w:t>
      </w:r>
      <w:r w:rsidRPr="004E1F81">
        <w:rPr>
          <w:rFonts w:ascii="Gadugi" w:hAnsi="Gadugi"/>
          <w:i/>
          <w:szCs w:val="24"/>
        </w:rPr>
        <w:t>mero espectador; un sujeto neutro enteramente ajeno a la explotación o ejecución de la actividad catalogada como peligrosa o riesgosa (…)</w:t>
      </w:r>
      <w:r w:rsidRPr="004E1F81">
        <w:rPr>
          <w:rFonts w:ascii="Gadugi" w:hAnsi="Gadugi"/>
          <w:szCs w:val="24"/>
        </w:rPr>
        <w:t>”</w:t>
      </w:r>
      <w:r w:rsidR="00D9409B" w:rsidRPr="004E1F81">
        <w:rPr>
          <w:rStyle w:val="Refdenotaalpie"/>
          <w:rFonts w:ascii="Gadugi" w:hAnsi="Gadugi"/>
          <w:szCs w:val="24"/>
        </w:rPr>
        <w:footnoteReference w:id="30"/>
      </w:r>
      <w:r w:rsidRPr="004E1F81">
        <w:rPr>
          <w:rFonts w:ascii="Gadugi" w:hAnsi="Gadugi"/>
          <w:szCs w:val="24"/>
        </w:rPr>
        <w:t xml:space="preserve">… </w:t>
      </w:r>
      <w:r w:rsidRPr="004E1F81">
        <w:rPr>
          <w:rFonts w:ascii="Gadugi" w:hAnsi="Gadugi"/>
          <w:i/>
          <w:szCs w:val="24"/>
        </w:rPr>
        <w:t xml:space="preserve">En esa hipótesis, respecto del hecho de un tercero, incluido el de otro conductor no convocado al proceso, la destrucción del nexo causal por quienes aparecen como demandados debe ser </w:t>
      </w:r>
      <w:r w:rsidRPr="004E1F81">
        <w:rPr>
          <w:rFonts w:ascii="Gadugi" w:hAnsi="Gadugi"/>
          <w:i/>
          <w:szCs w:val="24"/>
        </w:rPr>
        <w:lastRenderedPageBreak/>
        <w:t>absoluta. Ningún grado de participación contra ellos, por lo tanto, cabe quedar en pie, porque de ser así perviviría la solidaridad in integrum, al margen, desde luego, de la colisión de responsabilidad interna derivada precisamente de la coautoría.</w:t>
      </w:r>
    </w:p>
    <w:p w14:paraId="582AA9F5" w14:textId="77777777" w:rsidR="00EB675D" w:rsidRPr="004E1F81" w:rsidRDefault="00EB675D" w:rsidP="004E1F81">
      <w:pPr>
        <w:tabs>
          <w:tab w:val="left" w:pos="567"/>
          <w:tab w:val="left" w:pos="3119"/>
        </w:tabs>
        <w:spacing w:line="240" w:lineRule="auto"/>
        <w:ind w:left="426" w:right="420"/>
        <w:jc w:val="both"/>
        <w:rPr>
          <w:rFonts w:ascii="Gadugi" w:hAnsi="Gadugi"/>
          <w:szCs w:val="24"/>
        </w:rPr>
      </w:pPr>
    </w:p>
    <w:p w14:paraId="77C6F5B1" w14:textId="2280872E" w:rsidR="00EB675D" w:rsidRPr="004E1F81" w:rsidRDefault="00EB675D" w:rsidP="004E1F81">
      <w:pPr>
        <w:tabs>
          <w:tab w:val="left" w:pos="567"/>
          <w:tab w:val="left" w:pos="3119"/>
        </w:tabs>
        <w:spacing w:line="240" w:lineRule="auto"/>
        <w:ind w:left="426" w:right="420"/>
        <w:jc w:val="both"/>
        <w:rPr>
          <w:rFonts w:ascii="Gadugi" w:eastAsia="Calibri" w:hAnsi="Gadugi" w:cs="Times New Roman"/>
          <w:szCs w:val="24"/>
        </w:rPr>
      </w:pPr>
      <w:r w:rsidRPr="004E1F81">
        <w:rPr>
          <w:rFonts w:ascii="Gadugi" w:eastAsia="Calibri" w:hAnsi="Gadugi" w:cs="Times New Roman"/>
          <w:szCs w:val="24"/>
        </w:rPr>
        <w:t>De manera que, a</w:t>
      </w:r>
      <w:r w:rsidR="0016352E" w:rsidRPr="004E1F81">
        <w:rPr>
          <w:rFonts w:ascii="Gadugi" w:eastAsia="Calibri" w:hAnsi="Gadugi" w:cs="Times New Roman"/>
          <w:szCs w:val="24"/>
        </w:rPr>
        <w:t xml:space="preserve"> …</w:t>
      </w:r>
      <w:r w:rsidRPr="004E1F81">
        <w:rPr>
          <w:rFonts w:ascii="Gadugi" w:eastAsia="Calibri" w:hAnsi="Gadugi" w:cs="Times New Roman"/>
          <w:szCs w:val="24"/>
        </w:rPr>
        <w:t xml:space="preserve">, ninguna presunción de culpa cabe endilgarle como pasajera y, por ello, todo cuanto reclama para sí como víctima directa, ha podido hacerlo, ya contra el conductor de la camioneta, ora contra el de la moto, es decir, su propio cónyuge, máxime cuando, por un lado, no se propuso como eximente el hecho de un tercero; y por el otro, de haber ocurrido así, o aun si se hubiera considerado de oficio por el juez de primer grado en los términos del artículo 281 del CGP, se reitera que tal incidencia en el suceso tendría que haber sido total, para poder liberar al otro implicado, lo que, como se analizará enseguida, estuvo lejos de probarse. </w:t>
      </w:r>
    </w:p>
    <w:p w14:paraId="37CEA5BC" w14:textId="77777777" w:rsidR="00595D5A" w:rsidRPr="00985F05" w:rsidRDefault="00595D5A" w:rsidP="00985F05">
      <w:pPr>
        <w:tabs>
          <w:tab w:val="left" w:pos="567"/>
          <w:tab w:val="left" w:pos="3119"/>
        </w:tabs>
        <w:ind w:left="567" w:right="567"/>
        <w:jc w:val="both"/>
        <w:rPr>
          <w:rFonts w:ascii="Gadugi" w:eastAsia="Calibri" w:hAnsi="Gadugi" w:cs="Times New Roman"/>
          <w:sz w:val="24"/>
          <w:szCs w:val="24"/>
        </w:rPr>
      </w:pPr>
    </w:p>
    <w:p w14:paraId="1687C960" w14:textId="2B9A48D2" w:rsidR="00A36C55" w:rsidRPr="00985F05" w:rsidRDefault="00D46308" w:rsidP="00985F05">
      <w:pPr>
        <w:jc w:val="both"/>
        <w:rPr>
          <w:rFonts w:ascii="Gadugi" w:eastAsia="Georgia" w:hAnsi="Gadugi" w:cs="Georgia"/>
          <w:sz w:val="24"/>
          <w:szCs w:val="24"/>
        </w:rPr>
      </w:pPr>
      <w:r w:rsidRPr="00985F05">
        <w:rPr>
          <w:rFonts w:ascii="Gadugi" w:eastAsia="Georgia" w:hAnsi="Gadugi" w:cs="Georgia"/>
          <w:bCs/>
          <w:sz w:val="24"/>
          <w:szCs w:val="24"/>
          <w:lang w:val="es-CO"/>
        </w:rPr>
        <w:t xml:space="preserve">2.8. Dicho esto, al abordar el caso concreto, se recuerda que el Juzgado declaró </w:t>
      </w:r>
      <w:r w:rsidR="007F0E1C" w:rsidRPr="00985F05">
        <w:rPr>
          <w:rFonts w:ascii="Gadugi" w:eastAsia="Georgia" w:hAnsi="Gadugi" w:cs="Georgia"/>
          <w:bCs/>
          <w:sz w:val="24"/>
          <w:szCs w:val="24"/>
          <w:lang w:val="es-CO"/>
        </w:rPr>
        <w:t xml:space="preserve">no probadas las excepciones propuestas y condenó a los demandados solidariamente al pago de </w:t>
      </w:r>
      <w:r w:rsidR="007F305E" w:rsidRPr="00985F05">
        <w:rPr>
          <w:rFonts w:ascii="Gadugi" w:eastAsia="Georgia" w:hAnsi="Gadugi" w:cs="Georgia"/>
          <w:bCs/>
          <w:sz w:val="24"/>
          <w:szCs w:val="24"/>
          <w:lang w:val="es-CO"/>
        </w:rPr>
        <w:t xml:space="preserve">los perjuicios reclamados, </w:t>
      </w:r>
      <w:r w:rsidR="00A36C55" w:rsidRPr="00985F05">
        <w:rPr>
          <w:rFonts w:ascii="Gadugi" w:eastAsia="Georgia" w:hAnsi="Gadugi" w:cs="Georgia"/>
          <w:bCs/>
          <w:sz w:val="24"/>
          <w:szCs w:val="24"/>
          <w:lang w:val="es-CO"/>
        </w:rPr>
        <w:t xml:space="preserve">pues luego de aludir a las pruebas recaudadas, particularmente la testimonial y la técnica, concluyó que </w:t>
      </w:r>
      <w:r w:rsidR="00A36C55" w:rsidRPr="00985F05">
        <w:rPr>
          <w:rFonts w:ascii="Gadugi" w:eastAsia="Georgia" w:hAnsi="Gadugi" w:cs="Georgia"/>
          <w:bCs/>
          <w:i/>
          <w:sz w:val="24"/>
          <w:szCs w:val="24"/>
          <w:lang w:val="es-CO"/>
        </w:rPr>
        <w:t>“</w:t>
      </w:r>
      <w:r w:rsidR="00A36C55" w:rsidRPr="004E1F81">
        <w:rPr>
          <w:rFonts w:ascii="Gadugi" w:eastAsia="Georgia" w:hAnsi="Gadugi" w:cs="Georgia"/>
          <w:i/>
          <w:szCs w:val="24"/>
        </w:rPr>
        <w:t>Para el despacho la causa eficiente por la que se produjo el accidente de tránsito fue la imprudencia del conductor del taxi quien de manera intempestiva se salió de la vía e invadió el carril por donde se desplazaba la moto, no siendo cierto lo que se menciona de que el señor Jhon Fredy Giraldo dijo que los carros iban guerreando en la vía, él dijo que el conductor del taxi hacía eso, pero no indicó lo mismo sobre el conductor de la moto</w:t>
      </w:r>
      <w:r w:rsidR="00A36C55" w:rsidRPr="00985F05">
        <w:rPr>
          <w:rFonts w:ascii="Gadugi" w:eastAsia="Georgia" w:hAnsi="Gadugi" w:cs="Georgia"/>
          <w:i/>
          <w:sz w:val="24"/>
          <w:szCs w:val="24"/>
        </w:rPr>
        <w:t>”</w:t>
      </w:r>
      <w:r w:rsidR="00A36C55" w:rsidRPr="00985F05">
        <w:rPr>
          <w:rFonts w:ascii="Gadugi" w:eastAsia="Georgia" w:hAnsi="Gadugi" w:cs="Georgia"/>
          <w:sz w:val="24"/>
          <w:szCs w:val="24"/>
        </w:rPr>
        <w:t>.</w:t>
      </w:r>
    </w:p>
    <w:p w14:paraId="58E868E5" w14:textId="670CF367" w:rsidR="00A36C55" w:rsidRPr="00985F05" w:rsidRDefault="00A36C55" w:rsidP="00985F05">
      <w:pPr>
        <w:jc w:val="both"/>
        <w:rPr>
          <w:rFonts w:ascii="Gadugi" w:eastAsia="Georgia" w:hAnsi="Gadugi" w:cs="Georgia"/>
          <w:sz w:val="24"/>
          <w:szCs w:val="24"/>
        </w:rPr>
      </w:pPr>
    </w:p>
    <w:p w14:paraId="63FC921A" w14:textId="22A93D2E" w:rsidR="00A36C55" w:rsidRPr="00985F05" w:rsidRDefault="0013583D" w:rsidP="00985F05">
      <w:pPr>
        <w:jc w:val="both"/>
        <w:rPr>
          <w:rFonts w:ascii="Gadugi" w:eastAsia="Georgia" w:hAnsi="Gadugi" w:cs="Georgia"/>
          <w:sz w:val="24"/>
          <w:szCs w:val="24"/>
        </w:rPr>
      </w:pPr>
      <w:r w:rsidRPr="00985F05">
        <w:rPr>
          <w:rFonts w:ascii="Gadugi" w:eastAsia="Georgia" w:hAnsi="Gadugi" w:cs="Georgia"/>
          <w:sz w:val="24"/>
          <w:szCs w:val="24"/>
        </w:rPr>
        <w:t xml:space="preserve">2.9. </w:t>
      </w:r>
      <w:r w:rsidR="00A36C55" w:rsidRPr="00985F05">
        <w:rPr>
          <w:rFonts w:ascii="Gadugi" w:eastAsia="Georgia" w:hAnsi="Gadugi" w:cs="Georgia"/>
          <w:sz w:val="24"/>
          <w:szCs w:val="24"/>
        </w:rPr>
        <w:t>La parte demandante apeló parcialmente el fallo y concretó su disenso en esta sede en que (i) el perjuicio por el daño moral a la compañera se causó con independencia de que luego se separara de su compañero. Ese daño, dice, fue personal y cierto, pues la relación de pareja genera lazos afectivos que lo hacen presumir. En cambio</w:t>
      </w:r>
      <w:r w:rsidR="007B0056" w:rsidRPr="00985F05">
        <w:rPr>
          <w:rFonts w:ascii="Gadugi" w:eastAsia="Georgia" w:hAnsi="Gadugi" w:cs="Georgia"/>
          <w:sz w:val="24"/>
          <w:szCs w:val="24"/>
        </w:rPr>
        <w:t>,</w:t>
      </w:r>
      <w:r w:rsidR="00A36C55" w:rsidRPr="00985F05">
        <w:rPr>
          <w:rFonts w:ascii="Gadugi" w:eastAsia="Georgia" w:hAnsi="Gadugi" w:cs="Georgia"/>
          <w:sz w:val="24"/>
          <w:szCs w:val="24"/>
        </w:rPr>
        <w:t xml:space="preserve"> no debió conjeturar el juzgado sobre las causas de la separación, que se desconocen, para negar con ello la indemnización. Y (ii) en los términos del artículo 1080 del C. de Comercio, frente a la aseguradora los intereses se causan vencido el plazo de un mes que tiene para efectuar el pago del siniestro, una vez se le hace la reclamación. Y como en este caso el 16 de diciembre de 2016 se objetó la que se le hizo, desde el 17 de enero de 2017 se deben los intereses. </w:t>
      </w:r>
    </w:p>
    <w:p w14:paraId="6B7DDDF6" w14:textId="77777777" w:rsidR="00A36C55" w:rsidRPr="00985F05" w:rsidRDefault="00A36C55" w:rsidP="00985F05">
      <w:pPr>
        <w:jc w:val="both"/>
        <w:rPr>
          <w:rFonts w:ascii="Gadugi" w:eastAsia="Georgia" w:hAnsi="Gadugi" w:cs="Georgia"/>
          <w:sz w:val="24"/>
          <w:szCs w:val="24"/>
        </w:rPr>
      </w:pPr>
    </w:p>
    <w:p w14:paraId="6DB02421" w14:textId="689C2D05" w:rsidR="00A36C55" w:rsidRPr="00985F05" w:rsidRDefault="00973369" w:rsidP="00985F05">
      <w:pPr>
        <w:jc w:val="both"/>
        <w:rPr>
          <w:rFonts w:ascii="Gadugi" w:eastAsia="Georgia" w:hAnsi="Gadugi" w:cs="Georgia"/>
          <w:sz w:val="24"/>
          <w:szCs w:val="24"/>
        </w:rPr>
      </w:pPr>
      <w:r w:rsidRPr="00985F05">
        <w:rPr>
          <w:rFonts w:ascii="Gadugi" w:eastAsia="Georgia" w:hAnsi="Gadugi" w:cs="Georgia"/>
          <w:sz w:val="24"/>
          <w:szCs w:val="24"/>
        </w:rPr>
        <w:t>La curadora adujo en contra que (i)</w:t>
      </w:r>
      <w:r w:rsidR="00A36C55" w:rsidRPr="00985F05">
        <w:rPr>
          <w:rFonts w:ascii="Gadugi" w:eastAsia="Georgia" w:hAnsi="Gadugi" w:cs="Georgia"/>
          <w:sz w:val="24"/>
          <w:szCs w:val="24"/>
        </w:rPr>
        <w:t xml:space="preserve"> fue decisión de la víctima movilizarse en </w:t>
      </w:r>
      <w:r w:rsidRPr="00985F05">
        <w:rPr>
          <w:rFonts w:ascii="Gadugi" w:eastAsia="Georgia" w:hAnsi="Gadugi" w:cs="Georgia"/>
          <w:sz w:val="24"/>
          <w:szCs w:val="24"/>
        </w:rPr>
        <w:t>m</w:t>
      </w:r>
      <w:r w:rsidR="00A36C55" w:rsidRPr="00985F05">
        <w:rPr>
          <w:rFonts w:ascii="Gadugi" w:eastAsia="Georgia" w:hAnsi="Gadugi" w:cs="Georgia"/>
          <w:sz w:val="24"/>
          <w:szCs w:val="24"/>
        </w:rPr>
        <w:t>otocicleta como parrillero, a pesar de la prohibición que existía en el municipio de Pereira de acuerdo con el Decreto 480 de 2008. De haber cumplido esa normativa, no habría sido afectada su salud</w:t>
      </w:r>
      <w:r w:rsidRPr="00985F05">
        <w:rPr>
          <w:rFonts w:ascii="Gadugi" w:eastAsia="Georgia" w:hAnsi="Gadugi" w:cs="Georgia"/>
          <w:sz w:val="24"/>
          <w:szCs w:val="24"/>
        </w:rPr>
        <w:t xml:space="preserve">; </w:t>
      </w:r>
      <w:r w:rsidR="00A36C55" w:rsidRPr="00985F05">
        <w:rPr>
          <w:rFonts w:ascii="Gadugi" w:eastAsia="Georgia" w:hAnsi="Gadugi" w:cs="Georgia"/>
          <w:sz w:val="24"/>
          <w:szCs w:val="24"/>
        </w:rPr>
        <w:t xml:space="preserve">(ii) </w:t>
      </w:r>
      <w:r w:rsidRPr="00985F05">
        <w:rPr>
          <w:rFonts w:ascii="Gadugi" w:eastAsia="Georgia" w:hAnsi="Gadugi" w:cs="Georgia"/>
          <w:sz w:val="24"/>
          <w:szCs w:val="24"/>
        </w:rPr>
        <w:t>a</w:t>
      </w:r>
      <w:r w:rsidR="00A36C55" w:rsidRPr="00985F05">
        <w:rPr>
          <w:rFonts w:ascii="Gadugi" w:eastAsia="Georgia" w:hAnsi="Gadugi" w:cs="Georgia"/>
          <w:sz w:val="24"/>
          <w:szCs w:val="24"/>
        </w:rPr>
        <w:t>demás, permitió que el conductor disputara la vía con otro vehículo</w:t>
      </w:r>
      <w:r w:rsidRPr="00985F05">
        <w:rPr>
          <w:rFonts w:ascii="Gadugi" w:eastAsia="Georgia" w:hAnsi="Gadugi" w:cs="Georgia"/>
          <w:sz w:val="24"/>
          <w:szCs w:val="24"/>
        </w:rPr>
        <w:t xml:space="preserve">, sin contar con que </w:t>
      </w:r>
      <w:r w:rsidR="00A36C55" w:rsidRPr="00985F05">
        <w:rPr>
          <w:rFonts w:ascii="Gadugi" w:eastAsia="Georgia" w:hAnsi="Gadugi" w:cs="Georgia"/>
          <w:sz w:val="24"/>
          <w:szCs w:val="24"/>
        </w:rPr>
        <w:t>llevaba consigo un paquete que le impedía sujetarse firmemente de la moto</w:t>
      </w:r>
      <w:r w:rsidRPr="00985F05">
        <w:rPr>
          <w:rFonts w:ascii="Gadugi" w:eastAsia="Georgia" w:hAnsi="Gadugi" w:cs="Georgia"/>
          <w:sz w:val="24"/>
          <w:szCs w:val="24"/>
        </w:rPr>
        <w:t xml:space="preserve"> y eso generó </w:t>
      </w:r>
      <w:r w:rsidR="00A36C55" w:rsidRPr="00985F05">
        <w:rPr>
          <w:rFonts w:ascii="Gadugi" w:eastAsia="Georgia" w:hAnsi="Gadugi" w:cs="Georgia"/>
          <w:sz w:val="24"/>
          <w:szCs w:val="24"/>
        </w:rPr>
        <w:t>un mayor riesgo</w:t>
      </w:r>
      <w:r w:rsidRPr="00985F05">
        <w:rPr>
          <w:rFonts w:ascii="Gadugi" w:eastAsia="Georgia" w:hAnsi="Gadugi" w:cs="Georgia"/>
          <w:sz w:val="24"/>
          <w:szCs w:val="24"/>
        </w:rPr>
        <w:t xml:space="preserve">; </w:t>
      </w:r>
      <w:r w:rsidR="00A36C55" w:rsidRPr="00985F05">
        <w:rPr>
          <w:rFonts w:ascii="Gadugi" w:eastAsia="Georgia" w:hAnsi="Gadugi" w:cs="Georgia"/>
          <w:sz w:val="24"/>
          <w:szCs w:val="24"/>
        </w:rPr>
        <w:t xml:space="preserve">(iii) </w:t>
      </w:r>
      <w:r w:rsidRPr="00985F05">
        <w:rPr>
          <w:rFonts w:ascii="Gadugi" w:eastAsia="Georgia" w:hAnsi="Gadugi" w:cs="Georgia"/>
          <w:sz w:val="24"/>
          <w:szCs w:val="24"/>
        </w:rPr>
        <w:t>e</w:t>
      </w:r>
      <w:r w:rsidR="00A36C55" w:rsidRPr="00985F05">
        <w:rPr>
          <w:rFonts w:ascii="Gadugi" w:eastAsia="Georgia" w:hAnsi="Gadugi" w:cs="Georgia"/>
          <w:sz w:val="24"/>
          <w:szCs w:val="24"/>
        </w:rPr>
        <w:t>l conductor del taxi se movilizaba para tratar de evitar el trancón, conducta que no es atípica ni antijurídica</w:t>
      </w:r>
      <w:r w:rsidRPr="00985F05">
        <w:rPr>
          <w:rFonts w:ascii="Gadugi" w:eastAsia="Georgia" w:hAnsi="Gadugi" w:cs="Georgia"/>
          <w:sz w:val="24"/>
          <w:szCs w:val="24"/>
        </w:rPr>
        <w:t xml:space="preserve">, así que la </w:t>
      </w:r>
      <w:r w:rsidR="00A36C55" w:rsidRPr="00985F05">
        <w:rPr>
          <w:rFonts w:ascii="Gadugi" w:eastAsia="Georgia" w:hAnsi="Gadugi" w:cs="Georgia"/>
          <w:sz w:val="24"/>
          <w:szCs w:val="24"/>
        </w:rPr>
        <w:t>condena estuvo fundada en suposiciones</w:t>
      </w:r>
      <w:r w:rsidRPr="00985F05">
        <w:rPr>
          <w:rFonts w:ascii="Gadugi" w:eastAsia="Georgia" w:hAnsi="Gadugi" w:cs="Georgia"/>
          <w:sz w:val="24"/>
          <w:szCs w:val="24"/>
        </w:rPr>
        <w:t xml:space="preserve">; </w:t>
      </w:r>
      <w:r w:rsidR="00A36C55" w:rsidRPr="00985F05">
        <w:rPr>
          <w:rFonts w:ascii="Gadugi" w:eastAsia="Georgia" w:hAnsi="Gadugi" w:cs="Georgia"/>
          <w:sz w:val="24"/>
          <w:szCs w:val="24"/>
        </w:rPr>
        <w:t>(iv) ambas partes ejecutaban actividades peligrosas, y si se observó alguna irregularidad en la conducción del taxi</w:t>
      </w:r>
      <w:r w:rsidRPr="00985F05">
        <w:rPr>
          <w:rFonts w:ascii="Gadugi" w:eastAsia="Georgia" w:hAnsi="Gadugi" w:cs="Georgia"/>
          <w:sz w:val="24"/>
          <w:szCs w:val="24"/>
        </w:rPr>
        <w:t>,</w:t>
      </w:r>
      <w:r w:rsidR="00A36C55" w:rsidRPr="00985F05">
        <w:rPr>
          <w:rFonts w:ascii="Gadugi" w:eastAsia="Georgia" w:hAnsi="Gadugi" w:cs="Georgia"/>
          <w:sz w:val="24"/>
          <w:szCs w:val="24"/>
        </w:rPr>
        <w:t xml:space="preserve"> también el accionar del conductor de la moto fue imprudente, porque decidió sobrepasarlo</w:t>
      </w:r>
      <w:r w:rsidRPr="00985F05">
        <w:rPr>
          <w:rFonts w:ascii="Gadugi" w:eastAsia="Georgia" w:hAnsi="Gadugi" w:cs="Georgia"/>
          <w:sz w:val="24"/>
          <w:szCs w:val="24"/>
        </w:rPr>
        <w:t xml:space="preserve">; </w:t>
      </w:r>
      <w:r w:rsidR="00A36C55" w:rsidRPr="00985F05">
        <w:rPr>
          <w:rFonts w:ascii="Gadugi" w:eastAsia="Georgia" w:hAnsi="Gadugi" w:cs="Georgia"/>
          <w:sz w:val="24"/>
          <w:szCs w:val="24"/>
        </w:rPr>
        <w:t xml:space="preserve">(v) ni el dictamen pericial, ni los testimonios son suficientes para </w:t>
      </w:r>
      <w:r w:rsidR="00A36C55" w:rsidRPr="00985F05">
        <w:rPr>
          <w:rFonts w:ascii="Gadugi" w:eastAsia="Georgia" w:hAnsi="Gadugi" w:cs="Georgia"/>
          <w:sz w:val="24"/>
          <w:szCs w:val="24"/>
        </w:rPr>
        <w:lastRenderedPageBreak/>
        <w:t xml:space="preserve">establecer la responsabilidad del conductor del taxi, más bien estos últimos dejan ver que el conductor de la moto desconoció la prohibición de llevar parrillero, mientras que </w:t>
      </w:r>
      <w:r w:rsidRPr="00985F05">
        <w:rPr>
          <w:rFonts w:ascii="Gadugi" w:eastAsia="Georgia" w:hAnsi="Gadugi" w:cs="Georgia"/>
          <w:sz w:val="24"/>
          <w:szCs w:val="24"/>
        </w:rPr>
        <w:t xml:space="preserve">el testigo </w:t>
      </w:r>
      <w:r w:rsidR="00A36C55" w:rsidRPr="00985F05">
        <w:rPr>
          <w:rFonts w:ascii="Gadugi" w:eastAsia="Georgia" w:hAnsi="Gadugi" w:cs="Georgia"/>
          <w:sz w:val="24"/>
          <w:szCs w:val="24"/>
        </w:rPr>
        <w:t xml:space="preserve">Jhon Fredy narró que los vehículos iban disputándose la vía. </w:t>
      </w:r>
    </w:p>
    <w:p w14:paraId="1967097D" w14:textId="77777777" w:rsidR="00A36C55" w:rsidRPr="00985F05" w:rsidRDefault="00A36C55" w:rsidP="00985F05">
      <w:pPr>
        <w:jc w:val="both"/>
        <w:rPr>
          <w:rFonts w:ascii="Gadugi" w:eastAsia="Georgia" w:hAnsi="Gadugi" w:cs="Georgia"/>
          <w:sz w:val="24"/>
          <w:szCs w:val="24"/>
        </w:rPr>
      </w:pPr>
    </w:p>
    <w:p w14:paraId="20E3D1DC" w14:textId="2639AA55" w:rsidR="00A36C55" w:rsidRPr="00985F05" w:rsidRDefault="00A36C55" w:rsidP="00985F05">
      <w:pPr>
        <w:jc w:val="both"/>
        <w:rPr>
          <w:rFonts w:ascii="Gadugi" w:eastAsia="Georgia" w:hAnsi="Gadugi" w:cs="Georgia"/>
          <w:sz w:val="24"/>
          <w:szCs w:val="24"/>
        </w:rPr>
      </w:pPr>
      <w:r w:rsidRPr="00985F05">
        <w:rPr>
          <w:rFonts w:ascii="Gadugi" w:eastAsia="Georgia" w:hAnsi="Gadugi" w:cs="Georgia"/>
          <w:sz w:val="24"/>
          <w:szCs w:val="24"/>
        </w:rPr>
        <w:t>La Aseguradora sostiene que (i) el informe de accidente de tránsito establece como hipótesis del accidente la distancia de seguridad respecto del vehículo 2 que es la moto, así que fue probada la eximente derivada del hecho de un tercero, que no se desvirtuó; (ii) en ese informe no se registran testigos del hecho, por lo que los que concurrieron son aprendidos y, por ello, irrelevantes; (iii) el dictamen carece de los requisitos del artículo 226 del CGP; (iv) la víctima pa</w:t>
      </w:r>
      <w:r w:rsidR="00973369" w:rsidRPr="00985F05">
        <w:rPr>
          <w:rFonts w:ascii="Gadugi" w:eastAsia="Georgia" w:hAnsi="Gadugi" w:cs="Georgia"/>
          <w:sz w:val="24"/>
          <w:szCs w:val="24"/>
        </w:rPr>
        <w:t>s</w:t>
      </w:r>
      <w:r w:rsidRPr="00985F05">
        <w:rPr>
          <w:rFonts w:ascii="Gadugi" w:eastAsia="Georgia" w:hAnsi="Gadugi" w:cs="Georgia"/>
          <w:sz w:val="24"/>
          <w:szCs w:val="24"/>
        </w:rPr>
        <w:t>ó por alto la previsión del Decreto 480 de 2008 que prohibía el parr</w:t>
      </w:r>
      <w:r w:rsidR="00973369" w:rsidRPr="00985F05">
        <w:rPr>
          <w:rFonts w:ascii="Gadugi" w:eastAsia="Georgia" w:hAnsi="Gadugi" w:cs="Georgia"/>
          <w:sz w:val="24"/>
          <w:szCs w:val="24"/>
        </w:rPr>
        <w:t>i</w:t>
      </w:r>
      <w:r w:rsidRPr="00985F05">
        <w:rPr>
          <w:rFonts w:ascii="Gadugi" w:eastAsia="Georgia" w:hAnsi="Gadugi" w:cs="Georgia"/>
          <w:sz w:val="24"/>
          <w:szCs w:val="24"/>
        </w:rPr>
        <w:t>llero hombre en Pereira; (v) en cualquier caso, debe</w:t>
      </w:r>
      <w:r w:rsidR="00973369" w:rsidRPr="00985F05">
        <w:rPr>
          <w:rFonts w:ascii="Gadugi" w:eastAsia="Georgia" w:hAnsi="Gadugi" w:cs="Georgia"/>
          <w:sz w:val="24"/>
          <w:szCs w:val="24"/>
        </w:rPr>
        <w:t>,</w:t>
      </w:r>
      <w:r w:rsidRPr="00985F05">
        <w:rPr>
          <w:rFonts w:ascii="Gadugi" w:eastAsia="Georgia" w:hAnsi="Gadugi" w:cs="Georgia"/>
          <w:sz w:val="24"/>
          <w:szCs w:val="24"/>
        </w:rPr>
        <w:t xml:space="preserve"> como mínimo</w:t>
      </w:r>
      <w:r w:rsidR="00973369" w:rsidRPr="00985F05">
        <w:rPr>
          <w:rFonts w:ascii="Gadugi" w:eastAsia="Georgia" w:hAnsi="Gadugi" w:cs="Georgia"/>
          <w:sz w:val="24"/>
          <w:szCs w:val="24"/>
        </w:rPr>
        <w:t>,</w:t>
      </w:r>
      <w:r w:rsidRPr="00985F05">
        <w:rPr>
          <w:rFonts w:ascii="Gadugi" w:eastAsia="Georgia" w:hAnsi="Gadugi" w:cs="Georgia"/>
          <w:sz w:val="24"/>
          <w:szCs w:val="24"/>
        </w:rPr>
        <w:t xml:space="preserve"> aceptarse la </w:t>
      </w:r>
      <w:r w:rsidR="00973369" w:rsidRPr="00985F05">
        <w:rPr>
          <w:rFonts w:ascii="Gadugi" w:eastAsia="Georgia" w:hAnsi="Gadugi" w:cs="Georgia"/>
          <w:sz w:val="24"/>
          <w:szCs w:val="24"/>
        </w:rPr>
        <w:t>“</w:t>
      </w:r>
      <w:r w:rsidRPr="00985F05">
        <w:rPr>
          <w:rFonts w:ascii="Gadugi" w:eastAsia="Georgia" w:hAnsi="Gadugi" w:cs="Georgia"/>
          <w:i/>
          <w:sz w:val="24"/>
          <w:szCs w:val="24"/>
        </w:rPr>
        <w:t>coparticipación de culpas</w:t>
      </w:r>
      <w:r w:rsidR="00973369" w:rsidRPr="00985F05">
        <w:rPr>
          <w:rFonts w:ascii="Gadugi" w:eastAsia="Georgia" w:hAnsi="Gadugi" w:cs="Georgia"/>
          <w:i/>
          <w:sz w:val="24"/>
          <w:szCs w:val="24"/>
        </w:rPr>
        <w:t>”</w:t>
      </w:r>
      <w:r w:rsidRPr="00985F05">
        <w:rPr>
          <w:rFonts w:ascii="Gadugi" w:eastAsia="Georgia" w:hAnsi="Gadugi" w:cs="Georgia"/>
          <w:sz w:val="24"/>
          <w:szCs w:val="24"/>
        </w:rPr>
        <w:t xml:space="preserve"> y la </w:t>
      </w:r>
      <w:r w:rsidR="00973369" w:rsidRPr="00985F05">
        <w:rPr>
          <w:rFonts w:ascii="Gadugi" w:eastAsia="Georgia" w:hAnsi="Gadugi" w:cs="Georgia"/>
          <w:sz w:val="24"/>
          <w:szCs w:val="24"/>
        </w:rPr>
        <w:t>“</w:t>
      </w:r>
      <w:r w:rsidRPr="00985F05">
        <w:rPr>
          <w:rFonts w:ascii="Gadugi" w:eastAsia="Georgia" w:hAnsi="Gadugi" w:cs="Georgia"/>
          <w:i/>
          <w:sz w:val="24"/>
          <w:szCs w:val="24"/>
        </w:rPr>
        <w:t>compensación de culpas</w:t>
      </w:r>
      <w:r w:rsidR="00973369" w:rsidRPr="00985F05">
        <w:rPr>
          <w:rFonts w:ascii="Gadugi" w:eastAsia="Georgia" w:hAnsi="Gadugi" w:cs="Georgia"/>
          <w:i/>
          <w:sz w:val="24"/>
          <w:szCs w:val="24"/>
        </w:rPr>
        <w:t>”</w:t>
      </w:r>
      <w:r w:rsidRPr="00985F05">
        <w:rPr>
          <w:rFonts w:ascii="Gadugi" w:eastAsia="Georgia" w:hAnsi="Gadugi" w:cs="Georgia"/>
          <w:sz w:val="24"/>
          <w:szCs w:val="24"/>
        </w:rPr>
        <w:t xml:space="preserve">, en la forma señalada por el artículo 2357 del C. Civil. </w:t>
      </w:r>
    </w:p>
    <w:p w14:paraId="5EF6A968" w14:textId="77777777" w:rsidR="00A36C55" w:rsidRPr="00985F05" w:rsidRDefault="00A36C55" w:rsidP="00985F05">
      <w:pPr>
        <w:jc w:val="both"/>
        <w:rPr>
          <w:rFonts w:ascii="Gadugi" w:eastAsia="Georgia" w:hAnsi="Gadugi" w:cs="Georgia"/>
          <w:sz w:val="24"/>
          <w:szCs w:val="24"/>
        </w:rPr>
      </w:pPr>
    </w:p>
    <w:p w14:paraId="37CDD55F" w14:textId="5135434C" w:rsidR="00A36C55" w:rsidRPr="00985F05" w:rsidRDefault="00A36C55" w:rsidP="00985F05">
      <w:pPr>
        <w:jc w:val="both"/>
        <w:rPr>
          <w:rFonts w:ascii="Gadugi" w:eastAsia="Georgia" w:hAnsi="Gadugi" w:cs="Georgia"/>
          <w:sz w:val="24"/>
          <w:szCs w:val="24"/>
        </w:rPr>
      </w:pPr>
      <w:r w:rsidRPr="00985F05">
        <w:rPr>
          <w:rFonts w:ascii="Gadugi" w:eastAsia="Georgia" w:hAnsi="Gadugi" w:cs="Georgia"/>
          <w:sz w:val="24"/>
          <w:szCs w:val="24"/>
        </w:rPr>
        <w:t>El apoderado de Primer Tax S.A. argumentó que (i) se le</w:t>
      </w:r>
      <w:r w:rsidR="00623289" w:rsidRPr="00985F05">
        <w:rPr>
          <w:rFonts w:ascii="Gadugi" w:eastAsia="Georgia" w:hAnsi="Gadugi" w:cs="Georgia"/>
          <w:sz w:val="24"/>
          <w:szCs w:val="24"/>
        </w:rPr>
        <w:t>s</w:t>
      </w:r>
      <w:r w:rsidRPr="00985F05">
        <w:rPr>
          <w:rFonts w:ascii="Gadugi" w:eastAsia="Georgia" w:hAnsi="Gadugi" w:cs="Georgia"/>
          <w:sz w:val="24"/>
          <w:szCs w:val="24"/>
        </w:rPr>
        <w:t xml:space="preserve"> dio valor a unos testimonios desprevenidos y de oídas, cuando en el informe de tránsito quedó codificado que la hipótesis fue no mantener distancia de seguridad por parte del conductor de la moto; (ii) </w:t>
      </w:r>
      <w:r w:rsidR="00973369" w:rsidRPr="00985F05">
        <w:rPr>
          <w:rFonts w:ascii="Gadugi" w:eastAsia="Georgia" w:hAnsi="Gadugi" w:cs="Georgia"/>
          <w:sz w:val="24"/>
          <w:szCs w:val="24"/>
        </w:rPr>
        <w:t xml:space="preserve">y que la víctima violó la </w:t>
      </w:r>
      <w:r w:rsidRPr="00985F05">
        <w:rPr>
          <w:rFonts w:ascii="Gadugi" w:eastAsia="Georgia" w:hAnsi="Gadugi" w:cs="Georgia"/>
          <w:sz w:val="24"/>
          <w:szCs w:val="24"/>
        </w:rPr>
        <w:t xml:space="preserve">regla del Decreto 480 de 2008.  </w:t>
      </w:r>
    </w:p>
    <w:p w14:paraId="2BCD76CA" w14:textId="77777777" w:rsidR="00A36C55" w:rsidRPr="00985F05" w:rsidRDefault="00A36C55" w:rsidP="00985F05">
      <w:pPr>
        <w:jc w:val="both"/>
        <w:rPr>
          <w:rFonts w:ascii="Gadugi" w:eastAsia="Georgia" w:hAnsi="Gadugi" w:cs="Georgia"/>
          <w:sz w:val="24"/>
          <w:szCs w:val="24"/>
        </w:rPr>
      </w:pPr>
    </w:p>
    <w:p w14:paraId="5B4932AC" w14:textId="3A11B65C" w:rsidR="0013583D" w:rsidRPr="00985F05" w:rsidRDefault="0013583D" w:rsidP="00985F05">
      <w:pPr>
        <w:jc w:val="both"/>
        <w:rPr>
          <w:rFonts w:ascii="Gadugi" w:eastAsia="Georgia" w:hAnsi="Gadugi" w:cs="Georgia"/>
          <w:bCs/>
          <w:sz w:val="24"/>
          <w:szCs w:val="24"/>
          <w:lang w:val="es-CO"/>
        </w:rPr>
      </w:pPr>
      <w:r w:rsidRPr="00985F05">
        <w:rPr>
          <w:rFonts w:ascii="Gadugi" w:eastAsia="Georgia" w:hAnsi="Gadugi" w:cs="Georgia"/>
          <w:bCs/>
          <w:sz w:val="24"/>
          <w:szCs w:val="24"/>
          <w:lang w:val="es-CO"/>
        </w:rPr>
        <w:t>2.10. De manera que la Sala deberá resolver, en su orden, la causalidad adecuada en el accidente</w:t>
      </w:r>
      <w:r w:rsidR="000658B9" w:rsidRPr="00985F05">
        <w:rPr>
          <w:rFonts w:ascii="Gadugi" w:eastAsia="Georgia" w:hAnsi="Gadugi" w:cs="Georgia"/>
          <w:bCs/>
          <w:sz w:val="24"/>
          <w:szCs w:val="24"/>
          <w:lang w:val="es-CO"/>
        </w:rPr>
        <w:t xml:space="preserve"> y, a partir de ello, si hubo un hecho exclusivo de un tercero; enseguida, si fuera </w:t>
      </w:r>
      <w:r w:rsidR="00B0486A" w:rsidRPr="00985F05">
        <w:rPr>
          <w:rFonts w:ascii="Gadugi" w:eastAsia="Georgia" w:hAnsi="Gadugi" w:cs="Georgia"/>
          <w:bCs/>
          <w:sz w:val="24"/>
          <w:szCs w:val="24"/>
          <w:lang w:val="es-CO"/>
        </w:rPr>
        <w:t xml:space="preserve">negativa la respuesta, si algún hecho de la víctima fue total o parcialmente determinante en el resultado; </w:t>
      </w:r>
      <w:r w:rsidRPr="00985F05">
        <w:rPr>
          <w:rFonts w:ascii="Gadugi" w:eastAsia="Georgia" w:hAnsi="Gadugi" w:cs="Georgia"/>
          <w:bCs/>
          <w:sz w:val="24"/>
          <w:szCs w:val="24"/>
          <w:lang w:val="es-CO"/>
        </w:rPr>
        <w:t xml:space="preserve">despejado eso, podrán </w:t>
      </w:r>
      <w:r w:rsidR="00B0486A" w:rsidRPr="00985F05">
        <w:rPr>
          <w:rFonts w:ascii="Gadugi" w:eastAsia="Georgia" w:hAnsi="Gadugi" w:cs="Georgia"/>
          <w:bCs/>
          <w:sz w:val="24"/>
          <w:szCs w:val="24"/>
          <w:lang w:val="es-CO"/>
        </w:rPr>
        <w:t xml:space="preserve">acometerse </w:t>
      </w:r>
      <w:r w:rsidRPr="00985F05">
        <w:rPr>
          <w:rFonts w:ascii="Gadugi" w:eastAsia="Georgia" w:hAnsi="Gadugi" w:cs="Georgia"/>
          <w:bCs/>
          <w:sz w:val="24"/>
          <w:szCs w:val="24"/>
          <w:lang w:val="es-CO"/>
        </w:rPr>
        <w:t xml:space="preserve">las inquietudes de la parte demandante, que penden de </w:t>
      </w:r>
      <w:r w:rsidR="00B0486A" w:rsidRPr="00985F05">
        <w:rPr>
          <w:rFonts w:ascii="Gadugi" w:eastAsia="Georgia" w:hAnsi="Gadugi" w:cs="Georgia"/>
          <w:bCs/>
          <w:sz w:val="24"/>
          <w:szCs w:val="24"/>
          <w:lang w:val="es-CO"/>
        </w:rPr>
        <w:t xml:space="preserve">aquellas </w:t>
      </w:r>
      <w:r w:rsidRPr="00985F05">
        <w:rPr>
          <w:rFonts w:ascii="Gadugi" w:eastAsia="Georgia" w:hAnsi="Gadugi" w:cs="Georgia"/>
          <w:bCs/>
          <w:sz w:val="24"/>
          <w:szCs w:val="24"/>
          <w:lang w:val="es-CO"/>
        </w:rPr>
        <w:t>circunstancia</w:t>
      </w:r>
      <w:r w:rsidR="00B0486A" w:rsidRPr="00985F05">
        <w:rPr>
          <w:rFonts w:ascii="Gadugi" w:eastAsia="Georgia" w:hAnsi="Gadugi" w:cs="Georgia"/>
          <w:bCs/>
          <w:sz w:val="24"/>
          <w:szCs w:val="24"/>
          <w:lang w:val="es-CO"/>
        </w:rPr>
        <w:t>s</w:t>
      </w:r>
      <w:r w:rsidRPr="00985F05">
        <w:rPr>
          <w:rFonts w:ascii="Gadugi" w:eastAsia="Georgia" w:hAnsi="Gadugi" w:cs="Georgia"/>
          <w:bCs/>
          <w:sz w:val="24"/>
          <w:szCs w:val="24"/>
          <w:lang w:val="es-CO"/>
        </w:rPr>
        <w:t xml:space="preserve">. </w:t>
      </w:r>
    </w:p>
    <w:p w14:paraId="512AD47E" w14:textId="548DBBCA" w:rsidR="0013583D" w:rsidRPr="00985F05" w:rsidRDefault="0013583D" w:rsidP="00985F05">
      <w:pPr>
        <w:jc w:val="both"/>
        <w:rPr>
          <w:rFonts w:ascii="Gadugi" w:eastAsia="Georgia" w:hAnsi="Gadugi" w:cs="Georgia"/>
          <w:bCs/>
          <w:sz w:val="24"/>
          <w:szCs w:val="24"/>
          <w:lang w:val="es-CO"/>
        </w:rPr>
      </w:pPr>
    </w:p>
    <w:p w14:paraId="5C6A2273" w14:textId="61DAFD42" w:rsidR="00B0486A" w:rsidRPr="00985F05" w:rsidRDefault="00D9409B" w:rsidP="00985F05">
      <w:pPr>
        <w:jc w:val="both"/>
        <w:rPr>
          <w:rFonts w:ascii="Gadugi" w:eastAsia="Georgia" w:hAnsi="Gadugi" w:cs="Georgia"/>
          <w:bCs/>
          <w:sz w:val="24"/>
          <w:szCs w:val="24"/>
          <w:lang w:val="es-CO"/>
        </w:rPr>
      </w:pPr>
      <w:r w:rsidRPr="00985F05">
        <w:rPr>
          <w:rFonts w:ascii="Gadugi" w:eastAsia="Georgia" w:hAnsi="Gadugi" w:cs="Georgia"/>
          <w:bCs/>
          <w:sz w:val="24"/>
          <w:szCs w:val="24"/>
          <w:lang w:val="es-CO"/>
        </w:rPr>
        <w:t xml:space="preserve">2.11. </w:t>
      </w:r>
      <w:r w:rsidR="00B0486A" w:rsidRPr="00985F05">
        <w:rPr>
          <w:rFonts w:ascii="Gadugi" w:eastAsia="Georgia" w:hAnsi="Gadugi" w:cs="Georgia"/>
          <w:bCs/>
          <w:sz w:val="24"/>
          <w:szCs w:val="24"/>
          <w:lang w:val="es-CO"/>
        </w:rPr>
        <w:t>En tal medida, se agruparán l</w:t>
      </w:r>
      <w:r w:rsidRPr="00985F05">
        <w:rPr>
          <w:rFonts w:ascii="Gadugi" w:eastAsia="Georgia" w:hAnsi="Gadugi" w:cs="Georgia"/>
          <w:bCs/>
          <w:sz w:val="24"/>
          <w:szCs w:val="24"/>
          <w:lang w:val="es-CO"/>
        </w:rPr>
        <w:t xml:space="preserve">os reparos </w:t>
      </w:r>
      <w:r w:rsidR="00E856EB" w:rsidRPr="00985F05">
        <w:rPr>
          <w:rFonts w:ascii="Gadugi" w:eastAsia="Georgia" w:hAnsi="Gadugi" w:cs="Georgia"/>
          <w:bCs/>
          <w:sz w:val="24"/>
          <w:szCs w:val="24"/>
          <w:lang w:val="es-CO"/>
        </w:rPr>
        <w:t xml:space="preserve">(iii), </w:t>
      </w:r>
      <w:r w:rsidR="00B0486A" w:rsidRPr="00985F05">
        <w:rPr>
          <w:rFonts w:ascii="Gadugi" w:eastAsia="Georgia" w:hAnsi="Gadugi" w:cs="Georgia"/>
          <w:bCs/>
          <w:sz w:val="24"/>
          <w:szCs w:val="24"/>
          <w:lang w:val="es-CO"/>
        </w:rPr>
        <w:t xml:space="preserve">(iv) y (v) </w:t>
      </w:r>
      <w:r w:rsidRPr="00985F05">
        <w:rPr>
          <w:rFonts w:ascii="Gadugi" w:eastAsia="Georgia" w:hAnsi="Gadugi" w:cs="Georgia"/>
          <w:bCs/>
          <w:sz w:val="24"/>
          <w:szCs w:val="24"/>
          <w:lang w:val="es-CO"/>
        </w:rPr>
        <w:t xml:space="preserve">propuestos por </w:t>
      </w:r>
      <w:r w:rsidR="00B0486A" w:rsidRPr="00985F05">
        <w:rPr>
          <w:rFonts w:ascii="Gadugi" w:eastAsia="Georgia" w:hAnsi="Gadugi" w:cs="Georgia"/>
          <w:bCs/>
          <w:sz w:val="24"/>
          <w:szCs w:val="24"/>
          <w:lang w:val="es-CO"/>
        </w:rPr>
        <w:t>la curadora</w:t>
      </w:r>
      <w:r w:rsidR="00E856EB" w:rsidRPr="00985F05">
        <w:rPr>
          <w:rFonts w:ascii="Gadugi" w:eastAsia="Georgia" w:hAnsi="Gadugi" w:cs="Georgia"/>
          <w:bCs/>
          <w:sz w:val="24"/>
          <w:szCs w:val="24"/>
          <w:lang w:val="es-CO"/>
        </w:rPr>
        <w:t xml:space="preserve">, con </w:t>
      </w:r>
      <w:r w:rsidR="0062103C" w:rsidRPr="00985F05">
        <w:rPr>
          <w:rFonts w:ascii="Gadugi" w:eastAsia="Georgia" w:hAnsi="Gadugi" w:cs="Georgia"/>
          <w:bCs/>
          <w:sz w:val="24"/>
          <w:szCs w:val="24"/>
          <w:lang w:val="es-CO"/>
        </w:rPr>
        <w:t xml:space="preserve">los </w:t>
      </w:r>
      <w:r w:rsidRPr="00985F05">
        <w:rPr>
          <w:rFonts w:ascii="Gadugi" w:eastAsia="Georgia" w:hAnsi="Gadugi" w:cs="Georgia"/>
          <w:bCs/>
          <w:sz w:val="24"/>
          <w:szCs w:val="24"/>
          <w:lang w:val="es-CO"/>
        </w:rPr>
        <w:t>disenso</w:t>
      </w:r>
      <w:r w:rsidR="0062103C" w:rsidRPr="00985F05">
        <w:rPr>
          <w:rFonts w:ascii="Gadugi" w:eastAsia="Georgia" w:hAnsi="Gadugi" w:cs="Georgia"/>
          <w:bCs/>
          <w:sz w:val="24"/>
          <w:szCs w:val="24"/>
          <w:lang w:val="es-CO"/>
        </w:rPr>
        <w:t>s</w:t>
      </w:r>
      <w:r w:rsidR="00E856EB" w:rsidRPr="00985F05">
        <w:rPr>
          <w:rFonts w:ascii="Gadugi" w:eastAsia="Georgia" w:hAnsi="Gadugi" w:cs="Georgia"/>
          <w:bCs/>
          <w:sz w:val="24"/>
          <w:szCs w:val="24"/>
          <w:lang w:val="es-CO"/>
        </w:rPr>
        <w:t xml:space="preserve"> (i) </w:t>
      </w:r>
      <w:r w:rsidR="00830E61" w:rsidRPr="00985F05">
        <w:rPr>
          <w:rFonts w:ascii="Gadugi" w:eastAsia="Georgia" w:hAnsi="Gadugi" w:cs="Georgia"/>
          <w:bCs/>
          <w:sz w:val="24"/>
          <w:szCs w:val="24"/>
          <w:lang w:val="es-CO"/>
        </w:rPr>
        <w:t xml:space="preserve">y (iii) </w:t>
      </w:r>
      <w:r w:rsidR="00E856EB" w:rsidRPr="00985F05">
        <w:rPr>
          <w:rFonts w:ascii="Gadugi" w:eastAsia="Georgia" w:hAnsi="Gadugi" w:cs="Georgia"/>
          <w:bCs/>
          <w:sz w:val="24"/>
          <w:szCs w:val="24"/>
          <w:lang w:val="es-CO"/>
        </w:rPr>
        <w:t xml:space="preserve">de la aseguradora y </w:t>
      </w:r>
      <w:r w:rsidR="00830E61" w:rsidRPr="00985F05">
        <w:rPr>
          <w:rFonts w:ascii="Gadugi" w:eastAsia="Georgia" w:hAnsi="Gadugi" w:cs="Georgia"/>
          <w:bCs/>
          <w:sz w:val="24"/>
          <w:szCs w:val="24"/>
          <w:lang w:val="es-CO"/>
        </w:rPr>
        <w:t>el (i) de</w:t>
      </w:r>
      <w:r w:rsidR="00E856EB" w:rsidRPr="00985F05">
        <w:rPr>
          <w:rFonts w:ascii="Gadugi" w:eastAsia="Georgia" w:hAnsi="Gadugi" w:cs="Georgia"/>
          <w:bCs/>
          <w:sz w:val="24"/>
          <w:szCs w:val="24"/>
          <w:lang w:val="es-CO"/>
        </w:rPr>
        <w:t>l apoderado de la sociedad demandada</w:t>
      </w:r>
      <w:r w:rsidR="00077D5D" w:rsidRPr="00985F05">
        <w:rPr>
          <w:rFonts w:ascii="Gadugi" w:eastAsia="Georgia" w:hAnsi="Gadugi" w:cs="Georgia"/>
          <w:bCs/>
          <w:sz w:val="24"/>
          <w:szCs w:val="24"/>
          <w:lang w:val="es-CO"/>
        </w:rPr>
        <w:t xml:space="preserve">, que guardan relación con </w:t>
      </w:r>
      <w:r w:rsidRPr="00985F05">
        <w:rPr>
          <w:rFonts w:ascii="Gadugi" w:eastAsia="Georgia" w:hAnsi="Gadugi" w:cs="Georgia"/>
          <w:bCs/>
          <w:sz w:val="24"/>
          <w:szCs w:val="24"/>
          <w:lang w:val="es-CO"/>
        </w:rPr>
        <w:t xml:space="preserve">la primera cuestión. </w:t>
      </w:r>
    </w:p>
    <w:p w14:paraId="7D56A24C" w14:textId="7F9D39FD" w:rsidR="00D9409B" w:rsidRPr="00985F05" w:rsidRDefault="00D9409B" w:rsidP="00985F05">
      <w:pPr>
        <w:jc w:val="both"/>
        <w:rPr>
          <w:rFonts w:ascii="Gadugi" w:eastAsia="Georgia" w:hAnsi="Gadugi" w:cs="Georgia"/>
          <w:bCs/>
          <w:sz w:val="24"/>
          <w:szCs w:val="24"/>
          <w:lang w:val="es-CO"/>
        </w:rPr>
      </w:pPr>
    </w:p>
    <w:p w14:paraId="365F3B1A" w14:textId="48D14CD8" w:rsidR="00830E61" w:rsidRPr="00985F05" w:rsidRDefault="00D9409B" w:rsidP="00985F05">
      <w:pPr>
        <w:jc w:val="both"/>
        <w:rPr>
          <w:rFonts w:ascii="Gadugi" w:eastAsia="Malgun Gothic" w:hAnsi="Gadugi" w:cs="Estrangelo Edessa"/>
          <w:sz w:val="24"/>
          <w:szCs w:val="24"/>
        </w:rPr>
      </w:pPr>
      <w:r w:rsidRPr="00985F05">
        <w:rPr>
          <w:rFonts w:ascii="Gadugi" w:eastAsia="Georgia" w:hAnsi="Gadugi" w:cs="Georgia"/>
          <w:bCs/>
          <w:sz w:val="24"/>
          <w:szCs w:val="24"/>
          <w:lang w:val="es-CO"/>
        </w:rPr>
        <w:t>Ninguno de ellos puede prosperar, por una potísima razón</w:t>
      </w:r>
      <w:r w:rsidR="00623C61" w:rsidRPr="00985F05">
        <w:rPr>
          <w:rFonts w:ascii="Gadugi" w:eastAsia="Georgia" w:hAnsi="Gadugi" w:cs="Georgia"/>
          <w:bCs/>
          <w:sz w:val="24"/>
          <w:szCs w:val="24"/>
          <w:lang w:val="es-CO"/>
        </w:rPr>
        <w:t>: que, c</w:t>
      </w:r>
      <w:r w:rsidRPr="00985F05">
        <w:rPr>
          <w:rFonts w:ascii="Gadugi" w:eastAsia="Georgia" w:hAnsi="Gadugi" w:cs="Georgia"/>
          <w:bCs/>
          <w:sz w:val="24"/>
          <w:szCs w:val="24"/>
          <w:lang w:val="es-CO"/>
        </w:rPr>
        <w:t xml:space="preserve">omo se </w:t>
      </w:r>
      <w:r w:rsidR="006A0160" w:rsidRPr="00985F05">
        <w:rPr>
          <w:rFonts w:ascii="Gadugi" w:eastAsia="Georgia" w:hAnsi="Gadugi" w:cs="Georgia"/>
          <w:bCs/>
          <w:sz w:val="24"/>
          <w:szCs w:val="24"/>
          <w:lang w:val="es-CO"/>
        </w:rPr>
        <w:t xml:space="preserve">indicó </w:t>
      </w:r>
      <w:r w:rsidRPr="00985F05">
        <w:rPr>
          <w:rFonts w:ascii="Gadugi" w:eastAsia="Georgia" w:hAnsi="Gadugi" w:cs="Georgia"/>
          <w:bCs/>
          <w:sz w:val="24"/>
          <w:szCs w:val="24"/>
          <w:lang w:val="es-CO"/>
        </w:rPr>
        <w:t xml:space="preserve">al transcribir la sentencia </w:t>
      </w:r>
      <w:r w:rsidRPr="00985F05">
        <w:rPr>
          <w:rFonts w:ascii="Gadugi" w:eastAsia="Malgun Gothic" w:hAnsi="Gadugi" w:cs="Estrangelo Edessa"/>
          <w:sz w:val="24"/>
          <w:szCs w:val="24"/>
        </w:rPr>
        <w:t xml:space="preserve">SC-0083-2021 de esta Sala, que se apoya en decisiones de la alta Colegiatura, cuando del hecho de un tercero se trate, </w:t>
      </w:r>
      <w:r w:rsidR="00830E61" w:rsidRPr="00985F05">
        <w:rPr>
          <w:rFonts w:ascii="Gadugi" w:eastAsia="Malgun Gothic" w:hAnsi="Gadugi" w:cs="Estrangelo Edessa"/>
          <w:sz w:val="24"/>
          <w:szCs w:val="24"/>
        </w:rPr>
        <w:t>su incidencia ha de ser total, no parcial, para poder liberar al otro implicado. Y es</w:t>
      </w:r>
      <w:r w:rsidR="00463E4E" w:rsidRPr="00985F05">
        <w:rPr>
          <w:rFonts w:ascii="Gadugi" w:eastAsia="Malgun Gothic" w:hAnsi="Gadugi" w:cs="Estrangelo Edessa"/>
          <w:sz w:val="24"/>
          <w:szCs w:val="24"/>
        </w:rPr>
        <w:t xml:space="preserve">a circunstancia </w:t>
      </w:r>
      <w:r w:rsidR="00830E61" w:rsidRPr="00985F05">
        <w:rPr>
          <w:rFonts w:ascii="Gadugi" w:eastAsia="Malgun Gothic" w:hAnsi="Gadugi" w:cs="Estrangelo Edessa"/>
          <w:sz w:val="24"/>
          <w:szCs w:val="24"/>
        </w:rPr>
        <w:t>quedó huérfa</w:t>
      </w:r>
      <w:r w:rsidR="00463E4E" w:rsidRPr="00985F05">
        <w:rPr>
          <w:rFonts w:ascii="Gadugi" w:eastAsia="Malgun Gothic" w:hAnsi="Gadugi" w:cs="Estrangelo Edessa"/>
          <w:sz w:val="24"/>
          <w:szCs w:val="24"/>
        </w:rPr>
        <w:t>na</w:t>
      </w:r>
      <w:r w:rsidR="00830E61" w:rsidRPr="00985F05">
        <w:rPr>
          <w:rFonts w:ascii="Gadugi" w:eastAsia="Malgun Gothic" w:hAnsi="Gadugi" w:cs="Estrangelo Edessa"/>
          <w:sz w:val="24"/>
          <w:szCs w:val="24"/>
        </w:rPr>
        <w:t xml:space="preserve"> de prueba. </w:t>
      </w:r>
    </w:p>
    <w:p w14:paraId="207DE5C5" w14:textId="77777777" w:rsidR="00463E4E" w:rsidRPr="00985F05" w:rsidRDefault="00463E4E" w:rsidP="00985F05">
      <w:pPr>
        <w:jc w:val="both"/>
        <w:rPr>
          <w:rFonts w:ascii="Gadugi" w:eastAsia="Malgun Gothic" w:hAnsi="Gadugi" w:cs="Estrangelo Edessa"/>
          <w:sz w:val="24"/>
          <w:szCs w:val="24"/>
        </w:rPr>
      </w:pPr>
    </w:p>
    <w:p w14:paraId="3E141C32" w14:textId="7236EDA8" w:rsidR="00C729C5" w:rsidRPr="00985F05" w:rsidRDefault="006A0160" w:rsidP="00985F05">
      <w:pPr>
        <w:jc w:val="both"/>
        <w:rPr>
          <w:rFonts w:ascii="Gadugi" w:hAnsi="Gadugi"/>
          <w:i/>
          <w:sz w:val="24"/>
          <w:szCs w:val="24"/>
        </w:rPr>
      </w:pPr>
      <w:r w:rsidRPr="00985F05">
        <w:rPr>
          <w:rFonts w:ascii="Gadugi" w:eastAsia="Malgun Gothic" w:hAnsi="Gadugi" w:cs="Estrangelo Edessa"/>
          <w:sz w:val="24"/>
          <w:szCs w:val="24"/>
        </w:rPr>
        <w:t>En efecto, para comenzar por el dictamen aportado, e</w:t>
      </w:r>
      <w:r w:rsidR="00830E61" w:rsidRPr="00985F05">
        <w:rPr>
          <w:rFonts w:ascii="Gadugi" w:eastAsia="Malgun Gothic" w:hAnsi="Gadugi" w:cs="Estrangelo Edessa"/>
          <w:sz w:val="24"/>
          <w:szCs w:val="24"/>
        </w:rPr>
        <w:t xml:space="preserve">s menester </w:t>
      </w:r>
      <w:r w:rsidR="00623C61" w:rsidRPr="00985F05">
        <w:rPr>
          <w:rFonts w:ascii="Gadugi" w:eastAsia="Malgun Gothic" w:hAnsi="Gadugi" w:cs="Estrangelo Edessa"/>
          <w:sz w:val="24"/>
          <w:szCs w:val="24"/>
        </w:rPr>
        <w:t xml:space="preserve">reiterar </w:t>
      </w:r>
      <w:r w:rsidR="007D04A0" w:rsidRPr="00985F05">
        <w:rPr>
          <w:rFonts w:ascii="Gadugi" w:eastAsia="Malgun Gothic" w:hAnsi="Gadugi" w:cs="Estrangelo Edessa"/>
          <w:sz w:val="24"/>
          <w:szCs w:val="24"/>
        </w:rPr>
        <w:t>la posición de la Sala</w:t>
      </w:r>
      <w:r w:rsidRPr="00985F05">
        <w:rPr>
          <w:rFonts w:ascii="Gadugi" w:eastAsia="Malgun Gothic" w:hAnsi="Gadugi" w:cs="Estrangelo Edessa"/>
          <w:sz w:val="24"/>
          <w:szCs w:val="24"/>
        </w:rPr>
        <w:t>,</w:t>
      </w:r>
      <w:r w:rsidR="00623C61" w:rsidRPr="00985F05">
        <w:rPr>
          <w:rFonts w:ascii="Gadugi" w:eastAsia="Malgun Gothic" w:hAnsi="Gadugi" w:cs="Estrangelo Edessa"/>
          <w:sz w:val="24"/>
          <w:szCs w:val="24"/>
        </w:rPr>
        <w:t xml:space="preserve"> como se recordó en la sentencia SC-0035-2022, </w:t>
      </w:r>
      <w:r w:rsidR="007D04A0" w:rsidRPr="00985F05">
        <w:rPr>
          <w:rFonts w:ascii="Gadugi" w:eastAsia="Malgun Gothic" w:hAnsi="Gadugi" w:cs="Estrangelo Edessa"/>
          <w:sz w:val="24"/>
          <w:szCs w:val="24"/>
        </w:rPr>
        <w:t xml:space="preserve">en el sentido de que </w:t>
      </w:r>
      <w:r w:rsidR="00623C61" w:rsidRPr="00985F05">
        <w:rPr>
          <w:rFonts w:ascii="Gadugi" w:eastAsia="Malgun Gothic" w:hAnsi="Gadugi" w:cs="Estrangelo Edessa"/>
          <w:i/>
          <w:sz w:val="24"/>
          <w:szCs w:val="24"/>
        </w:rPr>
        <w:t>“</w:t>
      </w:r>
      <w:r w:rsidR="00623C61" w:rsidRPr="004E1F81">
        <w:rPr>
          <w:rFonts w:ascii="Gadugi" w:hAnsi="Gadugi"/>
          <w:i/>
          <w:szCs w:val="24"/>
        </w:rPr>
        <w:t>a la luz del artículo 226 del CGP, en la actualidad el dictamen de parte debe someterse a unas reglas allí enlistadas de manera precisa, entre ellas, que el mismo venga acompañado de los documentos idóneos que habiliten al perito para su ejercicio, los títulos académicos y los documentos que certifiquen la respectiva experiencia profesional, técnica o artística. Si no se acatan esas directrices, como ha sostenido esta Sala</w:t>
      </w:r>
      <w:r w:rsidR="00623C61" w:rsidRPr="004E1F81">
        <w:rPr>
          <w:rStyle w:val="Refdenotaalpie"/>
          <w:rFonts w:ascii="Gadugi" w:hAnsi="Gadugi"/>
          <w:i/>
          <w:szCs w:val="24"/>
        </w:rPr>
        <w:footnoteReference w:id="31"/>
      </w:r>
      <w:r w:rsidR="00623C61" w:rsidRPr="004E1F81">
        <w:rPr>
          <w:rFonts w:ascii="Gadugi" w:hAnsi="Gadugi"/>
          <w:i/>
          <w:szCs w:val="24"/>
        </w:rPr>
        <w:t xml:space="preserve">, aunque ello hubiera podido controlarse desde el </w:t>
      </w:r>
      <w:r w:rsidR="00623C61" w:rsidRPr="004E1F81">
        <w:rPr>
          <w:rFonts w:ascii="Gadugi" w:hAnsi="Gadugi"/>
          <w:i/>
          <w:szCs w:val="24"/>
        </w:rPr>
        <w:lastRenderedPageBreak/>
        <w:t>momento de su aducción, superada esa etapa, al momento de valorarse ese medio probatorio, perderá toda eficacia. No está por demás recordar, sin embargo, lo dicho en la misma providencia en cita, en el sentido de que “en reciente decisión de este Tribunal</w:t>
      </w:r>
      <w:r w:rsidR="00C729C5" w:rsidRPr="004E1F81">
        <w:rPr>
          <w:rStyle w:val="Refdenotaalpie"/>
          <w:rFonts w:ascii="Gadugi" w:hAnsi="Gadugi"/>
          <w:i/>
          <w:szCs w:val="24"/>
        </w:rPr>
        <w:footnoteReference w:id="32"/>
      </w:r>
      <w:r w:rsidR="00623C61" w:rsidRPr="004E1F81">
        <w:rPr>
          <w:rFonts w:ascii="Gadugi" w:hAnsi="Gadugi"/>
          <w:i/>
          <w:szCs w:val="24"/>
        </w:rPr>
        <w:t xml:space="preserve"> quedaron compendiadas las posiciones que se ciernen, al indicarse en otro asunto en el que el dictamen incumplía tales exigencias legales, que “Esa experticia evidencia un reproche que compromete su eficacia, consistente en la falta de las exigencias del artículo 226, ib., bien se admita la tesis de la CSJ (2021)</w:t>
      </w:r>
      <w:r w:rsidR="00C729C5" w:rsidRPr="004E1F81">
        <w:rPr>
          <w:rStyle w:val="Refdenotaalpie"/>
          <w:rFonts w:ascii="Gadugi" w:hAnsi="Gadugi"/>
          <w:i/>
          <w:szCs w:val="24"/>
        </w:rPr>
        <w:footnoteReference w:id="33"/>
      </w:r>
      <w:r w:rsidR="00623C61" w:rsidRPr="004E1F81">
        <w:rPr>
          <w:rFonts w:ascii="Gadugi" w:hAnsi="Gadugi"/>
          <w:i/>
          <w:szCs w:val="24"/>
        </w:rPr>
        <w:t xml:space="preserve"> en sede de tutela o la que ha sostenido esta Sala en</w:t>
      </w:r>
      <w:r w:rsidR="00C729C5" w:rsidRPr="004E1F81">
        <w:rPr>
          <w:rFonts w:ascii="Gadugi" w:hAnsi="Gadugi"/>
          <w:i/>
          <w:szCs w:val="24"/>
        </w:rPr>
        <w:t xml:space="preserve"> </w:t>
      </w:r>
      <w:r w:rsidR="00623C61" w:rsidRPr="004E1F81">
        <w:rPr>
          <w:rFonts w:ascii="Gadugi" w:hAnsi="Gadugi"/>
          <w:i/>
          <w:szCs w:val="24"/>
        </w:rPr>
        <w:t>decisiones anteriores (2018, 2019 y 2021)</w:t>
      </w:r>
      <w:r w:rsidR="00C729C5" w:rsidRPr="004E1F81">
        <w:rPr>
          <w:rStyle w:val="Refdenotaalpie"/>
          <w:rFonts w:ascii="Gadugi" w:hAnsi="Gadugi"/>
          <w:i/>
          <w:szCs w:val="24"/>
        </w:rPr>
        <w:footnoteReference w:id="34"/>
      </w:r>
      <w:r w:rsidR="00623C61" w:rsidRPr="004E1F81">
        <w:rPr>
          <w:rFonts w:ascii="Gadugi" w:hAnsi="Gadugi"/>
          <w:i/>
          <w:szCs w:val="24"/>
        </w:rPr>
        <w:t>; esta última predica que, conforme al artículo 173, inciso 2º, ib., al pronunciarse sobre su admisibilidad debe el juzgador verificarlas, mientras la CSJ sostiene que es juicio restringido solo a la sentencia”</w:t>
      </w:r>
      <w:r w:rsidR="00C729C5" w:rsidRPr="004E1F81">
        <w:rPr>
          <w:rFonts w:ascii="Gadugi" w:hAnsi="Gadugi"/>
          <w:i/>
          <w:szCs w:val="24"/>
        </w:rPr>
        <w:t>…</w:t>
      </w:r>
      <w:r w:rsidR="00623C61" w:rsidRPr="004E1F81">
        <w:rPr>
          <w:rFonts w:ascii="Gadugi" w:hAnsi="Gadugi"/>
          <w:i/>
          <w:szCs w:val="24"/>
        </w:rPr>
        <w:t xml:space="preserve"> En todo caso, como ocurrió en los eventos ya citados, cualquiera que sea la tesis que se acoja, la conclusión sería la misma, es decir, que se torna imposible apreciar la experticia, que es lo que aquí debe acontecer, habida cuenta de que, al acudir al expediente digital, en el archivo 37 del cuaderno principal, aparece un informe técnico</w:t>
      </w:r>
      <w:r w:rsidR="00C729C5" w:rsidRPr="004E1F81">
        <w:rPr>
          <w:rFonts w:ascii="Gadugi" w:hAnsi="Gadugi"/>
          <w:i/>
          <w:szCs w:val="24"/>
        </w:rPr>
        <w:t xml:space="preserve"> </w:t>
      </w:r>
      <w:r w:rsidR="00623C61" w:rsidRPr="004E1F81">
        <w:rPr>
          <w:rFonts w:ascii="Gadugi" w:hAnsi="Gadugi"/>
          <w:i/>
          <w:szCs w:val="24"/>
        </w:rPr>
        <w:t>científico de reconstrucción, emitido por LJGG y DRNS, que carece del citado respaldo, en cuanto ningún documento idóneo se trajo que habilite a los peritos para su trabajo, ni copias de sus títulos académicos o de documentos que sirvan para certificar su experiencia como ingenieros físicos y en las demás especialidades que refieren</w:t>
      </w:r>
      <w:r w:rsidR="00C729C5" w:rsidRPr="004E1F81">
        <w:rPr>
          <w:rFonts w:ascii="Gadugi" w:hAnsi="Gadugi"/>
          <w:i/>
          <w:szCs w:val="24"/>
        </w:rPr>
        <w:t>”</w:t>
      </w:r>
    </w:p>
    <w:p w14:paraId="7092508F" w14:textId="77777777" w:rsidR="00C729C5" w:rsidRPr="00985F05" w:rsidRDefault="00C729C5" w:rsidP="00985F05">
      <w:pPr>
        <w:jc w:val="both"/>
        <w:rPr>
          <w:rFonts w:ascii="Gadugi" w:hAnsi="Gadugi"/>
          <w:i/>
          <w:sz w:val="24"/>
          <w:szCs w:val="24"/>
        </w:rPr>
      </w:pPr>
    </w:p>
    <w:p w14:paraId="6B4A4F46" w14:textId="77777777" w:rsidR="00E476E9" w:rsidRPr="00985F05" w:rsidRDefault="00C729C5" w:rsidP="00985F05">
      <w:pPr>
        <w:jc w:val="both"/>
        <w:rPr>
          <w:rFonts w:ascii="Gadugi" w:eastAsia="Georgia" w:hAnsi="Gadugi" w:cs="Georgia"/>
          <w:sz w:val="24"/>
          <w:szCs w:val="24"/>
        </w:rPr>
      </w:pPr>
      <w:r w:rsidRPr="00985F05">
        <w:rPr>
          <w:rFonts w:ascii="Gadugi" w:eastAsia="Malgun Gothic" w:hAnsi="Gadugi" w:cs="Estrangelo Edessa"/>
          <w:sz w:val="24"/>
          <w:szCs w:val="24"/>
        </w:rPr>
        <w:t xml:space="preserve">Otro tanto ocurre en la presente litis, ya que, como fue destacado por la curadora en la audiencia de instrucción y ahora en su alzada, el dictamen presentado por </w:t>
      </w:r>
      <w:r w:rsidR="00777160" w:rsidRPr="00985F05">
        <w:rPr>
          <w:rFonts w:ascii="Gadugi" w:eastAsia="Georgia" w:hAnsi="Gadugi" w:cs="Georgia"/>
          <w:sz w:val="24"/>
          <w:szCs w:val="24"/>
        </w:rPr>
        <w:t xml:space="preserve">Jarbey Andrés Vergara Guerrero, </w:t>
      </w:r>
      <w:r w:rsidR="00E476E9" w:rsidRPr="00985F05">
        <w:rPr>
          <w:rFonts w:ascii="Gadugi" w:eastAsia="Georgia" w:hAnsi="Gadugi" w:cs="Georgia"/>
          <w:sz w:val="24"/>
          <w:szCs w:val="24"/>
        </w:rPr>
        <w:t>acompañado con la reforma de la demanda</w:t>
      </w:r>
      <w:r w:rsidR="00E476E9" w:rsidRPr="00985F05">
        <w:rPr>
          <w:rStyle w:val="Refdenotaalpie"/>
          <w:rFonts w:ascii="Gadugi" w:eastAsia="Georgia" w:hAnsi="Gadugi" w:cs="Georgia"/>
          <w:sz w:val="24"/>
          <w:szCs w:val="24"/>
        </w:rPr>
        <w:footnoteReference w:id="35"/>
      </w:r>
      <w:r w:rsidR="00E476E9" w:rsidRPr="00985F05">
        <w:rPr>
          <w:rFonts w:ascii="Gadugi" w:eastAsia="Georgia" w:hAnsi="Gadugi" w:cs="Georgia"/>
          <w:sz w:val="24"/>
          <w:szCs w:val="24"/>
        </w:rPr>
        <w:t xml:space="preserve">, carece de la información que la norma exige, particularmente, la que imponen los numerales 3 a 10, sin la cual, imposible servirse del mismo como soporte de la decisión, dada su ineficacia probatoria. </w:t>
      </w:r>
    </w:p>
    <w:p w14:paraId="785CBA63" w14:textId="18676ACB" w:rsidR="00E476E9" w:rsidRPr="00985F05" w:rsidRDefault="00E476E9" w:rsidP="00985F05">
      <w:pPr>
        <w:jc w:val="both"/>
        <w:rPr>
          <w:rFonts w:ascii="Gadugi" w:eastAsia="Georgia" w:hAnsi="Gadugi" w:cs="Georgia"/>
          <w:sz w:val="24"/>
          <w:szCs w:val="24"/>
        </w:rPr>
      </w:pPr>
    </w:p>
    <w:p w14:paraId="5278A6EA" w14:textId="4CCEA54F" w:rsidR="00E476E9" w:rsidRPr="00985F05" w:rsidRDefault="00E476E9" w:rsidP="00985F05">
      <w:pPr>
        <w:jc w:val="both"/>
        <w:rPr>
          <w:rFonts w:ascii="Gadugi" w:eastAsia="Georgia" w:hAnsi="Gadugi" w:cs="Georgia"/>
          <w:sz w:val="24"/>
          <w:szCs w:val="24"/>
        </w:rPr>
      </w:pPr>
      <w:r w:rsidRPr="00985F05">
        <w:rPr>
          <w:rFonts w:ascii="Gadugi" w:eastAsia="Georgia" w:hAnsi="Gadugi" w:cs="Georgia"/>
          <w:sz w:val="24"/>
          <w:szCs w:val="24"/>
        </w:rPr>
        <w:t xml:space="preserve">En todo caso, aún de haberse cumplido ese mandato a cabalidad, tal experticia contribuiría, simplemente, a decir que no hubo un hecho exclusivo de un tercero; mientras que </w:t>
      </w:r>
      <w:r w:rsidR="007D04A0" w:rsidRPr="00985F05">
        <w:rPr>
          <w:rFonts w:ascii="Gadugi" w:eastAsia="Georgia" w:hAnsi="Gadugi" w:cs="Georgia"/>
          <w:sz w:val="24"/>
          <w:szCs w:val="24"/>
        </w:rPr>
        <w:t>la ausencia de ese dictamen</w:t>
      </w:r>
      <w:r w:rsidRPr="00985F05">
        <w:rPr>
          <w:rFonts w:ascii="Gadugi" w:eastAsia="Georgia" w:hAnsi="Gadugi" w:cs="Georgia"/>
          <w:sz w:val="24"/>
          <w:szCs w:val="24"/>
        </w:rPr>
        <w:t>, lo que permit</w:t>
      </w:r>
      <w:r w:rsidR="007D04A0" w:rsidRPr="00985F05">
        <w:rPr>
          <w:rFonts w:ascii="Gadugi" w:eastAsia="Georgia" w:hAnsi="Gadugi" w:cs="Georgia"/>
          <w:sz w:val="24"/>
          <w:szCs w:val="24"/>
        </w:rPr>
        <w:t>e</w:t>
      </w:r>
      <w:r w:rsidRPr="00985F05">
        <w:rPr>
          <w:rFonts w:ascii="Gadugi" w:eastAsia="Georgia" w:hAnsi="Gadugi" w:cs="Georgia"/>
          <w:sz w:val="24"/>
          <w:szCs w:val="24"/>
        </w:rPr>
        <w:t xml:space="preserve"> concluir, si no se analizaran otras probanzas, es que la presunción de culpas se mantendría en ambos conductores, es decir, que la coparticipación no serviría para aniquilar la responsabilidad de los demandados, dado que, se insiste en ello, el hecho de un tercero tiene que ser total, para liberar de ella. </w:t>
      </w:r>
    </w:p>
    <w:p w14:paraId="7D05A9C9" w14:textId="5D4F8FE9" w:rsidR="00E476E9" w:rsidRPr="00985F05" w:rsidRDefault="00E476E9" w:rsidP="00985F05">
      <w:pPr>
        <w:jc w:val="both"/>
        <w:rPr>
          <w:rFonts w:ascii="Gadugi" w:eastAsia="Georgia" w:hAnsi="Gadugi" w:cs="Georgia"/>
          <w:sz w:val="24"/>
          <w:szCs w:val="24"/>
        </w:rPr>
      </w:pPr>
    </w:p>
    <w:p w14:paraId="10609225" w14:textId="10040DD9" w:rsidR="006A0160" w:rsidRPr="00985F05" w:rsidRDefault="00E476E9" w:rsidP="00985F05">
      <w:pPr>
        <w:jc w:val="both"/>
        <w:rPr>
          <w:rFonts w:ascii="Gadugi" w:eastAsia="Georgia" w:hAnsi="Gadugi" w:cs="Georgia"/>
          <w:sz w:val="24"/>
          <w:szCs w:val="24"/>
        </w:rPr>
      </w:pPr>
      <w:r w:rsidRPr="00985F05">
        <w:rPr>
          <w:rFonts w:ascii="Gadugi" w:eastAsia="Georgia" w:hAnsi="Gadugi" w:cs="Georgia"/>
          <w:sz w:val="24"/>
          <w:szCs w:val="24"/>
        </w:rPr>
        <w:t>Ni siquiera sirve a este propósito analizar los testimonios escuchados</w:t>
      </w:r>
      <w:r w:rsidR="006A0160" w:rsidRPr="00985F05">
        <w:rPr>
          <w:rFonts w:ascii="Gadugi" w:eastAsia="Georgia" w:hAnsi="Gadugi" w:cs="Georgia"/>
          <w:sz w:val="24"/>
          <w:szCs w:val="24"/>
        </w:rPr>
        <w:t xml:space="preserve">, que nada dicen del hecho exclusivo de un tercero, para este caso, </w:t>
      </w:r>
      <w:r w:rsidR="00781569" w:rsidRPr="00985F05">
        <w:rPr>
          <w:rFonts w:ascii="Gadugi" w:eastAsia="Georgia" w:hAnsi="Gadugi" w:cs="Georgia"/>
          <w:sz w:val="24"/>
          <w:szCs w:val="24"/>
        </w:rPr>
        <w:t>d</w:t>
      </w:r>
      <w:r w:rsidR="006A0160" w:rsidRPr="00985F05">
        <w:rPr>
          <w:rFonts w:ascii="Gadugi" w:eastAsia="Georgia" w:hAnsi="Gadugi" w:cs="Georgia"/>
          <w:sz w:val="24"/>
          <w:szCs w:val="24"/>
        </w:rPr>
        <w:t>el conductor de la motocicleta. Ciertamente, en la audiencia de instrucción y juzgamiento (primera parte), se oyeron las versiones de Erminson Albeiro Arana Ayala</w:t>
      </w:r>
      <w:r w:rsidR="006A0160" w:rsidRPr="00985F05">
        <w:rPr>
          <w:rStyle w:val="Refdenotaalpie"/>
          <w:rFonts w:ascii="Gadugi" w:eastAsia="Georgia" w:hAnsi="Gadugi" w:cs="Georgia"/>
          <w:sz w:val="24"/>
          <w:szCs w:val="24"/>
        </w:rPr>
        <w:footnoteReference w:id="36"/>
      </w:r>
      <w:r w:rsidR="006A0160" w:rsidRPr="00985F05">
        <w:rPr>
          <w:rFonts w:ascii="Gadugi" w:eastAsia="Georgia" w:hAnsi="Gadugi" w:cs="Georgia"/>
          <w:sz w:val="24"/>
          <w:szCs w:val="24"/>
        </w:rPr>
        <w:t xml:space="preserve">, </w:t>
      </w:r>
      <w:r w:rsidR="00160DCC" w:rsidRPr="00985F05">
        <w:rPr>
          <w:rFonts w:ascii="Gadugi" w:eastAsia="Georgia" w:hAnsi="Gadugi" w:cs="Georgia"/>
          <w:sz w:val="24"/>
          <w:szCs w:val="24"/>
        </w:rPr>
        <w:t>quien manejaba la moto,</w:t>
      </w:r>
      <w:r w:rsidR="006A0160" w:rsidRPr="00985F05">
        <w:rPr>
          <w:rFonts w:ascii="Gadugi" w:eastAsia="Georgia" w:hAnsi="Gadugi" w:cs="Georgia"/>
          <w:sz w:val="24"/>
          <w:szCs w:val="24"/>
        </w:rPr>
        <w:t xml:space="preserve"> Fredy Londoño Giraldo</w:t>
      </w:r>
      <w:r w:rsidR="006A0160" w:rsidRPr="00985F05">
        <w:rPr>
          <w:rStyle w:val="Refdenotaalpie"/>
          <w:rFonts w:ascii="Gadugi" w:eastAsia="Georgia" w:hAnsi="Gadugi" w:cs="Georgia"/>
          <w:sz w:val="24"/>
          <w:szCs w:val="24"/>
        </w:rPr>
        <w:footnoteReference w:id="37"/>
      </w:r>
      <w:r w:rsidR="006A0160" w:rsidRPr="00985F05">
        <w:rPr>
          <w:rFonts w:ascii="Gadugi" w:eastAsia="Georgia" w:hAnsi="Gadugi" w:cs="Georgia"/>
          <w:sz w:val="24"/>
          <w:szCs w:val="24"/>
        </w:rPr>
        <w:t xml:space="preserve"> y Andrés Montoya Vélez</w:t>
      </w:r>
      <w:r w:rsidR="006A0160" w:rsidRPr="00985F05">
        <w:rPr>
          <w:rStyle w:val="Refdenotaalpie"/>
          <w:rFonts w:ascii="Gadugi" w:eastAsia="Georgia" w:hAnsi="Gadugi" w:cs="Georgia"/>
          <w:sz w:val="24"/>
          <w:szCs w:val="24"/>
        </w:rPr>
        <w:footnoteReference w:id="38"/>
      </w:r>
      <w:r w:rsidR="00160DCC" w:rsidRPr="00985F05">
        <w:rPr>
          <w:rFonts w:ascii="Gadugi" w:eastAsia="Georgia" w:hAnsi="Gadugi" w:cs="Georgia"/>
          <w:sz w:val="24"/>
          <w:szCs w:val="24"/>
        </w:rPr>
        <w:t xml:space="preserve">. Ninguno de ellos aludió a que Erminson realizara alguna maniobra que pudiera comprometerlo de manera exclusiva en el impacto; más </w:t>
      </w:r>
      <w:r w:rsidR="00160DCC" w:rsidRPr="00985F05">
        <w:rPr>
          <w:rFonts w:ascii="Gadugi" w:eastAsia="Georgia" w:hAnsi="Gadugi" w:cs="Georgia"/>
          <w:sz w:val="24"/>
          <w:szCs w:val="24"/>
        </w:rPr>
        <w:lastRenderedPageBreak/>
        <w:t xml:space="preserve">bien, señalaron que el conductor del taxi tomó intempestivamente el carril izquierdo por donde la moto pretendía rebasarlo. </w:t>
      </w:r>
    </w:p>
    <w:p w14:paraId="0E65F26E" w14:textId="77777777" w:rsidR="00463E4E" w:rsidRPr="00985F05" w:rsidRDefault="00463E4E" w:rsidP="00985F05">
      <w:pPr>
        <w:jc w:val="both"/>
        <w:rPr>
          <w:rFonts w:ascii="Gadugi" w:eastAsia="Georgia" w:hAnsi="Gadugi" w:cs="Georgia"/>
          <w:sz w:val="24"/>
          <w:szCs w:val="24"/>
        </w:rPr>
      </w:pPr>
    </w:p>
    <w:p w14:paraId="763BBC0E" w14:textId="566A5EAB" w:rsidR="00160DCC" w:rsidRPr="00985F05" w:rsidRDefault="00160DCC" w:rsidP="00985F05">
      <w:pPr>
        <w:jc w:val="both"/>
        <w:rPr>
          <w:rFonts w:ascii="Gadugi" w:eastAsia="Georgia" w:hAnsi="Gadugi" w:cs="Georgia"/>
          <w:sz w:val="24"/>
          <w:szCs w:val="24"/>
        </w:rPr>
      </w:pPr>
      <w:r w:rsidRPr="00985F05">
        <w:rPr>
          <w:rFonts w:ascii="Gadugi" w:eastAsia="Georgia" w:hAnsi="Gadugi" w:cs="Georgia"/>
          <w:sz w:val="24"/>
          <w:szCs w:val="24"/>
        </w:rPr>
        <w:t>Así que</w:t>
      </w:r>
      <w:r w:rsidR="007D04A0" w:rsidRPr="00985F05">
        <w:rPr>
          <w:rFonts w:ascii="Gadugi" w:eastAsia="Georgia" w:hAnsi="Gadugi" w:cs="Georgia"/>
          <w:sz w:val="24"/>
          <w:szCs w:val="24"/>
        </w:rPr>
        <w:t>,</w:t>
      </w:r>
      <w:r w:rsidRPr="00985F05">
        <w:rPr>
          <w:rFonts w:ascii="Gadugi" w:eastAsia="Georgia" w:hAnsi="Gadugi" w:cs="Georgia"/>
          <w:sz w:val="24"/>
          <w:szCs w:val="24"/>
        </w:rPr>
        <w:t xml:space="preserve"> señalar que la maniobra de adelantamiento, o la inobservancia de</w:t>
      </w:r>
      <w:r w:rsidR="007D04A0" w:rsidRPr="00985F05">
        <w:rPr>
          <w:rFonts w:ascii="Gadugi" w:eastAsia="Georgia" w:hAnsi="Gadugi" w:cs="Georgia"/>
          <w:sz w:val="24"/>
          <w:szCs w:val="24"/>
        </w:rPr>
        <w:t xml:space="preserve">l conductor de </w:t>
      </w:r>
      <w:r w:rsidRPr="00985F05">
        <w:rPr>
          <w:rFonts w:ascii="Gadugi" w:eastAsia="Georgia" w:hAnsi="Gadugi" w:cs="Georgia"/>
          <w:sz w:val="24"/>
          <w:szCs w:val="24"/>
        </w:rPr>
        <w:t xml:space="preserve">la regulación sobre </w:t>
      </w:r>
      <w:r w:rsidR="007D04A0" w:rsidRPr="00985F05">
        <w:rPr>
          <w:rFonts w:ascii="Gadugi" w:eastAsia="Georgia" w:hAnsi="Gadugi" w:cs="Georgia"/>
          <w:sz w:val="24"/>
          <w:szCs w:val="24"/>
        </w:rPr>
        <w:t xml:space="preserve">la prohibición del </w:t>
      </w:r>
      <w:r w:rsidRPr="00985F05">
        <w:rPr>
          <w:rFonts w:ascii="Gadugi" w:eastAsia="Georgia" w:hAnsi="Gadugi" w:cs="Georgia"/>
          <w:sz w:val="24"/>
          <w:szCs w:val="24"/>
        </w:rPr>
        <w:t xml:space="preserve">parrillero hombre en Pereira para la época del suceso, </w:t>
      </w:r>
      <w:r w:rsidR="00130A6D" w:rsidRPr="00985F05">
        <w:rPr>
          <w:rFonts w:ascii="Gadugi" w:eastAsia="Georgia" w:hAnsi="Gadugi" w:cs="Georgia"/>
          <w:sz w:val="24"/>
          <w:szCs w:val="24"/>
        </w:rPr>
        <w:t xml:space="preserve">influyeron en la colisión, aun cuando ello pudiera ser así, en nada favorece </w:t>
      </w:r>
      <w:r w:rsidR="007D04A0" w:rsidRPr="00985F05">
        <w:rPr>
          <w:rFonts w:ascii="Gadugi" w:eastAsia="Georgia" w:hAnsi="Gadugi" w:cs="Georgia"/>
          <w:sz w:val="24"/>
          <w:szCs w:val="24"/>
        </w:rPr>
        <w:t xml:space="preserve">a </w:t>
      </w:r>
      <w:r w:rsidR="00130A6D" w:rsidRPr="00985F05">
        <w:rPr>
          <w:rFonts w:ascii="Gadugi" w:eastAsia="Georgia" w:hAnsi="Gadugi" w:cs="Georgia"/>
          <w:sz w:val="24"/>
          <w:szCs w:val="24"/>
        </w:rPr>
        <w:t xml:space="preserve">la parte demandada, porque, de aceptarse tal contribución causal, no sería total, que es lo que, se </w:t>
      </w:r>
      <w:r w:rsidR="00463E4E" w:rsidRPr="00985F05">
        <w:rPr>
          <w:rFonts w:ascii="Gadugi" w:eastAsia="Georgia" w:hAnsi="Gadugi" w:cs="Georgia"/>
          <w:sz w:val="24"/>
          <w:szCs w:val="24"/>
        </w:rPr>
        <w:t>reitera</w:t>
      </w:r>
      <w:r w:rsidR="00130A6D" w:rsidRPr="00985F05">
        <w:rPr>
          <w:rFonts w:ascii="Gadugi" w:eastAsia="Georgia" w:hAnsi="Gadugi" w:cs="Georgia"/>
          <w:sz w:val="24"/>
          <w:szCs w:val="24"/>
        </w:rPr>
        <w:t xml:space="preserve">, exige el hecho de un tercero como eximente de responsabilidad. </w:t>
      </w:r>
    </w:p>
    <w:p w14:paraId="4B5A868D" w14:textId="6AE899B3" w:rsidR="00130A6D" w:rsidRPr="00985F05" w:rsidRDefault="00130A6D" w:rsidP="00985F05">
      <w:pPr>
        <w:jc w:val="both"/>
        <w:rPr>
          <w:rFonts w:ascii="Gadugi" w:eastAsia="Georgia" w:hAnsi="Gadugi" w:cs="Georgia"/>
          <w:sz w:val="24"/>
          <w:szCs w:val="24"/>
        </w:rPr>
      </w:pPr>
    </w:p>
    <w:p w14:paraId="785D56FE" w14:textId="6949C450" w:rsidR="00A713F2" w:rsidRPr="00985F05" w:rsidRDefault="00130A6D" w:rsidP="00985F05">
      <w:pPr>
        <w:jc w:val="both"/>
        <w:rPr>
          <w:rFonts w:ascii="Gadugi" w:eastAsia="Georgia" w:hAnsi="Gadugi" w:cs="Georgia"/>
          <w:sz w:val="24"/>
          <w:szCs w:val="24"/>
        </w:rPr>
      </w:pPr>
      <w:r w:rsidRPr="00985F05">
        <w:rPr>
          <w:rFonts w:ascii="Gadugi" w:eastAsia="Georgia" w:hAnsi="Gadugi" w:cs="Georgia"/>
          <w:sz w:val="24"/>
          <w:szCs w:val="24"/>
        </w:rPr>
        <w:t xml:space="preserve">Menos aun se logra ese </w:t>
      </w:r>
      <w:r w:rsidR="00B512A5" w:rsidRPr="00985F05">
        <w:rPr>
          <w:rFonts w:ascii="Gadugi" w:eastAsia="Georgia" w:hAnsi="Gadugi" w:cs="Georgia"/>
          <w:sz w:val="24"/>
          <w:szCs w:val="24"/>
        </w:rPr>
        <w:t>cometido</w:t>
      </w:r>
      <w:r w:rsidRPr="00985F05">
        <w:rPr>
          <w:rFonts w:ascii="Gadugi" w:eastAsia="Georgia" w:hAnsi="Gadugi" w:cs="Georgia"/>
          <w:sz w:val="24"/>
          <w:szCs w:val="24"/>
        </w:rPr>
        <w:t xml:space="preserve"> con el informe del accidente de tránsito</w:t>
      </w:r>
      <w:r w:rsidR="004A66EE" w:rsidRPr="00985F05">
        <w:rPr>
          <w:rStyle w:val="Refdenotaalpie"/>
          <w:rFonts w:ascii="Gadugi" w:eastAsia="Georgia" w:hAnsi="Gadugi" w:cs="Georgia"/>
          <w:sz w:val="24"/>
          <w:szCs w:val="24"/>
        </w:rPr>
        <w:footnoteReference w:id="39"/>
      </w:r>
      <w:r w:rsidRPr="00985F05">
        <w:rPr>
          <w:rFonts w:ascii="Gadugi" w:eastAsia="Georgia" w:hAnsi="Gadugi" w:cs="Georgia"/>
          <w:sz w:val="24"/>
          <w:szCs w:val="24"/>
        </w:rPr>
        <w:t xml:space="preserve">, porque, como </w:t>
      </w:r>
      <w:r w:rsidR="00754B9F" w:rsidRPr="00985F05">
        <w:rPr>
          <w:rFonts w:ascii="Gadugi" w:eastAsia="Georgia" w:hAnsi="Gadugi" w:cs="Georgia"/>
          <w:sz w:val="24"/>
          <w:szCs w:val="24"/>
        </w:rPr>
        <w:t xml:space="preserve">se ha </w:t>
      </w:r>
      <w:r w:rsidR="00463E4E" w:rsidRPr="00985F05">
        <w:rPr>
          <w:rFonts w:ascii="Gadugi" w:eastAsia="Georgia" w:hAnsi="Gadugi" w:cs="Georgia"/>
          <w:sz w:val="24"/>
          <w:szCs w:val="24"/>
        </w:rPr>
        <w:t>sent</w:t>
      </w:r>
      <w:r w:rsidR="000722D7" w:rsidRPr="00985F05">
        <w:rPr>
          <w:rFonts w:ascii="Gadugi" w:eastAsia="Georgia" w:hAnsi="Gadugi" w:cs="Georgia"/>
          <w:sz w:val="24"/>
          <w:szCs w:val="24"/>
        </w:rPr>
        <w:t>a</w:t>
      </w:r>
      <w:r w:rsidR="00463E4E" w:rsidRPr="00985F05">
        <w:rPr>
          <w:rFonts w:ascii="Gadugi" w:eastAsia="Georgia" w:hAnsi="Gadugi" w:cs="Georgia"/>
          <w:sz w:val="24"/>
          <w:szCs w:val="24"/>
        </w:rPr>
        <w:t>do</w:t>
      </w:r>
      <w:r w:rsidR="00754B9F" w:rsidRPr="00985F05">
        <w:rPr>
          <w:rFonts w:ascii="Gadugi" w:eastAsia="Georgia" w:hAnsi="Gadugi" w:cs="Georgia"/>
          <w:sz w:val="24"/>
          <w:szCs w:val="24"/>
        </w:rPr>
        <w:t xml:space="preserve"> en esta sede</w:t>
      </w:r>
      <w:r w:rsidR="00F030E0" w:rsidRPr="00985F05">
        <w:rPr>
          <w:rStyle w:val="Refdenotaalpie"/>
          <w:rFonts w:ascii="Gadugi" w:eastAsia="Georgia" w:hAnsi="Gadugi" w:cs="Georgia"/>
          <w:sz w:val="24"/>
          <w:szCs w:val="24"/>
        </w:rPr>
        <w:footnoteReference w:id="40"/>
      </w:r>
      <w:r w:rsidR="0050315D" w:rsidRPr="00985F05">
        <w:rPr>
          <w:rFonts w:ascii="Gadugi" w:eastAsia="Georgia" w:hAnsi="Gadugi" w:cs="Georgia"/>
          <w:sz w:val="24"/>
          <w:szCs w:val="24"/>
        </w:rPr>
        <w:t xml:space="preserve">, el mismo </w:t>
      </w:r>
      <w:r w:rsidR="00F030E0" w:rsidRPr="00985F05">
        <w:rPr>
          <w:rFonts w:ascii="Gadugi" w:eastAsia="Georgia" w:hAnsi="Gadugi" w:cs="Georgia"/>
          <w:sz w:val="24"/>
          <w:szCs w:val="24"/>
        </w:rPr>
        <w:t xml:space="preserve">se elabora con posterioridad a la ocurrencia de los hechos y, por regla general, por una autoridad que no estuvo presente, con lo cual debe valerse de la información que recibe. Su diligenciamiento, según se </w:t>
      </w:r>
      <w:r w:rsidR="00A713F2" w:rsidRPr="00985F05">
        <w:rPr>
          <w:rFonts w:ascii="Gadugi" w:eastAsia="Georgia" w:hAnsi="Gadugi" w:cs="Georgia"/>
          <w:sz w:val="24"/>
          <w:szCs w:val="24"/>
        </w:rPr>
        <w:t>recordó esta Sala</w:t>
      </w:r>
      <w:r w:rsidR="003C1180" w:rsidRPr="00985F05">
        <w:rPr>
          <w:rStyle w:val="Refdenotaalpie"/>
          <w:rFonts w:ascii="Gadugi" w:eastAsia="Georgia" w:hAnsi="Gadugi" w:cs="Georgia"/>
          <w:sz w:val="24"/>
          <w:szCs w:val="24"/>
        </w:rPr>
        <w:footnoteReference w:id="41"/>
      </w:r>
      <w:r w:rsidR="00BB400F" w:rsidRPr="00985F05">
        <w:rPr>
          <w:rFonts w:ascii="Gadugi" w:eastAsia="Georgia" w:hAnsi="Gadugi" w:cs="Georgia"/>
          <w:sz w:val="24"/>
          <w:szCs w:val="24"/>
        </w:rPr>
        <w:t>:</w:t>
      </w:r>
    </w:p>
    <w:p w14:paraId="55F60EB7" w14:textId="77777777" w:rsidR="00A713F2" w:rsidRPr="00985F05" w:rsidRDefault="00A713F2" w:rsidP="00985F05">
      <w:pPr>
        <w:jc w:val="both"/>
        <w:rPr>
          <w:rFonts w:ascii="Gadugi" w:hAnsi="Gadugi"/>
          <w:sz w:val="24"/>
          <w:szCs w:val="24"/>
        </w:rPr>
      </w:pPr>
    </w:p>
    <w:p w14:paraId="7ABD4393" w14:textId="7614EC87" w:rsidR="009B4368" w:rsidRPr="004E1F81" w:rsidRDefault="00A713F2" w:rsidP="004E1F81">
      <w:pPr>
        <w:spacing w:line="240" w:lineRule="auto"/>
        <w:ind w:left="426" w:right="420"/>
        <w:jc w:val="both"/>
        <w:rPr>
          <w:rFonts w:ascii="Gadugi" w:hAnsi="Gadugi"/>
          <w:szCs w:val="24"/>
        </w:rPr>
      </w:pPr>
      <w:r w:rsidRPr="004E1F81">
        <w:rPr>
          <w:rFonts w:ascii="Gadugi" w:hAnsi="Gadugi"/>
          <w:szCs w:val="24"/>
        </w:rPr>
        <w:t>…</w:t>
      </w:r>
      <w:r w:rsidR="009B4368" w:rsidRPr="004E1F81">
        <w:rPr>
          <w:rFonts w:ascii="Gadugi" w:hAnsi="Gadugi"/>
          <w:szCs w:val="24"/>
        </w:rPr>
        <w:t xml:space="preserve">se regula por la Resolución 0011268 de diciembre 6 de 2012 del Ministerio de Transporte, que adopta el manual para ello. Según este manual (página 49, capítulo V), la autoridad debe determinar al menos una hipótesis, cuyo propósito es “generar estadísticas que lleven a determinar cuál es el factor repetitivo que más incide en los accidentes, tramos o puntos de mayor accidentalidad, entre otros”. Se señala que la hipótesis señalada </w:t>
      </w:r>
      <w:r w:rsidRPr="004E1F81">
        <w:rPr>
          <w:rFonts w:ascii="Gadugi" w:hAnsi="Gadugi"/>
          <w:szCs w:val="24"/>
        </w:rPr>
        <w:t xml:space="preserve">(sic) </w:t>
      </w:r>
      <w:r w:rsidR="009B4368" w:rsidRPr="004E1F81">
        <w:rPr>
          <w:rFonts w:ascii="Gadugi" w:hAnsi="Gadugi"/>
          <w:szCs w:val="24"/>
        </w:rPr>
        <w:t>no implica responsabilidades para los conductores, sino que expresan las acciones generadoras o intervinientes en la evolución física de un accidente, debidamente fundamentadas mediante la objetividad y el análisis técnico científico de los elementos materiales de prueba y evidencia física encontrada en el lugar de los hechos.</w:t>
      </w:r>
    </w:p>
    <w:p w14:paraId="57235797" w14:textId="77777777" w:rsidR="00463E4E" w:rsidRPr="00985F05" w:rsidRDefault="00463E4E" w:rsidP="00985F05">
      <w:pPr>
        <w:ind w:left="567" w:right="567"/>
        <w:jc w:val="both"/>
        <w:rPr>
          <w:rFonts w:ascii="Gadugi" w:hAnsi="Gadugi"/>
          <w:sz w:val="24"/>
          <w:szCs w:val="24"/>
        </w:rPr>
      </w:pPr>
    </w:p>
    <w:p w14:paraId="14C791BA" w14:textId="77777777" w:rsidR="00F4743B" w:rsidRPr="00985F05" w:rsidRDefault="004B7506" w:rsidP="00985F05">
      <w:pPr>
        <w:jc w:val="both"/>
        <w:rPr>
          <w:rFonts w:ascii="Gadugi" w:eastAsia="Georgia" w:hAnsi="Gadugi" w:cs="Georgia"/>
          <w:sz w:val="24"/>
          <w:szCs w:val="24"/>
        </w:rPr>
      </w:pPr>
      <w:r w:rsidRPr="00985F05">
        <w:rPr>
          <w:rFonts w:ascii="Gadugi" w:eastAsia="Georgia" w:hAnsi="Gadugi" w:cs="Georgia"/>
          <w:sz w:val="24"/>
          <w:szCs w:val="24"/>
        </w:rPr>
        <w:t xml:space="preserve">Y en el caso de ahora, poco grado de objetividad puede tener un informe que, además de que se rinde por quien fue ajeno al suceso, </w:t>
      </w:r>
      <w:r w:rsidR="00F4743B" w:rsidRPr="00985F05">
        <w:rPr>
          <w:rFonts w:ascii="Gadugi" w:eastAsia="Georgia" w:hAnsi="Gadugi" w:cs="Georgia"/>
          <w:sz w:val="24"/>
          <w:szCs w:val="24"/>
        </w:rPr>
        <w:t xml:space="preserve">como es normal, tampoco hubo esmero para dejar plasmadas las razones por las cuales se concluye con la hipótesis de la falta de distancia por parte del vehículo 2, ni se valora para ello el hecho evidente, plasmado allí, de que el vehículo 1 fue movido después del accidente, lo que indica que el croquis no corresponde a la realidad de lo acontecido. </w:t>
      </w:r>
    </w:p>
    <w:p w14:paraId="5547936D" w14:textId="77777777" w:rsidR="00F4743B" w:rsidRPr="00985F05" w:rsidRDefault="00F4743B" w:rsidP="00985F05">
      <w:pPr>
        <w:jc w:val="both"/>
        <w:rPr>
          <w:rFonts w:ascii="Gadugi" w:eastAsia="Georgia" w:hAnsi="Gadugi" w:cs="Georgia"/>
          <w:sz w:val="24"/>
          <w:szCs w:val="24"/>
        </w:rPr>
      </w:pPr>
    </w:p>
    <w:p w14:paraId="6EF88DEA" w14:textId="7899F084" w:rsidR="00830E61" w:rsidRPr="00985F05" w:rsidRDefault="00F4743B" w:rsidP="00985F05">
      <w:pPr>
        <w:jc w:val="both"/>
        <w:rPr>
          <w:rFonts w:ascii="Gadugi" w:eastAsia="Malgun Gothic" w:hAnsi="Gadugi" w:cs="Estrangelo Edessa"/>
          <w:sz w:val="24"/>
          <w:szCs w:val="24"/>
        </w:rPr>
      </w:pPr>
      <w:r w:rsidRPr="00985F05">
        <w:rPr>
          <w:rFonts w:ascii="Gadugi" w:eastAsia="Georgia" w:hAnsi="Gadugi" w:cs="Georgia"/>
          <w:sz w:val="24"/>
          <w:szCs w:val="24"/>
        </w:rPr>
        <w:t xml:space="preserve">De manera que ninguna de estas réplicas puede salir avante, pues todas convergen en el hecho de un tercero como eximente de responsabilidad, que no se acreditó. </w:t>
      </w:r>
    </w:p>
    <w:p w14:paraId="32BC82C0" w14:textId="77777777" w:rsidR="0013583D" w:rsidRPr="00985F05" w:rsidRDefault="0013583D" w:rsidP="00985F05">
      <w:pPr>
        <w:jc w:val="both"/>
        <w:rPr>
          <w:rFonts w:ascii="Gadugi" w:eastAsia="Georgia" w:hAnsi="Gadugi" w:cs="Georgia"/>
          <w:bCs/>
          <w:sz w:val="24"/>
          <w:szCs w:val="24"/>
          <w:lang w:val="es-CO"/>
        </w:rPr>
      </w:pPr>
    </w:p>
    <w:p w14:paraId="0D526988" w14:textId="4AEE1A5B" w:rsidR="00286D8F" w:rsidRPr="00985F05" w:rsidRDefault="00F4743B" w:rsidP="00985F05">
      <w:pPr>
        <w:jc w:val="both"/>
        <w:rPr>
          <w:rFonts w:ascii="Gadugi" w:eastAsia="Georgia" w:hAnsi="Gadugi" w:cs="Georgia"/>
          <w:sz w:val="24"/>
          <w:szCs w:val="24"/>
        </w:rPr>
      </w:pPr>
      <w:r w:rsidRPr="00985F05">
        <w:rPr>
          <w:rFonts w:ascii="Gadugi" w:eastAsia="Georgia" w:hAnsi="Gadugi" w:cs="Georgia"/>
          <w:sz w:val="24"/>
          <w:szCs w:val="24"/>
        </w:rPr>
        <w:t xml:space="preserve">2.12. Discuten también los recurrentes en sus embates (i) de la curadora, (iv) </w:t>
      </w:r>
      <w:r w:rsidR="004836C3" w:rsidRPr="00985F05">
        <w:rPr>
          <w:rFonts w:ascii="Gadugi" w:eastAsia="Georgia" w:hAnsi="Gadugi" w:cs="Georgia"/>
          <w:sz w:val="24"/>
          <w:szCs w:val="24"/>
        </w:rPr>
        <w:t xml:space="preserve">y (v) </w:t>
      </w:r>
      <w:r w:rsidRPr="00985F05">
        <w:rPr>
          <w:rFonts w:ascii="Gadugi" w:eastAsia="Georgia" w:hAnsi="Gadugi" w:cs="Georgia"/>
          <w:sz w:val="24"/>
          <w:szCs w:val="24"/>
        </w:rPr>
        <w:t>de la Aseguradora y (</w:t>
      </w:r>
      <w:r w:rsidR="00EC0A24" w:rsidRPr="00985F05">
        <w:rPr>
          <w:rFonts w:ascii="Gadugi" w:eastAsia="Georgia" w:hAnsi="Gadugi" w:cs="Georgia"/>
          <w:sz w:val="24"/>
          <w:szCs w:val="24"/>
        </w:rPr>
        <w:t xml:space="preserve">ii) de la empresa, que hubo un hecho exclusivo de la víctima o que, cuando menos, concurrió con su conducta a la producción del hecho, porque el Decreto 480 de 2008 prohibía en Pereira, para la época del accidente, llevar parrillero hombre en una moto. Y agrega la auxiliar, que el acompañante permitió que el conductor de la </w:t>
      </w:r>
      <w:r w:rsidR="00EC0A24" w:rsidRPr="00985F05">
        <w:rPr>
          <w:rFonts w:ascii="Gadugi" w:eastAsia="Georgia" w:hAnsi="Gadugi" w:cs="Georgia"/>
          <w:sz w:val="24"/>
          <w:szCs w:val="24"/>
        </w:rPr>
        <w:lastRenderedPageBreak/>
        <w:t xml:space="preserve">moto se disputara la vía con el taxi, sin contar con que llevaba un paquete en la mano que le impedía sujetarse. </w:t>
      </w:r>
    </w:p>
    <w:p w14:paraId="02F38AED" w14:textId="77777777" w:rsidR="00B512A5" w:rsidRPr="00985F05" w:rsidRDefault="00B512A5" w:rsidP="00985F05">
      <w:pPr>
        <w:jc w:val="both"/>
        <w:rPr>
          <w:rFonts w:ascii="Gadugi" w:eastAsia="Georgia" w:hAnsi="Gadugi" w:cs="Georgia"/>
          <w:sz w:val="24"/>
          <w:szCs w:val="24"/>
        </w:rPr>
      </w:pPr>
    </w:p>
    <w:p w14:paraId="13B4E310" w14:textId="4DFD214E" w:rsidR="00EC0A24" w:rsidRPr="00985F05" w:rsidRDefault="00EC0A24" w:rsidP="00985F05">
      <w:pPr>
        <w:jc w:val="both"/>
        <w:rPr>
          <w:rFonts w:ascii="Gadugi" w:eastAsia="Georgia" w:hAnsi="Gadugi" w:cs="Georgia"/>
          <w:sz w:val="24"/>
          <w:szCs w:val="24"/>
        </w:rPr>
      </w:pPr>
      <w:r w:rsidRPr="00985F05">
        <w:rPr>
          <w:rFonts w:ascii="Gadugi" w:eastAsia="Georgia" w:hAnsi="Gadugi" w:cs="Georgia"/>
          <w:sz w:val="24"/>
          <w:szCs w:val="24"/>
        </w:rPr>
        <w:t xml:space="preserve">Tampoco pueden prosperar. </w:t>
      </w:r>
    </w:p>
    <w:p w14:paraId="45F2D90C" w14:textId="107D7F2C" w:rsidR="00A14CE8" w:rsidRPr="00985F05" w:rsidRDefault="00A14CE8" w:rsidP="00985F05">
      <w:pPr>
        <w:jc w:val="both"/>
        <w:rPr>
          <w:rFonts w:ascii="Gadugi" w:eastAsia="Georgia" w:hAnsi="Gadugi" w:cs="Georgia"/>
          <w:sz w:val="24"/>
          <w:szCs w:val="24"/>
        </w:rPr>
      </w:pPr>
    </w:p>
    <w:p w14:paraId="39847E58" w14:textId="569A95E1" w:rsidR="00A14CE8" w:rsidRPr="00985F05" w:rsidRDefault="00A14CE8" w:rsidP="00985F05">
      <w:pPr>
        <w:jc w:val="both"/>
        <w:rPr>
          <w:rFonts w:ascii="Gadugi" w:eastAsia="Georgia" w:hAnsi="Gadugi" w:cs="Georgia"/>
          <w:sz w:val="24"/>
          <w:szCs w:val="24"/>
        </w:rPr>
      </w:pPr>
      <w:r w:rsidRPr="00985F05">
        <w:rPr>
          <w:rFonts w:ascii="Gadugi" w:eastAsia="Georgia" w:hAnsi="Gadugi" w:cs="Georgia"/>
          <w:sz w:val="24"/>
          <w:szCs w:val="24"/>
        </w:rPr>
        <w:t xml:space="preserve">En la parte preliminar quedó dicho que cuando se reclama por unas lesiones causadas por quien realiza una actividad peligrosa, la culpa se presume y una de las formas de exonerarse de la responsabilidad es acreditando </w:t>
      </w:r>
      <w:r w:rsidR="00623289" w:rsidRPr="00985F05">
        <w:rPr>
          <w:rFonts w:ascii="Gadugi" w:eastAsia="Georgia" w:hAnsi="Gadugi" w:cs="Georgia"/>
          <w:sz w:val="24"/>
          <w:szCs w:val="24"/>
        </w:rPr>
        <w:t>que,</w:t>
      </w:r>
      <w:r w:rsidRPr="00985F05">
        <w:rPr>
          <w:rFonts w:ascii="Gadugi" w:eastAsia="Georgia" w:hAnsi="Gadugi" w:cs="Georgia"/>
          <w:sz w:val="24"/>
          <w:szCs w:val="24"/>
        </w:rPr>
        <w:t xml:space="preserve"> a pesar de ese ejercicio, fue la víctima la que realizó un acto reprobable, de tal magnitud que su injerencia fue total y, por tanto, única en el resultado final; o, al menos, que concurrió con su comportamiento irregular al mismo. </w:t>
      </w:r>
    </w:p>
    <w:p w14:paraId="3686FDD8" w14:textId="73C51551" w:rsidR="00A14CE8" w:rsidRPr="00985F05" w:rsidRDefault="00A14CE8" w:rsidP="00985F05">
      <w:pPr>
        <w:jc w:val="both"/>
        <w:rPr>
          <w:rFonts w:ascii="Gadugi" w:eastAsia="Georgia" w:hAnsi="Gadugi" w:cs="Georgia"/>
          <w:sz w:val="24"/>
          <w:szCs w:val="24"/>
        </w:rPr>
      </w:pPr>
    </w:p>
    <w:p w14:paraId="6ACFBA10" w14:textId="26E1D1E5" w:rsidR="00A14CE8" w:rsidRPr="00985F05" w:rsidRDefault="00A14CE8" w:rsidP="00985F05">
      <w:pPr>
        <w:jc w:val="both"/>
        <w:rPr>
          <w:rFonts w:ascii="Gadugi" w:eastAsia="Georgia" w:hAnsi="Gadugi" w:cs="Georgia"/>
          <w:sz w:val="24"/>
          <w:szCs w:val="24"/>
        </w:rPr>
      </w:pPr>
      <w:r w:rsidRPr="00985F05">
        <w:rPr>
          <w:rFonts w:ascii="Gadugi" w:eastAsia="Georgia" w:hAnsi="Gadugi" w:cs="Georgia"/>
          <w:sz w:val="24"/>
          <w:szCs w:val="24"/>
        </w:rPr>
        <w:t xml:space="preserve">En este caso, ya se explicó, el pasajero no desarrolla una actividad peligrosa, sino que está a merced del conductor y, a decir verdad, ninguna prueba existe acerca de que las maniobras realizadas por Erminson en su moto, </w:t>
      </w:r>
      <w:r w:rsidR="00F62E05" w:rsidRPr="00985F05">
        <w:rPr>
          <w:rFonts w:ascii="Gadugi" w:eastAsia="Georgia" w:hAnsi="Gadugi" w:cs="Georgia"/>
          <w:sz w:val="24"/>
          <w:szCs w:val="24"/>
        </w:rPr>
        <w:t xml:space="preserve">de haber sido irregulares, </w:t>
      </w:r>
      <w:r w:rsidRPr="00985F05">
        <w:rPr>
          <w:rFonts w:ascii="Gadugi" w:eastAsia="Georgia" w:hAnsi="Gadugi" w:cs="Georgia"/>
          <w:sz w:val="24"/>
          <w:szCs w:val="24"/>
        </w:rPr>
        <w:t xml:space="preserve">hubieran sido propiciadas o auspiciadas por </w:t>
      </w:r>
      <w:r w:rsidR="00F62E05" w:rsidRPr="00985F05">
        <w:rPr>
          <w:rFonts w:ascii="Gadugi" w:eastAsia="Georgia" w:hAnsi="Gadugi" w:cs="Georgia"/>
          <w:sz w:val="24"/>
          <w:szCs w:val="24"/>
        </w:rPr>
        <w:t>Alejandro</w:t>
      </w:r>
      <w:r w:rsidR="00F92D4B" w:rsidRPr="00985F05">
        <w:rPr>
          <w:rFonts w:ascii="Gadugi" w:eastAsia="Georgia" w:hAnsi="Gadugi" w:cs="Georgia"/>
          <w:sz w:val="24"/>
          <w:szCs w:val="24"/>
        </w:rPr>
        <w:t>,</w:t>
      </w:r>
      <w:r w:rsidR="00F62E05" w:rsidRPr="00985F05">
        <w:rPr>
          <w:rFonts w:ascii="Gadugi" w:eastAsia="Georgia" w:hAnsi="Gadugi" w:cs="Georgia"/>
          <w:sz w:val="24"/>
          <w:szCs w:val="24"/>
        </w:rPr>
        <w:t xml:space="preserve"> por un lado. Y por el otro, el hecho de ir como parrillero, aun en contra de la prohibición que existía, no se erige en una causa determinante, ni total, ni parcialmente, del accidente. Podrá tener implicaciones de orden administrativo, por el desconocimiento de la regla, pero no es viable sostener que fuera ese el origen del acontecimiento. Lo fue, como analizó el juzgado, el descuidado proceder del conductor del taxi, y si es que también hubo algún desliz de quien iba al volante en la moto, en ello tampoco incidió el hecho de que llevara o no un parrillero. Y ya está dicho </w:t>
      </w:r>
      <w:r w:rsidR="00623289" w:rsidRPr="00985F05">
        <w:rPr>
          <w:rFonts w:ascii="Gadugi" w:eastAsia="Georgia" w:hAnsi="Gadugi" w:cs="Georgia"/>
          <w:sz w:val="24"/>
          <w:szCs w:val="24"/>
        </w:rPr>
        <w:t>que,</w:t>
      </w:r>
      <w:r w:rsidR="00F62E05" w:rsidRPr="00985F05">
        <w:rPr>
          <w:rFonts w:ascii="Gadugi" w:eastAsia="Georgia" w:hAnsi="Gadugi" w:cs="Georgia"/>
          <w:sz w:val="24"/>
          <w:szCs w:val="24"/>
        </w:rPr>
        <w:t xml:space="preserve"> si este hubiera contribuido causalmente al daño, la víctima puede reclamar de cualquiera de los causante</w:t>
      </w:r>
      <w:r w:rsidR="00623289" w:rsidRPr="00985F05">
        <w:rPr>
          <w:rFonts w:ascii="Gadugi" w:eastAsia="Georgia" w:hAnsi="Gadugi" w:cs="Georgia"/>
          <w:sz w:val="24"/>
          <w:szCs w:val="24"/>
        </w:rPr>
        <w:t>s</w:t>
      </w:r>
      <w:r w:rsidR="00F62E05" w:rsidRPr="00985F05">
        <w:rPr>
          <w:rFonts w:ascii="Gadugi" w:eastAsia="Georgia" w:hAnsi="Gadugi" w:cs="Georgia"/>
          <w:sz w:val="24"/>
          <w:szCs w:val="24"/>
        </w:rPr>
        <w:t xml:space="preserve"> el resarcimiento. </w:t>
      </w:r>
    </w:p>
    <w:p w14:paraId="1E1FAC08" w14:textId="40177B55" w:rsidR="00F62E05" w:rsidRPr="00985F05" w:rsidRDefault="00F62E05" w:rsidP="00985F05">
      <w:pPr>
        <w:jc w:val="both"/>
        <w:rPr>
          <w:rFonts w:ascii="Gadugi" w:eastAsia="Georgia" w:hAnsi="Gadugi" w:cs="Georgia"/>
          <w:sz w:val="24"/>
          <w:szCs w:val="24"/>
        </w:rPr>
      </w:pPr>
    </w:p>
    <w:p w14:paraId="1C5EC20F" w14:textId="77777777" w:rsidR="00732912" w:rsidRPr="00985F05" w:rsidRDefault="00F62E05" w:rsidP="00985F05">
      <w:pPr>
        <w:jc w:val="both"/>
        <w:rPr>
          <w:rFonts w:ascii="Gadugi" w:eastAsia="Georgia" w:hAnsi="Gadugi" w:cs="Georgia"/>
          <w:sz w:val="24"/>
          <w:szCs w:val="24"/>
        </w:rPr>
      </w:pPr>
      <w:r w:rsidRPr="00985F05">
        <w:rPr>
          <w:rFonts w:ascii="Gadugi" w:eastAsia="Georgia" w:hAnsi="Gadugi" w:cs="Georgia"/>
          <w:sz w:val="24"/>
          <w:szCs w:val="24"/>
        </w:rPr>
        <w:t xml:space="preserve">Tampoco puede colegirse que el llevar un paquete en la mano </w:t>
      </w:r>
      <w:r w:rsidR="004836C3" w:rsidRPr="00985F05">
        <w:rPr>
          <w:rFonts w:ascii="Gadugi" w:eastAsia="Georgia" w:hAnsi="Gadugi" w:cs="Georgia"/>
          <w:sz w:val="24"/>
          <w:szCs w:val="24"/>
        </w:rPr>
        <w:t>causara el siniestro. Este vino como consecuencia del maniobrar de los automotores, no del porte de ese elemento en la mano.</w:t>
      </w:r>
    </w:p>
    <w:p w14:paraId="5FE35035" w14:textId="49B769B3" w:rsidR="00F62E05" w:rsidRPr="00985F05" w:rsidRDefault="004836C3" w:rsidP="00985F05">
      <w:pPr>
        <w:jc w:val="both"/>
        <w:rPr>
          <w:rFonts w:ascii="Gadugi" w:eastAsia="Georgia" w:hAnsi="Gadugi" w:cs="Georgia"/>
          <w:sz w:val="24"/>
          <w:szCs w:val="24"/>
        </w:rPr>
      </w:pPr>
      <w:r w:rsidRPr="00985F05">
        <w:rPr>
          <w:rFonts w:ascii="Gadugi" w:eastAsia="Georgia" w:hAnsi="Gadugi" w:cs="Georgia"/>
          <w:sz w:val="24"/>
          <w:szCs w:val="24"/>
        </w:rPr>
        <w:t xml:space="preserve"> </w:t>
      </w:r>
    </w:p>
    <w:p w14:paraId="0EDC4D89" w14:textId="38C45CD7" w:rsidR="004836C3" w:rsidRPr="00985F05" w:rsidRDefault="004836C3" w:rsidP="00985F05">
      <w:pPr>
        <w:jc w:val="both"/>
        <w:rPr>
          <w:rFonts w:ascii="Gadugi" w:eastAsia="Georgia" w:hAnsi="Gadugi" w:cs="Georgia"/>
          <w:sz w:val="24"/>
          <w:szCs w:val="24"/>
        </w:rPr>
      </w:pPr>
      <w:r w:rsidRPr="00985F05">
        <w:rPr>
          <w:rFonts w:ascii="Gadugi" w:eastAsia="Georgia" w:hAnsi="Gadugi" w:cs="Georgia"/>
          <w:sz w:val="24"/>
          <w:szCs w:val="24"/>
        </w:rPr>
        <w:t xml:space="preserve">Se reduce todo, entonces, a que no se logró probar, y esa era carga de los demandados, que la víctima directa hubiera incidido causalmente en el resultado final de manera determinante, total o parcialmente; el simple desconocimiento de reglas de tránsito es insuficiente para colegirlo de esa manera. De ahí el fracaso de estos reparos. </w:t>
      </w:r>
    </w:p>
    <w:p w14:paraId="602A721B" w14:textId="57685305" w:rsidR="004836C3" w:rsidRPr="00985F05" w:rsidRDefault="004836C3" w:rsidP="00985F05">
      <w:pPr>
        <w:jc w:val="both"/>
        <w:rPr>
          <w:rFonts w:ascii="Gadugi" w:eastAsia="Georgia" w:hAnsi="Gadugi" w:cs="Georgia"/>
          <w:sz w:val="24"/>
          <w:szCs w:val="24"/>
        </w:rPr>
      </w:pPr>
    </w:p>
    <w:p w14:paraId="01A0C683" w14:textId="5588F228" w:rsidR="004D6CE4" w:rsidRPr="00985F05" w:rsidRDefault="004836C3" w:rsidP="00985F05">
      <w:pPr>
        <w:jc w:val="both"/>
        <w:rPr>
          <w:rFonts w:ascii="Gadugi" w:eastAsia="Georgia" w:hAnsi="Gadugi" w:cs="Georgia"/>
          <w:sz w:val="24"/>
          <w:szCs w:val="24"/>
        </w:rPr>
      </w:pPr>
      <w:r w:rsidRPr="00985F05">
        <w:rPr>
          <w:rFonts w:ascii="Gadugi" w:eastAsia="Georgia" w:hAnsi="Gadugi" w:cs="Georgia"/>
          <w:sz w:val="24"/>
          <w:szCs w:val="24"/>
        </w:rPr>
        <w:t xml:space="preserve">2.13. Del lado de los demandados, y para responder a todos los </w:t>
      </w:r>
      <w:r w:rsidR="00732912" w:rsidRPr="00985F05">
        <w:rPr>
          <w:rFonts w:ascii="Gadugi" w:eastAsia="Georgia" w:hAnsi="Gadugi" w:cs="Georgia"/>
          <w:sz w:val="24"/>
          <w:szCs w:val="24"/>
        </w:rPr>
        <w:t>embates</w:t>
      </w:r>
      <w:r w:rsidRPr="00985F05">
        <w:rPr>
          <w:rFonts w:ascii="Gadugi" w:eastAsia="Georgia" w:hAnsi="Gadugi" w:cs="Georgia"/>
          <w:sz w:val="24"/>
          <w:szCs w:val="24"/>
        </w:rPr>
        <w:t xml:space="preserve">, solo queda por decir del (v) de la curadora y el (ii) de la aseguradora, que tampoco tienen visos de prosperidad. </w:t>
      </w:r>
    </w:p>
    <w:p w14:paraId="3937E0C5" w14:textId="2FB6B18C" w:rsidR="00EC0A24" w:rsidRPr="00985F05" w:rsidRDefault="00EC0A24" w:rsidP="00985F05">
      <w:pPr>
        <w:jc w:val="both"/>
        <w:rPr>
          <w:rFonts w:ascii="Gadugi" w:eastAsia="Georgia" w:hAnsi="Gadugi" w:cs="Georgia"/>
          <w:sz w:val="24"/>
          <w:szCs w:val="24"/>
        </w:rPr>
      </w:pPr>
    </w:p>
    <w:p w14:paraId="0EC60262" w14:textId="04AF68C5" w:rsidR="00EC0A24" w:rsidRPr="00985F05" w:rsidRDefault="004836C3" w:rsidP="00985F05">
      <w:pPr>
        <w:jc w:val="both"/>
        <w:rPr>
          <w:rFonts w:ascii="Gadugi" w:eastAsia="Georgia" w:hAnsi="Gadugi" w:cs="Georgia"/>
          <w:sz w:val="24"/>
          <w:szCs w:val="24"/>
        </w:rPr>
      </w:pPr>
      <w:r w:rsidRPr="00985F05">
        <w:rPr>
          <w:rFonts w:ascii="Gadugi" w:eastAsia="Georgia" w:hAnsi="Gadugi" w:cs="Georgia"/>
          <w:sz w:val="24"/>
          <w:szCs w:val="24"/>
        </w:rPr>
        <w:t xml:space="preserve">En cuanto al dictamen, quedó dicho que incumple las reglas del artículo 226, por lo que ningún valor puede dársele. En tal medida, es cierto que no permite establecer la responsabilidad del conductor del taxi. </w:t>
      </w:r>
      <w:r w:rsidR="00BA7C8C" w:rsidRPr="00985F05">
        <w:rPr>
          <w:rFonts w:ascii="Gadugi" w:eastAsia="Georgia" w:hAnsi="Gadugi" w:cs="Georgia"/>
          <w:sz w:val="24"/>
          <w:szCs w:val="24"/>
        </w:rPr>
        <w:t xml:space="preserve">Pero de ahí no se sigue la ausencia de la misma, como se analizó. </w:t>
      </w:r>
    </w:p>
    <w:p w14:paraId="2AC661C7" w14:textId="17A1CDA3" w:rsidR="004836C3" w:rsidRPr="00985F05" w:rsidRDefault="004836C3" w:rsidP="00985F05">
      <w:pPr>
        <w:jc w:val="both"/>
        <w:rPr>
          <w:rFonts w:ascii="Gadugi" w:eastAsia="Georgia" w:hAnsi="Gadugi" w:cs="Georgia"/>
          <w:sz w:val="24"/>
          <w:szCs w:val="24"/>
        </w:rPr>
      </w:pPr>
    </w:p>
    <w:p w14:paraId="355A9E7D" w14:textId="4A37A2D8" w:rsidR="004836C3" w:rsidRPr="00985F05" w:rsidRDefault="004836C3" w:rsidP="00985F05">
      <w:pPr>
        <w:jc w:val="both"/>
        <w:rPr>
          <w:rFonts w:ascii="Gadugi" w:eastAsia="Georgia" w:hAnsi="Gadugi" w:cs="Georgia"/>
          <w:sz w:val="24"/>
          <w:szCs w:val="24"/>
        </w:rPr>
      </w:pPr>
      <w:r w:rsidRPr="00985F05">
        <w:rPr>
          <w:rFonts w:ascii="Gadugi" w:eastAsia="Georgia" w:hAnsi="Gadugi" w:cs="Georgia"/>
          <w:sz w:val="24"/>
          <w:szCs w:val="24"/>
        </w:rPr>
        <w:lastRenderedPageBreak/>
        <w:t xml:space="preserve">Y en cuanto a la valoración de los testimonios, la verdad es que, en las condiciones en que queda el asunto, dado que hubo colisión entre dos vehículos y, producto de la misma se causaron lesiones a la víctima directa, la presunción de culpa </w:t>
      </w:r>
      <w:r w:rsidR="005209EB" w:rsidRPr="00985F05">
        <w:rPr>
          <w:rFonts w:ascii="Gadugi" w:eastAsia="Georgia" w:hAnsi="Gadugi" w:cs="Georgia"/>
          <w:sz w:val="24"/>
          <w:szCs w:val="24"/>
        </w:rPr>
        <w:t xml:space="preserve">se mantiene, por provenir el hecho del despliegue de una actividad peligrosa, de la que solo se libera el demandado que prueba un hecho exclusivo de un tercero, ya descartado; un hecho de la víctima, total o parcial, también desechado, o una fuerza mayor o un caso fortuito que aquí no se han discutido. </w:t>
      </w:r>
    </w:p>
    <w:p w14:paraId="59BEEAA2" w14:textId="536F22B7" w:rsidR="005209EB" w:rsidRPr="00985F05" w:rsidRDefault="005209EB" w:rsidP="00985F05">
      <w:pPr>
        <w:jc w:val="both"/>
        <w:rPr>
          <w:rFonts w:ascii="Gadugi" w:eastAsia="Georgia" w:hAnsi="Gadugi" w:cs="Georgia"/>
          <w:sz w:val="24"/>
          <w:szCs w:val="24"/>
        </w:rPr>
      </w:pPr>
    </w:p>
    <w:p w14:paraId="6993B60C" w14:textId="0B54A159" w:rsidR="005209EB" w:rsidRPr="00985F05" w:rsidRDefault="005209EB" w:rsidP="00985F05">
      <w:pPr>
        <w:jc w:val="both"/>
        <w:rPr>
          <w:rFonts w:ascii="Gadugi" w:eastAsia="Georgia" w:hAnsi="Gadugi" w:cs="Georgia"/>
          <w:sz w:val="24"/>
          <w:szCs w:val="24"/>
        </w:rPr>
      </w:pPr>
      <w:r w:rsidRPr="00985F05">
        <w:rPr>
          <w:rFonts w:ascii="Gadugi" w:eastAsia="Georgia" w:hAnsi="Gadugi" w:cs="Georgia"/>
          <w:sz w:val="24"/>
          <w:szCs w:val="24"/>
        </w:rPr>
        <w:t xml:space="preserve">Inane, entonces, profundizar en el dicho de los testigos. </w:t>
      </w:r>
    </w:p>
    <w:p w14:paraId="31EAF609" w14:textId="77777777" w:rsidR="00F4743B" w:rsidRPr="00985F05" w:rsidRDefault="00F4743B" w:rsidP="00985F05">
      <w:pPr>
        <w:jc w:val="both"/>
        <w:rPr>
          <w:rFonts w:ascii="Gadugi" w:eastAsia="Georgia" w:hAnsi="Gadugi" w:cs="Georgia"/>
          <w:sz w:val="24"/>
          <w:szCs w:val="24"/>
        </w:rPr>
      </w:pPr>
    </w:p>
    <w:p w14:paraId="3C04A671" w14:textId="481F4419" w:rsidR="00F4743B" w:rsidRPr="00985F05" w:rsidRDefault="005209EB" w:rsidP="00985F05">
      <w:pPr>
        <w:jc w:val="both"/>
        <w:rPr>
          <w:rFonts w:ascii="Gadugi" w:eastAsia="Georgia" w:hAnsi="Gadugi" w:cs="Georgia"/>
          <w:sz w:val="24"/>
          <w:szCs w:val="24"/>
        </w:rPr>
      </w:pPr>
      <w:r w:rsidRPr="00985F05">
        <w:rPr>
          <w:rFonts w:ascii="Gadugi" w:eastAsia="Georgia" w:hAnsi="Gadugi" w:cs="Georgia"/>
          <w:sz w:val="24"/>
          <w:szCs w:val="24"/>
        </w:rPr>
        <w:t xml:space="preserve">2.14. Resta analizar los reparos de los demandantes. </w:t>
      </w:r>
    </w:p>
    <w:p w14:paraId="72844533" w14:textId="575FB8BA" w:rsidR="005209EB" w:rsidRPr="00985F05" w:rsidRDefault="005209EB" w:rsidP="00985F05">
      <w:pPr>
        <w:jc w:val="both"/>
        <w:rPr>
          <w:rFonts w:ascii="Gadugi" w:eastAsia="Georgia" w:hAnsi="Gadugi" w:cs="Georgia"/>
          <w:sz w:val="24"/>
          <w:szCs w:val="24"/>
        </w:rPr>
      </w:pPr>
    </w:p>
    <w:p w14:paraId="6E007492" w14:textId="77777777" w:rsidR="005209EB" w:rsidRPr="00985F05" w:rsidRDefault="005209EB" w:rsidP="00985F05">
      <w:pPr>
        <w:jc w:val="both"/>
        <w:rPr>
          <w:rFonts w:ascii="Gadugi" w:eastAsia="Georgia" w:hAnsi="Gadugi" w:cs="Georgia"/>
          <w:sz w:val="24"/>
          <w:szCs w:val="24"/>
        </w:rPr>
      </w:pPr>
      <w:r w:rsidRPr="00985F05">
        <w:rPr>
          <w:rFonts w:ascii="Gadugi" w:eastAsia="Georgia" w:hAnsi="Gadugi" w:cs="Georgia"/>
          <w:sz w:val="24"/>
          <w:szCs w:val="24"/>
        </w:rPr>
        <w:t xml:space="preserve">En primer lugar, reprocha la compañera permanente que se le hubiera negado el resarcimiento al daño moral, pues sostiene que su separación de Alejandro fue posterior al accidente. </w:t>
      </w:r>
    </w:p>
    <w:p w14:paraId="60279B4F" w14:textId="77777777" w:rsidR="005209EB" w:rsidRPr="00985F05" w:rsidRDefault="005209EB" w:rsidP="00985F05">
      <w:pPr>
        <w:jc w:val="both"/>
        <w:rPr>
          <w:rFonts w:ascii="Gadugi" w:eastAsia="Georgia" w:hAnsi="Gadugi" w:cs="Georgia"/>
          <w:sz w:val="24"/>
          <w:szCs w:val="24"/>
        </w:rPr>
      </w:pPr>
    </w:p>
    <w:p w14:paraId="1CD720BD" w14:textId="28AD14F2" w:rsidR="005209EB" w:rsidRPr="00985F05" w:rsidRDefault="005209EB" w:rsidP="00985F05">
      <w:pPr>
        <w:jc w:val="both"/>
        <w:rPr>
          <w:rFonts w:ascii="Gadugi" w:eastAsia="Georgia" w:hAnsi="Gadugi" w:cs="Georgia"/>
          <w:sz w:val="24"/>
          <w:szCs w:val="24"/>
        </w:rPr>
      </w:pPr>
      <w:r w:rsidRPr="00985F05">
        <w:rPr>
          <w:rFonts w:ascii="Gadugi" w:eastAsia="Georgia" w:hAnsi="Gadugi" w:cs="Georgia"/>
          <w:sz w:val="24"/>
          <w:szCs w:val="24"/>
        </w:rPr>
        <w:t xml:space="preserve">Y, en segundo término, aducen que, de acuerdo con el artículo 1080 del C. de Comercio, los intereses frente a la aseguradora corren desde la fecha del vencimiento del mes que tuvo para efectuar el pago, una vez se le hizo la reclamación, y no desde la sentencia. </w:t>
      </w:r>
    </w:p>
    <w:p w14:paraId="61E86A08" w14:textId="42B04B00" w:rsidR="00387217" w:rsidRPr="00985F05" w:rsidRDefault="00387217" w:rsidP="00985F05">
      <w:pPr>
        <w:jc w:val="both"/>
        <w:rPr>
          <w:rFonts w:ascii="Gadugi" w:eastAsia="Georgia" w:hAnsi="Gadugi" w:cs="Georgia"/>
          <w:sz w:val="24"/>
          <w:szCs w:val="24"/>
        </w:rPr>
      </w:pPr>
    </w:p>
    <w:p w14:paraId="003A19D1" w14:textId="352B891D" w:rsidR="00B54D9D" w:rsidRPr="00985F05" w:rsidRDefault="00276F17" w:rsidP="00985F05">
      <w:pPr>
        <w:jc w:val="both"/>
        <w:rPr>
          <w:rFonts w:ascii="Gadugi" w:eastAsia="Georgia" w:hAnsi="Gadugi" w:cs="Georgia"/>
          <w:sz w:val="24"/>
          <w:szCs w:val="24"/>
        </w:rPr>
      </w:pPr>
      <w:r w:rsidRPr="00985F05">
        <w:rPr>
          <w:rFonts w:ascii="Gadugi" w:eastAsia="Georgia" w:hAnsi="Gadugi" w:cs="Georgia"/>
          <w:sz w:val="24"/>
          <w:szCs w:val="24"/>
        </w:rPr>
        <w:t xml:space="preserve">En torno a lo primero, </w:t>
      </w:r>
      <w:r w:rsidR="00F045E5" w:rsidRPr="00985F05">
        <w:rPr>
          <w:rFonts w:ascii="Gadugi" w:eastAsia="Georgia" w:hAnsi="Gadugi" w:cs="Georgia"/>
          <w:sz w:val="24"/>
          <w:szCs w:val="24"/>
        </w:rPr>
        <w:t xml:space="preserve">respecto del perjuicio derivado del daño moral, </w:t>
      </w:r>
      <w:r w:rsidR="00D916FE" w:rsidRPr="00985F05">
        <w:rPr>
          <w:rFonts w:ascii="Gadugi" w:eastAsia="Georgia" w:hAnsi="Gadugi" w:cs="Georgia"/>
          <w:sz w:val="24"/>
          <w:szCs w:val="24"/>
        </w:rPr>
        <w:t>es preciso recordar</w:t>
      </w:r>
      <w:r w:rsidR="00F045E5" w:rsidRPr="00985F05">
        <w:rPr>
          <w:rFonts w:ascii="Gadugi" w:eastAsia="Georgia" w:hAnsi="Gadugi" w:cs="Georgia"/>
          <w:sz w:val="24"/>
          <w:szCs w:val="24"/>
        </w:rPr>
        <w:t xml:space="preserve"> lo dicho por esta Colegiatura</w:t>
      </w:r>
      <w:r w:rsidR="00F045E5" w:rsidRPr="00985F05">
        <w:rPr>
          <w:rStyle w:val="Refdenotaalpie"/>
          <w:rFonts w:ascii="Gadugi" w:eastAsia="Georgia" w:hAnsi="Gadugi" w:cs="Georgia"/>
          <w:sz w:val="24"/>
          <w:szCs w:val="24"/>
        </w:rPr>
        <w:footnoteReference w:id="42"/>
      </w:r>
      <w:r w:rsidR="00F045E5" w:rsidRPr="00985F05">
        <w:rPr>
          <w:rFonts w:ascii="Gadugi" w:eastAsia="Georgia" w:hAnsi="Gadugi" w:cs="Georgia"/>
          <w:sz w:val="24"/>
          <w:szCs w:val="24"/>
        </w:rPr>
        <w:t xml:space="preserve"> acerca de que: </w:t>
      </w:r>
    </w:p>
    <w:p w14:paraId="59B90DAE" w14:textId="77777777" w:rsidR="00F045E5" w:rsidRPr="00985F05" w:rsidRDefault="00F045E5" w:rsidP="00985F05">
      <w:pPr>
        <w:pStyle w:val="Prrafodelista"/>
        <w:ind w:left="0" w:firstLine="1701"/>
        <w:jc w:val="both"/>
        <w:rPr>
          <w:rStyle w:val="normaltextrun"/>
          <w:rFonts w:ascii="Gadugi" w:hAnsi="Gadugi"/>
          <w:sz w:val="24"/>
          <w:szCs w:val="24"/>
          <w:shd w:val="clear" w:color="auto" w:fill="FFFFFF"/>
        </w:rPr>
      </w:pPr>
    </w:p>
    <w:p w14:paraId="1885A8D7" w14:textId="169E809F" w:rsidR="00B54D9D" w:rsidRPr="00DD2C71" w:rsidRDefault="00B54D9D" w:rsidP="00DD2C71">
      <w:pPr>
        <w:pStyle w:val="Prrafodelista"/>
        <w:spacing w:line="240" w:lineRule="auto"/>
        <w:ind w:left="426" w:right="420"/>
        <w:jc w:val="both"/>
        <w:rPr>
          <w:rStyle w:val="normaltextrun"/>
          <w:rFonts w:ascii="Gadugi" w:hAnsi="Gadugi"/>
          <w:szCs w:val="24"/>
          <w:shd w:val="clear" w:color="auto" w:fill="FFFFFF"/>
        </w:rPr>
      </w:pPr>
      <w:r w:rsidRPr="00DD2C71">
        <w:rPr>
          <w:rStyle w:val="normaltextrun"/>
          <w:rFonts w:ascii="Gadugi" w:hAnsi="Gadugi"/>
          <w:szCs w:val="24"/>
          <w:shd w:val="clear" w:color="auto" w:fill="FFFFFF"/>
        </w:rPr>
        <w:t>En reciente sentencia</w:t>
      </w:r>
      <w:r w:rsidRPr="00DD2C71">
        <w:rPr>
          <w:rStyle w:val="Refdenotaalpie"/>
          <w:rFonts w:ascii="Gadugi" w:hAnsi="Gadugi"/>
          <w:szCs w:val="24"/>
          <w:shd w:val="clear" w:color="auto" w:fill="FFFFFF"/>
        </w:rPr>
        <w:footnoteReference w:id="43"/>
      </w:r>
      <w:r w:rsidRPr="00DD2C71">
        <w:rPr>
          <w:rStyle w:val="normaltextrun"/>
          <w:rFonts w:ascii="Gadugi" w:hAnsi="Gadugi"/>
          <w:szCs w:val="24"/>
          <w:shd w:val="clear" w:color="auto" w:fill="FFFFFF"/>
        </w:rPr>
        <w:t xml:space="preserve">, esta Sala reiteró que: </w:t>
      </w:r>
    </w:p>
    <w:p w14:paraId="5AAB0E2E" w14:textId="77777777" w:rsidR="00B54D9D" w:rsidRPr="00DD2C71" w:rsidRDefault="00B54D9D" w:rsidP="00DD2C71">
      <w:pPr>
        <w:pStyle w:val="Prrafodelista"/>
        <w:spacing w:line="240" w:lineRule="auto"/>
        <w:ind w:left="426" w:right="420"/>
        <w:jc w:val="both"/>
        <w:rPr>
          <w:rStyle w:val="normaltextrun"/>
          <w:rFonts w:ascii="Gadugi" w:hAnsi="Gadugi"/>
          <w:szCs w:val="24"/>
          <w:shd w:val="clear" w:color="auto" w:fill="FFFFFF"/>
        </w:rPr>
      </w:pPr>
    </w:p>
    <w:p w14:paraId="6F4BDEE3" w14:textId="77777777" w:rsidR="00B54D9D" w:rsidRPr="00DD2C71" w:rsidRDefault="00B54D9D" w:rsidP="004E1F81">
      <w:pPr>
        <w:pStyle w:val="Prrafodelista"/>
        <w:spacing w:line="240" w:lineRule="auto"/>
        <w:ind w:left="426" w:right="420"/>
        <w:jc w:val="both"/>
        <w:rPr>
          <w:rFonts w:ascii="Gadugi" w:hAnsi="Gadugi"/>
          <w:szCs w:val="24"/>
        </w:rPr>
      </w:pPr>
      <w:r w:rsidRPr="00DD2C71">
        <w:rPr>
          <w:rFonts w:ascii="Gadugi" w:hAnsi="Gadugi"/>
          <w:szCs w:val="24"/>
        </w:rPr>
        <w:t>Entendido que esta especie de daño, como ha dicho este Tribunal</w:t>
      </w:r>
      <w:r w:rsidRPr="00DD2C71">
        <w:rPr>
          <w:rStyle w:val="Refdenotaalpie"/>
          <w:rFonts w:ascii="Gadugi" w:hAnsi="Gadugi"/>
          <w:szCs w:val="24"/>
        </w:rPr>
        <w:footnoteReference w:id="44"/>
      </w:r>
      <w:r w:rsidRPr="00DD2C71">
        <w:rPr>
          <w:rFonts w:ascii="Gadugi" w:hAnsi="Gadugi"/>
          <w:szCs w:val="24"/>
        </w:rPr>
        <w:t>, se refleja en la esfera interior de la persona, por el dolor, la aflicción, la congoja que padece, producto de una lesión que se le ha infligido, y que su tasación obedece al arbitrio judicial, teniendo en cuenta los parámetros señalados por el órgano de cierre, sin que se erijan expresamente en topes máximos o mínimos</w:t>
      </w:r>
      <w:r w:rsidRPr="00DD2C71">
        <w:rPr>
          <w:rStyle w:val="Refdenotaalpie"/>
          <w:rFonts w:ascii="Gadugi" w:hAnsi="Gadugi"/>
          <w:szCs w:val="24"/>
        </w:rPr>
        <w:footnoteReference w:id="45"/>
      </w:r>
      <w:r w:rsidRPr="00DD2C71">
        <w:rPr>
          <w:rFonts w:ascii="Gadugi" w:hAnsi="Gadugi"/>
          <w:szCs w:val="24"/>
        </w:rPr>
        <w:t xml:space="preserve">. </w:t>
      </w:r>
    </w:p>
    <w:p w14:paraId="4CB2A50C" w14:textId="77777777" w:rsidR="00B54D9D" w:rsidRPr="00DD2C71" w:rsidRDefault="00B54D9D" w:rsidP="00DD2C71">
      <w:pPr>
        <w:pStyle w:val="Prrafodelista"/>
        <w:spacing w:line="240" w:lineRule="auto"/>
        <w:ind w:left="426" w:right="420"/>
        <w:jc w:val="both"/>
        <w:rPr>
          <w:rFonts w:ascii="Gadugi" w:hAnsi="Gadugi"/>
          <w:szCs w:val="24"/>
        </w:rPr>
      </w:pPr>
    </w:p>
    <w:p w14:paraId="7C729D7D" w14:textId="77777777" w:rsidR="00B54D9D" w:rsidRPr="00DD2C71" w:rsidRDefault="00B54D9D" w:rsidP="00DD2C71">
      <w:pPr>
        <w:pStyle w:val="Prrafodelista"/>
        <w:spacing w:line="240" w:lineRule="auto"/>
        <w:ind w:left="426" w:right="420"/>
        <w:jc w:val="both"/>
        <w:rPr>
          <w:rFonts w:ascii="Gadugi" w:hAnsi="Gadugi"/>
          <w:szCs w:val="24"/>
        </w:rPr>
      </w:pPr>
      <w:r w:rsidRPr="00DD2C71">
        <w:rPr>
          <w:rFonts w:ascii="Gadugi" w:hAnsi="Gadugi"/>
          <w:szCs w:val="24"/>
        </w:rPr>
        <w:t xml:space="preserve">En ese mismo sentido, la Corte, en la sentencia SC780- 2020 del 10 de marzo del 2020, que toca un asunto semejante al de marras, se recordó que: </w:t>
      </w:r>
    </w:p>
    <w:p w14:paraId="5410C656" w14:textId="77777777" w:rsidR="00B54D9D" w:rsidRPr="00DD2C71" w:rsidRDefault="00B54D9D" w:rsidP="00DD2C71">
      <w:pPr>
        <w:pStyle w:val="Prrafodelista"/>
        <w:spacing w:line="240" w:lineRule="auto"/>
        <w:ind w:left="426" w:right="420"/>
        <w:jc w:val="both"/>
        <w:rPr>
          <w:rFonts w:ascii="Gadugi" w:hAnsi="Gadugi"/>
          <w:szCs w:val="24"/>
        </w:rPr>
      </w:pPr>
    </w:p>
    <w:p w14:paraId="2295A9E2" w14:textId="77777777" w:rsidR="00B54D9D" w:rsidRPr="00DD2C71" w:rsidRDefault="00B54D9D" w:rsidP="00DD2C71">
      <w:pPr>
        <w:pStyle w:val="Prrafodelista"/>
        <w:spacing w:line="240" w:lineRule="auto"/>
        <w:ind w:left="426" w:right="420"/>
        <w:jc w:val="both"/>
        <w:rPr>
          <w:rFonts w:ascii="Gadugi" w:hAnsi="Gadugi"/>
          <w:szCs w:val="24"/>
        </w:rPr>
      </w:pPr>
      <w:r w:rsidRPr="00DD2C71">
        <w:rPr>
          <w:rFonts w:ascii="Gadugi" w:hAnsi="Gadugi"/>
          <w:szCs w:val="24"/>
        </w:rPr>
        <w:t xml:space="preserve">“es esperable que la víctima directa del accidente de tránsito padeciera dolores físicos y psicológicos, angustia, tristeza e incomodidades como consecuencia de las lesiones que sufrió. Tales perjuicios se presumen y no hay necesidad de exigir su demostración, pues es lo que normalmente siente una persona que sufre lesiones en su integridad física y moral. </w:t>
      </w:r>
    </w:p>
    <w:p w14:paraId="62A3185E" w14:textId="77777777" w:rsidR="00B54D9D" w:rsidRPr="00DD2C71" w:rsidRDefault="00B54D9D" w:rsidP="00DD2C71">
      <w:pPr>
        <w:pStyle w:val="Prrafodelista"/>
        <w:spacing w:line="240" w:lineRule="auto"/>
        <w:ind w:left="426" w:right="420"/>
        <w:jc w:val="both"/>
        <w:rPr>
          <w:rFonts w:ascii="Gadugi" w:hAnsi="Gadugi"/>
          <w:szCs w:val="24"/>
        </w:rPr>
      </w:pPr>
    </w:p>
    <w:p w14:paraId="25EAC31D" w14:textId="77777777" w:rsidR="00B54D9D" w:rsidRPr="00DD2C71" w:rsidRDefault="00B54D9D" w:rsidP="00DD2C71">
      <w:pPr>
        <w:pStyle w:val="Prrafodelista"/>
        <w:spacing w:line="240" w:lineRule="auto"/>
        <w:ind w:left="426" w:right="420"/>
        <w:jc w:val="both"/>
        <w:rPr>
          <w:rFonts w:ascii="Gadugi" w:hAnsi="Gadugi"/>
          <w:szCs w:val="24"/>
        </w:rPr>
      </w:pPr>
      <w:r w:rsidRPr="00DD2C71">
        <w:rPr>
          <w:rFonts w:ascii="Gadugi" w:hAnsi="Gadugi"/>
          <w:szCs w:val="24"/>
        </w:rPr>
        <w:t xml:space="preserve">De igual modo, la experiencia muestra que es normal que los familiares más cercanos de la víctima sufran tristeza, angustia y desasosiego al ver sufrir a su ser querido. Por </w:t>
      </w:r>
      <w:r w:rsidRPr="00DD2C71">
        <w:rPr>
          <w:rFonts w:ascii="Gadugi" w:hAnsi="Gadugi"/>
          <w:szCs w:val="24"/>
        </w:rPr>
        <w:lastRenderedPageBreak/>
        <w:t xml:space="preserve">ello, no hay necesidad de exigir la prueba de los padecimientos morales sufridos por el hijo de la accidentada, pues ellos se presumen a menos que surjan en el acervo probatorio elementos de conocimiento que permitan desvirtuar la presunción judicial, lo que no ocurrió en este caso.” </w:t>
      </w:r>
    </w:p>
    <w:p w14:paraId="3A4BF7C4" w14:textId="77777777" w:rsidR="00B54D9D" w:rsidRPr="00DD2C71" w:rsidRDefault="00B54D9D" w:rsidP="00DD2C71">
      <w:pPr>
        <w:pStyle w:val="Prrafodelista"/>
        <w:spacing w:line="240" w:lineRule="auto"/>
        <w:ind w:left="426" w:right="420"/>
        <w:jc w:val="both"/>
        <w:rPr>
          <w:rFonts w:ascii="Gadugi" w:hAnsi="Gadugi"/>
          <w:szCs w:val="24"/>
        </w:rPr>
      </w:pPr>
    </w:p>
    <w:p w14:paraId="0F6CF7F1" w14:textId="77777777" w:rsidR="00B54D9D" w:rsidRPr="00DD2C71" w:rsidRDefault="00B54D9D" w:rsidP="00DD2C71">
      <w:pPr>
        <w:pStyle w:val="Prrafodelista"/>
        <w:spacing w:line="240" w:lineRule="auto"/>
        <w:ind w:left="426" w:right="420"/>
        <w:jc w:val="both"/>
        <w:rPr>
          <w:rFonts w:ascii="Gadugi" w:hAnsi="Gadugi"/>
          <w:szCs w:val="24"/>
        </w:rPr>
      </w:pPr>
      <w:r w:rsidRPr="00DD2C71">
        <w:rPr>
          <w:rFonts w:ascii="Gadugi" w:hAnsi="Gadugi"/>
          <w:szCs w:val="24"/>
        </w:rPr>
        <w:t xml:space="preserve">… </w:t>
      </w:r>
    </w:p>
    <w:p w14:paraId="627094F1" w14:textId="77777777" w:rsidR="00B54D9D" w:rsidRPr="00DD2C71" w:rsidRDefault="00B54D9D" w:rsidP="00DD2C71">
      <w:pPr>
        <w:pStyle w:val="Prrafodelista"/>
        <w:spacing w:line="240" w:lineRule="auto"/>
        <w:ind w:left="426" w:right="420"/>
        <w:jc w:val="both"/>
        <w:rPr>
          <w:rFonts w:ascii="Gadugi" w:hAnsi="Gadugi"/>
          <w:szCs w:val="24"/>
        </w:rPr>
      </w:pPr>
    </w:p>
    <w:p w14:paraId="140ECAD4" w14:textId="74EE7294" w:rsidR="00B54D9D" w:rsidRPr="00DD2C71" w:rsidRDefault="00B54D9D" w:rsidP="00DD2C71">
      <w:pPr>
        <w:pStyle w:val="Prrafodelista"/>
        <w:spacing w:line="240" w:lineRule="auto"/>
        <w:ind w:left="426" w:right="420"/>
        <w:jc w:val="both"/>
        <w:rPr>
          <w:rFonts w:ascii="Gadugi" w:hAnsi="Gadugi"/>
          <w:szCs w:val="24"/>
        </w:rPr>
      </w:pPr>
      <w:r w:rsidRPr="00DD2C71">
        <w:rPr>
          <w:rFonts w:ascii="Gadugi" w:hAnsi="Gadugi"/>
          <w:szCs w:val="24"/>
        </w:rPr>
        <w:t>Ahora bien, respecto del resarcimiento de este perjuicio, el moral, también esta Sala, en sentencia del 1° de noviembre del 2016 con radicado 2012-274-01 con apoyo en fallos de la Corte Suprema de Justicia (SC 13925-2016, SC 16690- 2016 y SC 9193-2017), y luego en providencia del 19 de julio de 2019, radicado 2017-00345-01, con sustento en la sentencia SC665-2019, indicó que la compensación para los casos en que fallece la víctima ha sido fijada, en general, en la suma de $60.000.000</w:t>
      </w:r>
      <w:r w:rsidR="00E350E4">
        <w:rPr>
          <w:rFonts w:ascii="Gadugi" w:hAnsi="Gadugi"/>
          <w:szCs w:val="24"/>
        </w:rPr>
        <w:t>,00</w:t>
      </w:r>
      <w:r w:rsidRPr="00DD2C71">
        <w:rPr>
          <w:rFonts w:ascii="Gadugi" w:hAnsi="Gadugi"/>
          <w:szCs w:val="24"/>
        </w:rPr>
        <w:t xml:space="preserve">, y así lo reiteró más recientemente en la sentencia STC3567-2020, que sirve de criterio auxiliar. </w:t>
      </w:r>
    </w:p>
    <w:p w14:paraId="1687E25D" w14:textId="77777777" w:rsidR="00B54D9D" w:rsidRPr="00DD2C71" w:rsidRDefault="00B54D9D" w:rsidP="00DD2C71">
      <w:pPr>
        <w:pStyle w:val="Prrafodelista"/>
        <w:spacing w:line="240" w:lineRule="auto"/>
        <w:ind w:left="426" w:right="420"/>
        <w:jc w:val="both"/>
        <w:rPr>
          <w:rFonts w:ascii="Gadugi" w:hAnsi="Gadugi"/>
          <w:szCs w:val="24"/>
        </w:rPr>
      </w:pPr>
    </w:p>
    <w:p w14:paraId="7603B7DD" w14:textId="43CC321B" w:rsidR="00B54D9D" w:rsidRPr="00DD2C71" w:rsidRDefault="00B54D9D" w:rsidP="00DD2C71">
      <w:pPr>
        <w:pStyle w:val="Prrafodelista"/>
        <w:spacing w:line="240" w:lineRule="auto"/>
        <w:ind w:left="426" w:right="420"/>
        <w:jc w:val="both"/>
        <w:rPr>
          <w:rFonts w:ascii="Gadugi" w:hAnsi="Gadugi"/>
          <w:szCs w:val="24"/>
        </w:rPr>
      </w:pPr>
      <w:r w:rsidRPr="00DD2C71">
        <w:rPr>
          <w:rFonts w:ascii="Gadugi" w:hAnsi="Gadugi"/>
          <w:szCs w:val="24"/>
        </w:rPr>
        <w:t>A pesar de que en la sentencia SC5686-2018 se cuantificó el perjuicio por el daño moral en $72’000.000,00, así ocurrió por la gravedad de los sucesos allí analizados, pero luego se volvió a la senda última, que es la que está vigente, de los $60’000.000</w:t>
      </w:r>
      <w:r w:rsidR="00E350E4">
        <w:rPr>
          <w:rFonts w:ascii="Gadugi" w:hAnsi="Gadugi"/>
          <w:szCs w:val="24"/>
        </w:rPr>
        <w:t>,00</w:t>
      </w:r>
      <w:r w:rsidRPr="00DD2C71">
        <w:rPr>
          <w:rStyle w:val="Refdenotaalpie"/>
          <w:rFonts w:ascii="Gadugi" w:hAnsi="Gadugi"/>
          <w:szCs w:val="24"/>
        </w:rPr>
        <w:footnoteReference w:id="46"/>
      </w:r>
      <w:r w:rsidRPr="00DD2C71">
        <w:rPr>
          <w:rFonts w:ascii="Gadugi" w:hAnsi="Gadugi"/>
          <w:szCs w:val="24"/>
        </w:rPr>
        <w:t>.</w:t>
      </w:r>
    </w:p>
    <w:p w14:paraId="362E037A" w14:textId="77777777" w:rsidR="0073566A" w:rsidRPr="00985F05" w:rsidRDefault="0073566A" w:rsidP="00985F05">
      <w:pPr>
        <w:jc w:val="both"/>
        <w:rPr>
          <w:rFonts w:ascii="Gadugi" w:eastAsia="Georgia" w:hAnsi="Gadugi" w:cs="Georgia"/>
          <w:sz w:val="24"/>
          <w:szCs w:val="24"/>
        </w:rPr>
      </w:pPr>
    </w:p>
    <w:p w14:paraId="5CB6B8A8" w14:textId="296581B7" w:rsidR="00F045E5" w:rsidRPr="00985F05" w:rsidRDefault="00F045E5" w:rsidP="00985F05">
      <w:pPr>
        <w:jc w:val="both"/>
        <w:rPr>
          <w:rFonts w:ascii="Gadugi" w:eastAsia="Georgia" w:hAnsi="Gadugi" w:cs="Georgia"/>
          <w:sz w:val="24"/>
          <w:szCs w:val="24"/>
        </w:rPr>
      </w:pPr>
      <w:r w:rsidRPr="00985F05">
        <w:rPr>
          <w:rFonts w:ascii="Gadugi" w:eastAsia="Georgia" w:hAnsi="Gadugi" w:cs="Georgia"/>
          <w:sz w:val="24"/>
          <w:szCs w:val="24"/>
        </w:rPr>
        <w:t xml:space="preserve">Como se ve, en el caso de las personas allegadas, se presume esta </w:t>
      </w:r>
      <w:r w:rsidR="00013858" w:rsidRPr="00985F05">
        <w:rPr>
          <w:rFonts w:ascii="Gadugi" w:eastAsia="Georgia" w:hAnsi="Gadugi" w:cs="Georgia"/>
          <w:sz w:val="24"/>
          <w:szCs w:val="24"/>
        </w:rPr>
        <w:t>tribulación, grupo en el que, sin duda, se ubica el compañero o la compañera permanente</w:t>
      </w:r>
      <w:r w:rsidR="009535EC" w:rsidRPr="00985F05">
        <w:rPr>
          <w:rFonts w:ascii="Gadugi" w:eastAsia="Georgia" w:hAnsi="Gadugi" w:cs="Georgia"/>
          <w:sz w:val="24"/>
          <w:szCs w:val="24"/>
        </w:rPr>
        <w:t>. Y</w:t>
      </w:r>
      <w:r w:rsidRPr="00985F05">
        <w:rPr>
          <w:rFonts w:ascii="Gadugi" w:eastAsia="Georgia" w:hAnsi="Gadugi" w:cs="Georgia"/>
          <w:sz w:val="24"/>
          <w:szCs w:val="24"/>
        </w:rPr>
        <w:t xml:space="preserve"> este caso, no es ajeno a esa situación, contrario a lo que dedujo la funcionaria de primer grado. </w:t>
      </w:r>
    </w:p>
    <w:p w14:paraId="15B5483F" w14:textId="77777777" w:rsidR="00F045E5" w:rsidRPr="00985F05" w:rsidRDefault="00F045E5" w:rsidP="00985F05">
      <w:pPr>
        <w:jc w:val="both"/>
        <w:rPr>
          <w:rFonts w:ascii="Gadugi" w:eastAsia="Georgia" w:hAnsi="Gadugi" w:cs="Georgia"/>
          <w:sz w:val="24"/>
          <w:szCs w:val="24"/>
        </w:rPr>
      </w:pPr>
    </w:p>
    <w:p w14:paraId="53218374" w14:textId="1904F071" w:rsidR="00D5009D" w:rsidRPr="00985F05" w:rsidRDefault="00F045E5" w:rsidP="00985F05">
      <w:pPr>
        <w:jc w:val="both"/>
        <w:rPr>
          <w:rFonts w:ascii="Gadugi" w:eastAsia="Georgia" w:hAnsi="Gadugi" w:cs="Georgia"/>
          <w:sz w:val="24"/>
          <w:szCs w:val="24"/>
        </w:rPr>
      </w:pPr>
      <w:r w:rsidRPr="00985F05">
        <w:rPr>
          <w:rFonts w:ascii="Gadugi" w:eastAsia="Georgia" w:hAnsi="Gadugi" w:cs="Georgia"/>
          <w:sz w:val="24"/>
          <w:szCs w:val="24"/>
        </w:rPr>
        <w:t>Es cierto que la pareja se separó, pero es</w:t>
      </w:r>
      <w:r w:rsidR="00827BA3" w:rsidRPr="00985F05">
        <w:rPr>
          <w:rFonts w:ascii="Gadugi" w:eastAsia="Georgia" w:hAnsi="Gadugi" w:cs="Georgia"/>
          <w:sz w:val="24"/>
          <w:szCs w:val="24"/>
        </w:rPr>
        <w:t>o ocurrió</w:t>
      </w:r>
      <w:r w:rsidR="002B48ED" w:rsidRPr="00985F05">
        <w:rPr>
          <w:rFonts w:ascii="Gadugi" w:eastAsia="Georgia" w:hAnsi="Gadugi" w:cs="Georgia"/>
          <w:sz w:val="24"/>
          <w:szCs w:val="24"/>
        </w:rPr>
        <w:t xml:space="preserve">, según relataron en la </w:t>
      </w:r>
      <w:r w:rsidR="001E4D6A" w:rsidRPr="00985F05">
        <w:rPr>
          <w:rFonts w:ascii="Gadugi" w:eastAsia="Georgia" w:hAnsi="Gadugi" w:cs="Georgia"/>
          <w:sz w:val="24"/>
          <w:szCs w:val="24"/>
        </w:rPr>
        <w:t>audiencia inicial</w:t>
      </w:r>
      <w:r w:rsidR="0088564F" w:rsidRPr="00985F05">
        <w:rPr>
          <w:rFonts w:ascii="Gadugi" w:eastAsia="Georgia" w:hAnsi="Gadugi" w:cs="Georgia"/>
          <w:sz w:val="24"/>
          <w:szCs w:val="24"/>
        </w:rPr>
        <w:t xml:space="preserve"> </w:t>
      </w:r>
      <w:r w:rsidR="00D76297" w:rsidRPr="00985F05">
        <w:rPr>
          <w:rFonts w:ascii="Gadugi" w:eastAsia="Georgia" w:hAnsi="Gadugi" w:cs="Georgia"/>
          <w:sz w:val="24"/>
          <w:szCs w:val="24"/>
        </w:rPr>
        <w:t xml:space="preserve">del artículo 372 del CGP, </w:t>
      </w:r>
      <w:r w:rsidR="001E4D6A" w:rsidRPr="00985F05">
        <w:rPr>
          <w:rFonts w:ascii="Gadugi" w:eastAsia="Georgia" w:hAnsi="Gadugi" w:cs="Georgia"/>
          <w:sz w:val="24"/>
          <w:szCs w:val="24"/>
        </w:rPr>
        <w:t xml:space="preserve">tanto Alejandro </w:t>
      </w:r>
      <w:r w:rsidR="00FD2A2F" w:rsidRPr="00985F05">
        <w:rPr>
          <w:rFonts w:ascii="Gadugi" w:eastAsia="Georgia" w:hAnsi="Gadugi" w:cs="Georgia"/>
          <w:sz w:val="24"/>
          <w:szCs w:val="24"/>
        </w:rPr>
        <w:t>Suárez</w:t>
      </w:r>
      <w:r w:rsidR="00EB2544" w:rsidRPr="00985F05">
        <w:rPr>
          <w:rFonts w:ascii="Gadugi" w:eastAsia="Georgia" w:hAnsi="Gadugi" w:cs="Georgia"/>
          <w:sz w:val="24"/>
          <w:szCs w:val="24"/>
        </w:rPr>
        <w:t>, como su progenitora Martha Lucía Suárez</w:t>
      </w:r>
      <w:r w:rsidR="006A71D3" w:rsidRPr="00985F05">
        <w:rPr>
          <w:rStyle w:val="Refdenotaalpie"/>
          <w:rFonts w:ascii="Gadugi" w:eastAsia="Georgia" w:hAnsi="Gadugi" w:cs="Georgia"/>
          <w:sz w:val="24"/>
          <w:szCs w:val="24"/>
        </w:rPr>
        <w:footnoteReference w:id="47"/>
      </w:r>
      <w:r w:rsidR="00717D87" w:rsidRPr="00985F05">
        <w:rPr>
          <w:rFonts w:ascii="Gadugi" w:eastAsia="Georgia" w:hAnsi="Gadugi" w:cs="Georgia"/>
          <w:sz w:val="24"/>
          <w:szCs w:val="24"/>
        </w:rPr>
        <w:t>, después del accidente</w:t>
      </w:r>
      <w:r w:rsidR="00D621B7" w:rsidRPr="00985F05">
        <w:rPr>
          <w:rFonts w:ascii="Gadugi" w:eastAsia="Georgia" w:hAnsi="Gadugi" w:cs="Georgia"/>
          <w:sz w:val="24"/>
          <w:szCs w:val="24"/>
        </w:rPr>
        <w:t xml:space="preserve">. </w:t>
      </w:r>
      <w:r w:rsidR="00536A04" w:rsidRPr="00985F05">
        <w:rPr>
          <w:rFonts w:ascii="Gadugi" w:eastAsia="Georgia" w:hAnsi="Gadugi" w:cs="Georgia"/>
          <w:sz w:val="24"/>
          <w:szCs w:val="24"/>
        </w:rPr>
        <w:t>Eso mismo precisó la compañera Beatriz Elena García en la audiencia de instrucción (parte I)</w:t>
      </w:r>
      <w:r w:rsidR="00536A04" w:rsidRPr="00985F05">
        <w:rPr>
          <w:rStyle w:val="Refdenotaalpie"/>
          <w:rFonts w:ascii="Gadugi" w:eastAsia="Georgia" w:hAnsi="Gadugi" w:cs="Georgia"/>
          <w:sz w:val="24"/>
          <w:szCs w:val="24"/>
        </w:rPr>
        <w:footnoteReference w:id="48"/>
      </w:r>
      <w:r w:rsidR="00536A04" w:rsidRPr="00985F05">
        <w:rPr>
          <w:rFonts w:ascii="Gadugi" w:eastAsia="Georgia" w:hAnsi="Gadugi" w:cs="Georgia"/>
          <w:sz w:val="24"/>
          <w:szCs w:val="24"/>
        </w:rPr>
        <w:t xml:space="preserve">. Que ello ocurriera a los dos meses, </w:t>
      </w:r>
      <w:r w:rsidR="00A6623F" w:rsidRPr="00985F05">
        <w:rPr>
          <w:rFonts w:ascii="Gadugi" w:eastAsia="Georgia" w:hAnsi="Gadugi" w:cs="Georgia"/>
          <w:sz w:val="24"/>
          <w:szCs w:val="24"/>
        </w:rPr>
        <w:t>o terminando el año 2016, como mencionaron los compañeros</w:t>
      </w:r>
      <w:r w:rsidR="00CC0815" w:rsidRPr="00985F05">
        <w:rPr>
          <w:rFonts w:ascii="Gadugi" w:eastAsia="Georgia" w:hAnsi="Gadugi" w:cs="Georgia"/>
          <w:sz w:val="24"/>
          <w:szCs w:val="24"/>
        </w:rPr>
        <w:t xml:space="preserve">, pues Alejandro dice que para la fecha de su versión (enero de 2020) llevaba cerca de tres años viviendo con su mamá, y Beatriz señala que estuvieron juntos hasta </w:t>
      </w:r>
      <w:r w:rsidR="00D5009D" w:rsidRPr="00985F05">
        <w:rPr>
          <w:rFonts w:ascii="Gadugi" w:eastAsia="Georgia" w:hAnsi="Gadugi" w:cs="Georgia"/>
          <w:sz w:val="24"/>
          <w:szCs w:val="24"/>
        </w:rPr>
        <w:t>diciembre de 2017</w:t>
      </w:r>
      <w:r w:rsidR="00717D87" w:rsidRPr="00985F05">
        <w:rPr>
          <w:rFonts w:ascii="Gadugi" w:eastAsia="Georgia" w:hAnsi="Gadugi" w:cs="Georgia"/>
          <w:sz w:val="24"/>
          <w:szCs w:val="24"/>
        </w:rPr>
        <w:t>, no cambia radicalmente la situación.</w:t>
      </w:r>
    </w:p>
    <w:p w14:paraId="3086C969" w14:textId="77777777" w:rsidR="00D5009D" w:rsidRPr="00985F05" w:rsidRDefault="00D5009D" w:rsidP="00985F05">
      <w:pPr>
        <w:jc w:val="both"/>
        <w:rPr>
          <w:rFonts w:ascii="Gadugi" w:eastAsia="Georgia" w:hAnsi="Gadugi" w:cs="Georgia"/>
          <w:sz w:val="24"/>
          <w:szCs w:val="24"/>
        </w:rPr>
      </w:pPr>
    </w:p>
    <w:p w14:paraId="7BD46ED5" w14:textId="0027D4CB" w:rsidR="0094519C" w:rsidRPr="00985F05" w:rsidRDefault="00E97E3B" w:rsidP="00985F05">
      <w:pPr>
        <w:jc w:val="both"/>
        <w:rPr>
          <w:rFonts w:ascii="Gadugi" w:eastAsia="Georgia" w:hAnsi="Gadugi" w:cs="Georgia"/>
          <w:sz w:val="24"/>
          <w:szCs w:val="24"/>
        </w:rPr>
      </w:pPr>
      <w:r w:rsidRPr="00985F05">
        <w:rPr>
          <w:rFonts w:ascii="Gadugi" w:eastAsia="Georgia" w:hAnsi="Gadugi" w:cs="Georgia"/>
          <w:sz w:val="24"/>
          <w:szCs w:val="24"/>
        </w:rPr>
        <w:t xml:space="preserve">Por supuesto que, para el año 2014 cuando ocurrió el suceso, </w:t>
      </w:r>
      <w:r w:rsidR="00B53146" w:rsidRPr="00985F05">
        <w:rPr>
          <w:rFonts w:ascii="Gadugi" w:eastAsia="Georgia" w:hAnsi="Gadugi" w:cs="Georgia"/>
          <w:sz w:val="24"/>
          <w:szCs w:val="24"/>
        </w:rPr>
        <w:t xml:space="preserve">se presume que se </w:t>
      </w:r>
      <w:r w:rsidRPr="00985F05">
        <w:rPr>
          <w:rFonts w:ascii="Gadugi" w:eastAsia="Georgia" w:hAnsi="Gadugi" w:cs="Georgia"/>
          <w:sz w:val="24"/>
          <w:szCs w:val="24"/>
        </w:rPr>
        <w:t>gener</w:t>
      </w:r>
      <w:r w:rsidR="00B53146" w:rsidRPr="00985F05">
        <w:rPr>
          <w:rFonts w:ascii="Gadugi" w:eastAsia="Georgia" w:hAnsi="Gadugi" w:cs="Georgia"/>
          <w:sz w:val="24"/>
          <w:szCs w:val="24"/>
        </w:rPr>
        <w:t>ó</w:t>
      </w:r>
      <w:r w:rsidRPr="00985F05">
        <w:rPr>
          <w:rFonts w:ascii="Gadugi" w:eastAsia="Georgia" w:hAnsi="Gadugi" w:cs="Georgia"/>
          <w:sz w:val="24"/>
          <w:szCs w:val="24"/>
        </w:rPr>
        <w:t xml:space="preserve"> el daño moral reclamado, dado e</w:t>
      </w:r>
      <w:r w:rsidR="00B53146" w:rsidRPr="00985F05">
        <w:rPr>
          <w:rFonts w:ascii="Gadugi" w:eastAsia="Georgia" w:hAnsi="Gadugi" w:cs="Georgia"/>
          <w:sz w:val="24"/>
          <w:szCs w:val="24"/>
        </w:rPr>
        <w:t>l</w:t>
      </w:r>
      <w:r w:rsidRPr="00985F05">
        <w:rPr>
          <w:rFonts w:ascii="Gadugi" w:eastAsia="Georgia" w:hAnsi="Gadugi" w:cs="Georgia"/>
          <w:sz w:val="24"/>
          <w:szCs w:val="24"/>
        </w:rPr>
        <w:t xml:space="preserve"> nexo marital que había entre ellos</w:t>
      </w:r>
      <w:r w:rsidR="00452124" w:rsidRPr="00985F05">
        <w:rPr>
          <w:rFonts w:ascii="Gadugi" w:eastAsia="Georgia" w:hAnsi="Gadugi" w:cs="Georgia"/>
          <w:sz w:val="24"/>
          <w:szCs w:val="24"/>
        </w:rPr>
        <w:t>; ninguna prueba se allegó al plenario con la que se pudiera evidenciar lo contrario. Otra cosa es que</w:t>
      </w:r>
      <w:r w:rsidR="009024C9" w:rsidRPr="00985F05">
        <w:rPr>
          <w:rFonts w:ascii="Gadugi" w:eastAsia="Georgia" w:hAnsi="Gadugi" w:cs="Georgia"/>
          <w:sz w:val="24"/>
          <w:szCs w:val="24"/>
        </w:rPr>
        <w:t xml:space="preserve">, el temprano alejamiento de ella (a dos meses del suceso), aun cuando después pudo haber un reencuentro que, entre otras cosas, la madre Alejandro indicó que se dio en su casa y no en un lugar separado, </w:t>
      </w:r>
      <w:r w:rsidR="00E16F49" w:rsidRPr="00985F05">
        <w:rPr>
          <w:rFonts w:ascii="Gadugi" w:eastAsia="Georgia" w:hAnsi="Gadugi" w:cs="Georgia"/>
          <w:sz w:val="24"/>
          <w:szCs w:val="24"/>
        </w:rPr>
        <w:t xml:space="preserve">y luego su decisión de apartarse para irse a trabajar o al exterior, puedan también conducir a pensar que </w:t>
      </w:r>
      <w:r w:rsidR="00E028E9" w:rsidRPr="00985F05">
        <w:rPr>
          <w:rFonts w:ascii="Gadugi" w:eastAsia="Georgia" w:hAnsi="Gadugi" w:cs="Georgia"/>
          <w:sz w:val="24"/>
          <w:szCs w:val="24"/>
        </w:rPr>
        <w:t>fue menos intensa su aflicción que en el caso de la progenitora</w:t>
      </w:r>
      <w:r w:rsidR="003B7C33" w:rsidRPr="00985F05">
        <w:rPr>
          <w:rFonts w:ascii="Gadugi" w:eastAsia="Georgia" w:hAnsi="Gadugi" w:cs="Georgia"/>
          <w:sz w:val="24"/>
          <w:szCs w:val="24"/>
        </w:rPr>
        <w:t>, máxim</w:t>
      </w:r>
      <w:r w:rsidR="00717D87" w:rsidRPr="00985F05">
        <w:rPr>
          <w:rFonts w:ascii="Gadugi" w:eastAsia="Georgia" w:hAnsi="Gadugi" w:cs="Georgia"/>
          <w:sz w:val="24"/>
          <w:szCs w:val="24"/>
        </w:rPr>
        <w:t>e</w:t>
      </w:r>
      <w:r w:rsidR="003B7C33" w:rsidRPr="00985F05">
        <w:rPr>
          <w:rFonts w:ascii="Gadugi" w:eastAsia="Georgia" w:hAnsi="Gadugi" w:cs="Georgia"/>
          <w:sz w:val="24"/>
          <w:szCs w:val="24"/>
        </w:rPr>
        <w:t xml:space="preserve"> cuando la misma Beatriz explicó que </w:t>
      </w:r>
      <w:r w:rsidR="00C13351" w:rsidRPr="00985F05">
        <w:rPr>
          <w:rFonts w:ascii="Gadugi" w:eastAsia="Georgia" w:hAnsi="Gadugi" w:cs="Georgia"/>
          <w:i/>
          <w:sz w:val="24"/>
          <w:szCs w:val="24"/>
        </w:rPr>
        <w:t>“</w:t>
      </w:r>
      <w:r w:rsidR="00C13351" w:rsidRPr="0006462D">
        <w:rPr>
          <w:rFonts w:ascii="Gadugi" w:eastAsia="Georgia" w:hAnsi="Gadugi" w:cs="Georgia"/>
          <w:i/>
          <w:szCs w:val="24"/>
        </w:rPr>
        <w:t xml:space="preserve">La relación se dañó más que todo a raíz del accidente de él, porque él empezó a ser una persona muy… a raíz del accidente cambió mucho su forma de ser, empezó a ser una persona muy triste, a toda hora como enojado, era muy triste la convivencia con él, porque los dolores no lo dejaban, </w:t>
      </w:r>
      <w:r w:rsidR="00C13351" w:rsidRPr="0006462D">
        <w:rPr>
          <w:rFonts w:ascii="Gadugi" w:eastAsia="Georgia" w:hAnsi="Gadugi" w:cs="Georgia"/>
          <w:i/>
          <w:szCs w:val="24"/>
        </w:rPr>
        <w:lastRenderedPageBreak/>
        <w:t>sexualmente tampoco podía estar bien</w:t>
      </w:r>
      <w:r w:rsidR="00C13351" w:rsidRPr="00985F05">
        <w:rPr>
          <w:rFonts w:ascii="Gadugi" w:eastAsia="Georgia" w:hAnsi="Gadugi" w:cs="Georgia"/>
          <w:i/>
          <w:sz w:val="24"/>
          <w:szCs w:val="24"/>
        </w:rPr>
        <w:t xml:space="preserve">”. </w:t>
      </w:r>
      <w:r w:rsidR="00C13351" w:rsidRPr="00985F05">
        <w:rPr>
          <w:rFonts w:ascii="Gadugi" w:eastAsia="Georgia" w:hAnsi="Gadugi" w:cs="Georgia"/>
          <w:sz w:val="24"/>
          <w:szCs w:val="24"/>
        </w:rPr>
        <w:t xml:space="preserve">Y señaló también, cuando se le preguntó expresamente qué perjuicio sufrió con las lesiones de Alejandro, que deriva del hecho de que ya no le podía colaborar económicamente. </w:t>
      </w:r>
      <w:r w:rsidR="00643699" w:rsidRPr="00985F05">
        <w:rPr>
          <w:rFonts w:ascii="Gadugi" w:eastAsia="Georgia" w:hAnsi="Gadugi" w:cs="Georgia"/>
          <w:sz w:val="24"/>
          <w:szCs w:val="24"/>
        </w:rPr>
        <w:t xml:space="preserve">Es decir, </w:t>
      </w:r>
      <w:r w:rsidR="002C1E78" w:rsidRPr="00985F05">
        <w:rPr>
          <w:rFonts w:ascii="Gadugi" w:eastAsia="Georgia" w:hAnsi="Gadugi" w:cs="Georgia"/>
          <w:sz w:val="24"/>
          <w:szCs w:val="24"/>
        </w:rPr>
        <w:t xml:space="preserve">que decidió dejar de lado </w:t>
      </w:r>
      <w:r w:rsidR="00C13351" w:rsidRPr="00985F05">
        <w:rPr>
          <w:rFonts w:ascii="Gadugi" w:eastAsia="Georgia" w:hAnsi="Gadugi" w:cs="Georgia"/>
          <w:sz w:val="24"/>
          <w:szCs w:val="24"/>
        </w:rPr>
        <w:t>sus compromisos como compañera</w:t>
      </w:r>
      <w:r w:rsidR="00AB540E" w:rsidRPr="00985F05">
        <w:rPr>
          <w:rFonts w:ascii="Gadugi" w:eastAsia="Georgia" w:hAnsi="Gadugi" w:cs="Georgia"/>
          <w:sz w:val="24"/>
          <w:szCs w:val="24"/>
        </w:rPr>
        <w:t>,</w:t>
      </w:r>
      <w:r w:rsidR="00C13351" w:rsidRPr="00985F05">
        <w:rPr>
          <w:rFonts w:ascii="Gadugi" w:eastAsia="Georgia" w:hAnsi="Gadugi" w:cs="Georgia"/>
          <w:sz w:val="24"/>
          <w:szCs w:val="24"/>
        </w:rPr>
        <w:t xml:space="preserve"> de socorrerlo y auxiliarlo </w:t>
      </w:r>
      <w:r w:rsidR="002C1E78" w:rsidRPr="00985F05">
        <w:rPr>
          <w:rFonts w:ascii="Gadugi" w:eastAsia="Georgia" w:hAnsi="Gadugi" w:cs="Georgia"/>
          <w:sz w:val="24"/>
          <w:szCs w:val="24"/>
        </w:rPr>
        <w:t>para</w:t>
      </w:r>
      <w:r w:rsidR="00C13351" w:rsidRPr="00985F05">
        <w:rPr>
          <w:rFonts w:ascii="Gadugi" w:eastAsia="Georgia" w:hAnsi="Gadugi" w:cs="Georgia"/>
          <w:sz w:val="24"/>
          <w:szCs w:val="24"/>
        </w:rPr>
        <w:t>, en lugar de eso, irse al lado de sus progenitores</w:t>
      </w:r>
      <w:r w:rsidR="002C1E78" w:rsidRPr="00985F05">
        <w:rPr>
          <w:rFonts w:ascii="Gadugi" w:eastAsia="Georgia" w:hAnsi="Gadugi" w:cs="Georgia"/>
          <w:sz w:val="24"/>
          <w:szCs w:val="24"/>
        </w:rPr>
        <w:t xml:space="preserve"> y posteriormente alejarse </w:t>
      </w:r>
      <w:r w:rsidR="0094519C" w:rsidRPr="00985F05">
        <w:rPr>
          <w:rFonts w:ascii="Gadugi" w:eastAsia="Georgia" w:hAnsi="Gadugi" w:cs="Georgia"/>
          <w:sz w:val="24"/>
          <w:szCs w:val="24"/>
        </w:rPr>
        <w:t xml:space="preserve">para poder trabajar </w:t>
      </w:r>
      <w:r w:rsidR="00717D87" w:rsidRPr="00985F05">
        <w:rPr>
          <w:rFonts w:ascii="Gadugi" w:eastAsia="Georgia" w:hAnsi="Gadugi" w:cs="Georgia"/>
          <w:sz w:val="24"/>
          <w:szCs w:val="24"/>
        </w:rPr>
        <w:t xml:space="preserve">y viajar </w:t>
      </w:r>
      <w:r w:rsidR="0094519C" w:rsidRPr="00985F05">
        <w:rPr>
          <w:rFonts w:ascii="Gadugi" w:eastAsia="Georgia" w:hAnsi="Gadugi" w:cs="Georgia"/>
          <w:sz w:val="24"/>
          <w:szCs w:val="24"/>
        </w:rPr>
        <w:t xml:space="preserve">al exterior. </w:t>
      </w:r>
    </w:p>
    <w:p w14:paraId="447C984A" w14:textId="77777777" w:rsidR="0094519C" w:rsidRPr="00985F05" w:rsidRDefault="0094519C" w:rsidP="00985F05">
      <w:pPr>
        <w:jc w:val="both"/>
        <w:rPr>
          <w:rFonts w:ascii="Gadugi" w:eastAsia="Georgia" w:hAnsi="Gadugi" w:cs="Georgia"/>
          <w:sz w:val="24"/>
          <w:szCs w:val="24"/>
        </w:rPr>
      </w:pPr>
    </w:p>
    <w:p w14:paraId="4EE08BC7" w14:textId="3DE2D533" w:rsidR="00C13351" w:rsidRPr="00985F05" w:rsidRDefault="0094519C" w:rsidP="00985F05">
      <w:pPr>
        <w:jc w:val="both"/>
        <w:rPr>
          <w:rFonts w:ascii="Gadugi" w:eastAsia="Georgia" w:hAnsi="Gadugi" w:cs="Georgia"/>
          <w:sz w:val="24"/>
          <w:szCs w:val="24"/>
        </w:rPr>
      </w:pPr>
      <w:r w:rsidRPr="00985F05">
        <w:rPr>
          <w:rFonts w:ascii="Gadugi" w:eastAsia="Georgia" w:hAnsi="Gadugi" w:cs="Georgia"/>
          <w:sz w:val="24"/>
          <w:szCs w:val="24"/>
        </w:rPr>
        <w:t>Por ello, la Sala estima que</w:t>
      </w:r>
      <w:r w:rsidR="007E1969" w:rsidRPr="00985F05">
        <w:rPr>
          <w:rFonts w:ascii="Gadugi" w:eastAsia="Georgia" w:hAnsi="Gadugi" w:cs="Georgia"/>
          <w:sz w:val="24"/>
          <w:szCs w:val="24"/>
        </w:rPr>
        <w:t xml:space="preserve">, ante las circunstancias aludidas, el reconocimiento del daño ha debido darse y compensarlo con una suma que, dentro del arbitrio propio del juez para su tasación, </w:t>
      </w:r>
      <w:r w:rsidR="00222262" w:rsidRPr="00985F05">
        <w:rPr>
          <w:rFonts w:ascii="Gadugi" w:eastAsia="Georgia" w:hAnsi="Gadugi" w:cs="Georgia"/>
          <w:sz w:val="24"/>
          <w:szCs w:val="24"/>
        </w:rPr>
        <w:t xml:space="preserve">pues </w:t>
      </w:r>
      <w:r w:rsidR="007E1969" w:rsidRPr="00985F05">
        <w:rPr>
          <w:rFonts w:ascii="Gadugi" w:eastAsia="Georgia" w:hAnsi="Gadugi" w:cs="Georgia"/>
          <w:sz w:val="24"/>
          <w:szCs w:val="24"/>
        </w:rPr>
        <w:t xml:space="preserve">que se trata </w:t>
      </w:r>
      <w:r w:rsidR="00222262" w:rsidRPr="00985F05">
        <w:rPr>
          <w:rFonts w:ascii="Gadugi" w:eastAsia="Georgia" w:hAnsi="Gadugi" w:cs="Georgia"/>
          <w:sz w:val="24"/>
          <w:szCs w:val="24"/>
        </w:rPr>
        <w:t xml:space="preserve">en realidad </w:t>
      </w:r>
      <w:r w:rsidR="007E1969" w:rsidRPr="00985F05">
        <w:rPr>
          <w:rFonts w:ascii="Gadugi" w:eastAsia="Georgia" w:hAnsi="Gadugi" w:cs="Georgia"/>
          <w:sz w:val="24"/>
          <w:szCs w:val="24"/>
        </w:rPr>
        <w:t xml:space="preserve">de un </w:t>
      </w:r>
      <w:r w:rsidR="00222262" w:rsidRPr="00985F05">
        <w:rPr>
          <w:rFonts w:ascii="Gadugi" w:eastAsia="Georgia" w:hAnsi="Gadugi" w:cs="Georgia"/>
          <w:sz w:val="24"/>
          <w:szCs w:val="24"/>
        </w:rPr>
        <w:t xml:space="preserve">paliativo, </w:t>
      </w:r>
      <w:r w:rsidR="00717D87" w:rsidRPr="00985F05">
        <w:rPr>
          <w:rFonts w:ascii="Gadugi" w:eastAsia="Georgia" w:hAnsi="Gadugi" w:cs="Georgia"/>
          <w:sz w:val="24"/>
          <w:szCs w:val="24"/>
        </w:rPr>
        <w:t xml:space="preserve">será </w:t>
      </w:r>
      <w:r w:rsidR="00222262" w:rsidRPr="00985F05">
        <w:rPr>
          <w:rFonts w:ascii="Gadugi" w:eastAsia="Georgia" w:hAnsi="Gadugi" w:cs="Georgia"/>
          <w:sz w:val="24"/>
          <w:szCs w:val="24"/>
        </w:rPr>
        <w:t>de $10</w:t>
      </w:r>
      <w:r w:rsidR="00C457E5" w:rsidRPr="00985F05">
        <w:rPr>
          <w:rFonts w:ascii="Gadugi" w:eastAsia="Georgia" w:hAnsi="Gadugi" w:cs="Georgia"/>
          <w:sz w:val="24"/>
          <w:szCs w:val="24"/>
        </w:rPr>
        <w:t>’000.000</w:t>
      </w:r>
      <w:r w:rsidR="00E350E4">
        <w:rPr>
          <w:rFonts w:ascii="Gadugi" w:eastAsia="Georgia" w:hAnsi="Gadugi" w:cs="Georgia"/>
          <w:sz w:val="24"/>
          <w:szCs w:val="24"/>
        </w:rPr>
        <w:t>,00</w:t>
      </w:r>
      <w:r w:rsidR="00C457E5" w:rsidRPr="00985F05">
        <w:rPr>
          <w:rFonts w:ascii="Gadugi" w:eastAsia="Georgia" w:hAnsi="Gadugi" w:cs="Georgia"/>
          <w:sz w:val="24"/>
          <w:szCs w:val="24"/>
        </w:rPr>
        <w:t xml:space="preserve">. </w:t>
      </w:r>
    </w:p>
    <w:p w14:paraId="69B213C1" w14:textId="6FACCC92" w:rsidR="00C457E5" w:rsidRPr="00985F05" w:rsidRDefault="00C457E5" w:rsidP="00985F05">
      <w:pPr>
        <w:jc w:val="both"/>
        <w:rPr>
          <w:rFonts w:ascii="Gadugi" w:eastAsia="Georgia" w:hAnsi="Gadugi" w:cs="Georgia"/>
          <w:sz w:val="24"/>
          <w:szCs w:val="24"/>
        </w:rPr>
      </w:pPr>
    </w:p>
    <w:p w14:paraId="5330E7BC" w14:textId="283073BD" w:rsidR="00C457E5" w:rsidRPr="00985F05" w:rsidRDefault="00C457E5" w:rsidP="00985F05">
      <w:pPr>
        <w:jc w:val="both"/>
        <w:rPr>
          <w:rFonts w:ascii="Gadugi" w:eastAsia="Georgia" w:hAnsi="Gadugi" w:cs="Georgia"/>
          <w:sz w:val="24"/>
          <w:szCs w:val="24"/>
        </w:rPr>
      </w:pPr>
      <w:r w:rsidRPr="00985F05">
        <w:rPr>
          <w:rFonts w:ascii="Gadugi" w:eastAsia="Georgia" w:hAnsi="Gadugi" w:cs="Georgia"/>
          <w:sz w:val="24"/>
          <w:szCs w:val="24"/>
        </w:rPr>
        <w:t xml:space="preserve">En ese sentido se revocará parcialmente el fallo. </w:t>
      </w:r>
    </w:p>
    <w:p w14:paraId="65D4E749" w14:textId="33B9BC41" w:rsidR="00C457E5" w:rsidRPr="00985F05" w:rsidRDefault="00C457E5" w:rsidP="00985F05">
      <w:pPr>
        <w:jc w:val="both"/>
        <w:rPr>
          <w:rFonts w:ascii="Gadugi" w:eastAsia="Georgia" w:hAnsi="Gadugi" w:cs="Georgia"/>
          <w:sz w:val="24"/>
          <w:szCs w:val="24"/>
        </w:rPr>
      </w:pPr>
    </w:p>
    <w:p w14:paraId="0C3786CD" w14:textId="08AE3F93" w:rsidR="00C40A69" w:rsidRPr="00985F05" w:rsidRDefault="008365B8" w:rsidP="00985F05">
      <w:pPr>
        <w:jc w:val="both"/>
        <w:rPr>
          <w:rFonts w:ascii="Gadugi" w:eastAsia="Georgia" w:hAnsi="Gadugi" w:cs="Georgia"/>
          <w:sz w:val="24"/>
          <w:szCs w:val="24"/>
        </w:rPr>
      </w:pPr>
      <w:r w:rsidRPr="00985F05">
        <w:rPr>
          <w:rFonts w:ascii="Gadugi" w:eastAsia="Georgia" w:hAnsi="Gadugi" w:cs="Georgia"/>
          <w:sz w:val="24"/>
          <w:szCs w:val="24"/>
        </w:rPr>
        <w:t xml:space="preserve">El segundo </w:t>
      </w:r>
      <w:r w:rsidR="00627D34" w:rsidRPr="00985F05">
        <w:rPr>
          <w:rFonts w:ascii="Gadugi" w:eastAsia="Georgia" w:hAnsi="Gadugi" w:cs="Georgia"/>
          <w:sz w:val="24"/>
          <w:szCs w:val="24"/>
        </w:rPr>
        <w:t>reclamo</w:t>
      </w:r>
      <w:r w:rsidRPr="00985F05">
        <w:rPr>
          <w:rFonts w:ascii="Gadugi" w:eastAsia="Georgia" w:hAnsi="Gadugi" w:cs="Georgia"/>
          <w:sz w:val="24"/>
          <w:szCs w:val="24"/>
        </w:rPr>
        <w:t xml:space="preserve">, es decir, el atinente a los intereses que se le debieron imponer a la aseguradora con fundamento en el artículo 1080 del C. de Co., </w:t>
      </w:r>
      <w:r w:rsidR="00627D34" w:rsidRPr="00985F05">
        <w:rPr>
          <w:rFonts w:ascii="Gadugi" w:eastAsia="Georgia" w:hAnsi="Gadugi" w:cs="Georgia"/>
          <w:sz w:val="24"/>
          <w:szCs w:val="24"/>
        </w:rPr>
        <w:t>fracasa</w:t>
      </w:r>
      <w:r w:rsidR="00111DFA" w:rsidRPr="00985F05">
        <w:rPr>
          <w:rFonts w:ascii="Gadugi" w:eastAsia="Georgia" w:hAnsi="Gadugi" w:cs="Georgia"/>
          <w:sz w:val="24"/>
          <w:szCs w:val="24"/>
        </w:rPr>
        <w:t xml:space="preserve"> por una específica razón, consistente en que, al volver la mirada sobre </w:t>
      </w:r>
      <w:r w:rsidR="00CF17E7" w:rsidRPr="00985F05">
        <w:rPr>
          <w:rFonts w:ascii="Gadugi" w:eastAsia="Georgia" w:hAnsi="Gadugi" w:cs="Georgia"/>
          <w:sz w:val="24"/>
          <w:szCs w:val="24"/>
        </w:rPr>
        <w:t xml:space="preserve">la </w:t>
      </w:r>
      <w:r w:rsidR="00CF480A" w:rsidRPr="00985F05">
        <w:rPr>
          <w:rFonts w:ascii="Gadugi" w:eastAsia="Georgia" w:hAnsi="Gadugi" w:cs="Georgia"/>
          <w:sz w:val="24"/>
          <w:szCs w:val="24"/>
        </w:rPr>
        <w:t>demanda</w:t>
      </w:r>
      <w:r w:rsidR="00CF480A" w:rsidRPr="00985F05">
        <w:rPr>
          <w:rStyle w:val="Refdenotaalpie"/>
          <w:rFonts w:ascii="Gadugi" w:eastAsia="Georgia" w:hAnsi="Gadugi" w:cs="Georgia"/>
          <w:sz w:val="24"/>
          <w:szCs w:val="24"/>
        </w:rPr>
        <w:footnoteReference w:id="49"/>
      </w:r>
      <w:r w:rsidR="00CF480A" w:rsidRPr="00985F05">
        <w:rPr>
          <w:rFonts w:ascii="Gadugi" w:eastAsia="Georgia" w:hAnsi="Gadugi" w:cs="Georgia"/>
          <w:sz w:val="24"/>
          <w:szCs w:val="24"/>
        </w:rPr>
        <w:t xml:space="preserve"> </w:t>
      </w:r>
      <w:r w:rsidR="009A0877" w:rsidRPr="00985F05">
        <w:rPr>
          <w:rFonts w:ascii="Gadugi" w:eastAsia="Georgia" w:hAnsi="Gadugi" w:cs="Georgia"/>
          <w:sz w:val="24"/>
          <w:szCs w:val="24"/>
        </w:rPr>
        <w:t xml:space="preserve">y su </w:t>
      </w:r>
      <w:r w:rsidR="00111DFA" w:rsidRPr="00985F05">
        <w:rPr>
          <w:rFonts w:ascii="Gadugi" w:eastAsia="Georgia" w:hAnsi="Gadugi" w:cs="Georgia"/>
          <w:sz w:val="24"/>
          <w:szCs w:val="24"/>
        </w:rPr>
        <w:t>reforma, en la que se presentó debidamente integrada, como debe ser</w:t>
      </w:r>
      <w:r w:rsidR="009A0877" w:rsidRPr="00985F05">
        <w:rPr>
          <w:rStyle w:val="Refdenotaalpie"/>
          <w:rFonts w:ascii="Gadugi" w:eastAsia="Georgia" w:hAnsi="Gadugi" w:cs="Georgia"/>
          <w:sz w:val="24"/>
          <w:szCs w:val="24"/>
        </w:rPr>
        <w:footnoteReference w:id="50"/>
      </w:r>
      <w:r w:rsidR="00111DFA" w:rsidRPr="00985F05">
        <w:rPr>
          <w:rFonts w:ascii="Gadugi" w:eastAsia="Georgia" w:hAnsi="Gadugi" w:cs="Georgia"/>
          <w:sz w:val="24"/>
          <w:szCs w:val="24"/>
        </w:rPr>
        <w:t xml:space="preserve">, </w:t>
      </w:r>
      <w:r w:rsidR="00616FA3" w:rsidRPr="00985F05">
        <w:rPr>
          <w:rFonts w:ascii="Gadugi" w:eastAsia="Georgia" w:hAnsi="Gadugi" w:cs="Georgia"/>
          <w:sz w:val="24"/>
          <w:szCs w:val="24"/>
        </w:rPr>
        <w:t>ninguna pretensión se incluyó sobre ese particular</w:t>
      </w:r>
      <w:r w:rsidR="00680469" w:rsidRPr="00985F05">
        <w:rPr>
          <w:rFonts w:ascii="Gadugi" w:eastAsia="Georgia" w:hAnsi="Gadugi" w:cs="Georgia"/>
          <w:sz w:val="24"/>
          <w:szCs w:val="24"/>
        </w:rPr>
        <w:t>, con lo que, discutirlo ahora, en esta sede, se aparta de la congruencia propia de las decisiones judiciales que, por regla general, deben acompasar, a la luz del artículo 281 del CGP, con los hechos y las pretensiones de la demanda</w:t>
      </w:r>
      <w:r w:rsidR="00177093" w:rsidRPr="00985F05">
        <w:rPr>
          <w:rFonts w:ascii="Gadugi" w:eastAsia="Georgia" w:hAnsi="Gadugi" w:cs="Georgia"/>
          <w:sz w:val="24"/>
          <w:szCs w:val="24"/>
        </w:rPr>
        <w:t xml:space="preserve"> y las excepciones que se propongan cuando la ley las exige (prescripción, compensación y nulidad relativa -art. 282 ib-), salvo que se trate de asuntos que el juez deba resolver de oficio (restituciones mutuas, costas, legitimación en l</w:t>
      </w:r>
      <w:r w:rsidR="004F6DA8" w:rsidRPr="00985F05">
        <w:rPr>
          <w:rFonts w:ascii="Gadugi" w:eastAsia="Georgia" w:hAnsi="Gadugi" w:cs="Georgia"/>
          <w:sz w:val="24"/>
          <w:szCs w:val="24"/>
        </w:rPr>
        <w:t>a causa, por ejemplo) o se le permita decidir extra o ultra petita (asuntos de familia, y procesos agrarios en los que se actúe con amparo de pobreza)</w:t>
      </w:r>
      <w:r w:rsidR="00B2422A" w:rsidRPr="00985F05">
        <w:rPr>
          <w:rFonts w:ascii="Gadugi" w:eastAsia="Georgia" w:hAnsi="Gadugi" w:cs="Georgia"/>
          <w:sz w:val="24"/>
          <w:szCs w:val="24"/>
        </w:rPr>
        <w:t>. Ninguna de estas excepciones ocurre aquí y, por tanto, ajena esa reclamación al debate</w:t>
      </w:r>
      <w:r w:rsidR="00C40A69" w:rsidRPr="00985F05">
        <w:rPr>
          <w:rFonts w:ascii="Gadugi" w:eastAsia="Georgia" w:hAnsi="Gadugi" w:cs="Georgia"/>
          <w:sz w:val="24"/>
          <w:szCs w:val="24"/>
        </w:rPr>
        <w:t>, mal haría la Sala en decidir s</w:t>
      </w:r>
      <w:r w:rsidR="00CF17E7" w:rsidRPr="00985F05">
        <w:rPr>
          <w:rFonts w:ascii="Gadugi" w:eastAsia="Georgia" w:hAnsi="Gadugi" w:cs="Georgia"/>
          <w:sz w:val="24"/>
          <w:szCs w:val="24"/>
        </w:rPr>
        <w:t>i</w:t>
      </w:r>
      <w:r w:rsidR="00C40A69" w:rsidRPr="00985F05">
        <w:rPr>
          <w:rFonts w:ascii="Gadugi" w:eastAsia="Georgia" w:hAnsi="Gadugi" w:cs="Georgia"/>
          <w:sz w:val="24"/>
          <w:szCs w:val="24"/>
        </w:rPr>
        <w:t xml:space="preserve"> reconoce los deprecados intereses en la forma planteada. </w:t>
      </w:r>
    </w:p>
    <w:p w14:paraId="7CE63F5C" w14:textId="77777777" w:rsidR="00C40A69" w:rsidRPr="00985F05" w:rsidRDefault="00C40A69" w:rsidP="00985F05">
      <w:pPr>
        <w:jc w:val="both"/>
        <w:rPr>
          <w:rFonts w:ascii="Gadugi" w:eastAsia="Georgia" w:hAnsi="Gadugi" w:cs="Georgia"/>
          <w:sz w:val="24"/>
          <w:szCs w:val="24"/>
        </w:rPr>
      </w:pPr>
    </w:p>
    <w:p w14:paraId="7D2E22A9" w14:textId="06DC22D2" w:rsidR="008365B8" w:rsidRPr="00985F05" w:rsidRDefault="00C40A69" w:rsidP="00985F05">
      <w:pPr>
        <w:jc w:val="both"/>
        <w:rPr>
          <w:rFonts w:ascii="Gadugi" w:eastAsia="Georgia" w:hAnsi="Gadugi" w:cs="Georgia"/>
          <w:sz w:val="24"/>
          <w:szCs w:val="24"/>
        </w:rPr>
      </w:pPr>
      <w:r w:rsidRPr="00985F05">
        <w:rPr>
          <w:rFonts w:ascii="Gadugi" w:eastAsia="Georgia" w:hAnsi="Gadugi" w:cs="Georgia"/>
          <w:sz w:val="24"/>
          <w:szCs w:val="24"/>
        </w:rPr>
        <w:t xml:space="preserve">2.15. En compendio, se </w:t>
      </w:r>
      <w:r w:rsidR="001F67E2" w:rsidRPr="00985F05">
        <w:rPr>
          <w:rFonts w:ascii="Gadugi" w:eastAsia="Georgia" w:hAnsi="Gadugi" w:cs="Georgia"/>
          <w:sz w:val="24"/>
          <w:szCs w:val="24"/>
        </w:rPr>
        <w:t xml:space="preserve">confirmará el fallo </w:t>
      </w:r>
      <w:r w:rsidR="008E350E" w:rsidRPr="00985F05">
        <w:rPr>
          <w:rFonts w:ascii="Gadugi" w:eastAsia="Georgia" w:hAnsi="Gadugi" w:cs="Georgia"/>
          <w:sz w:val="24"/>
          <w:szCs w:val="24"/>
        </w:rPr>
        <w:t xml:space="preserve">con excepción del </w:t>
      </w:r>
      <w:r w:rsidR="00E95F48" w:rsidRPr="00985F05">
        <w:rPr>
          <w:rFonts w:ascii="Gadugi" w:eastAsia="Georgia" w:hAnsi="Gadugi" w:cs="Georgia"/>
          <w:sz w:val="24"/>
          <w:szCs w:val="24"/>
        </w:rPr>
        <w:t xml:space="preserve">ordinal cuarto que se revocará. En lugar de ello, se adicionará el ordinal segundo para incluir allí a la codemandada Beatriz Elena García Castaño, a quien se le reconocerá, a título de </w:t>
      </w:r>
      <w:r w:rsidR="00F36A21" w:rsidRPr="00985F05">
        <w:rPr>
          <w:rFonts w:ascii="Gadugi" w:eastAsia="Georgia" w:hAnsi="Gadugi" w:cs="Georgia"/>
          <w:sz w:val="24"/>
          <w:szCs w:val="24"/>
        </w:rPr>
        <w:t>daño moral, la suma de $10’000.000,</w:t>
      </w:r>
      <w:r w:rsidR="00DD2C71">
        <w:rPr>
          <w:rFonts w:ascii="Gadugi" w:eastAsia="Georgia" w:hAnsi="Gadugi" w:cs="Georgia"/>
          <w:sz w:val="24"/>
          <w:szCs w:val="24"/>
        </w:rPr>
        <w:t>00</w:t>
      </w:r>
      <w:r w:rsidR="00F36A21" w:rsidRPr="00985F05">
        <w:rPr>
          <w:rFonts w:ascii="Gadugi" w:eastAsia="Georgia" w:hAnsi="Gadugi" w:cs="Georgia"/>
          <w:sz w:val="24"/>
          <w:szCs w:val="24"/>
        </w:rPr>
        <w:t xml:space="preserve">. </w:t>
      </w:r>
    </w:p>
    <w:p w14:paraId="10F26BB5" w14:textId="77777777" w:rsidR="00F36A21" w:rsidRPr="00985F05" w:rsidRDefault="00F36A21" w:rsidP="00985F05">
      <w:pPr>
        <w:jc w:val="both"/>
        <w:rPr>
          <w:rFonts w:ascii="Gadugi" w:eastAsia="Georgia" w:hAnsi="Gadugi" w:cs="Georgia"/>
          <w:sz w:val="24"/>
          <w:szCs w:val="24"/>
        </w:rPr>
      </w:pPr>
    </w:p>
    <w:p w14:paraId="07CB0780" w14:textId="40E1FB8E" w:rsidR="00AB540E" w:rsidRPr="00985F05" w:rsidRDefault="00AB540E" w:rsidP="00985F05">
      <w:pPr>
        <w:jc w:val="both"/>
        <w:rPr>
          <w:rFonts w:ascii="Gadugi" w:eastAsia="Georgia" w:hAnsi="Gadugi" w:cs="Georgia"/>
          <w:sz w:val="24"/>
          <w:szCs w:val="24"/>
        </w:rPr>
      </w:pPr>
      <w:r w:rsidRPr="00985F05">
        <w:rPr>
          <w:rFonts w:ascii="Gadugi" w:eastAsia="Georgia" w:hAnsi="Gadugi" w:cs="Georgia"/>
          <w:sz w:val="24"/>
          <w:szCs w:val="24"/>
        </w:rPr>
        <w:t xml:space="preserve">No habrá condena en costas, ya que </w:t>
      </w:r>
      <w:r w:rsidR="00682897" w:rsidRPr="00985F05">
        <w:rPr>
          <w:rFonts w:ascii="Gadugi" w:eastAsia="Georgia" w:hAnsi="Gadugi" w:cs="Georgia"/>
          <w:sz w:val="24"/>
          <w:szCs w:val="24"/>
        </w:rPr>
        <w:t xml:space="preserve">la sentencia no se confirma ni se revoca en su totalidad (numerales 3 y 4, artículo 365 CGP). </w:t>
      </w:r>
    </w:p>
    <w:p w14:paraId="1AE08773" w14:textId="32B91441" w:rsidR="00AB540E" w:rsidRPr="00985F05" w:rsidRDefault="00AB540E" w:rsidP="00985F05">
      <w:pPr>
        <w:jc w:val="both"/>
        <w:rPr>
          <w:rFonts w:ascii="Gadugi" w:eastAsia="Georgia" w:hAnsi="Gadugi" w:cs="Georgia"/>
          <w:b/>
          <w:sz w:val="24"/>
          <w:szCs w:val="24"/>
        </w:rPr>
      </w:pPr>
    </w:p>
    <w:p w14:paraId="014AD46A" w14:textId="3C08093F" w:rsidR="00AB540E" w:rsidRPr="00985F05" w:rsidRDefault="00AB540E" w:rsidP="00985F05">
      <w:pPr>
        <w:pStyle w:val="Prrafodelista"/>
        <w:numPr>
          <w:ilvl w:val="0"/>
          <w:numId w:val="2"/>
        </w:numPr>
        <w:tabs>
          <w:tab w:val="left" w:pos="426"/>
        </w:tabs>
        <w:ind w:left="0" w:firstLine="0"/>
        <w:jc w:val="both"/>
        <w:rPr>
          <w:rFonts w:ascii="Gadugi" w:eastAsia="Georgia" w:hAnsi="Gadugi" w:cs="Georgia"/>
          <w:b/>
          <w:sz w:val="24"/>
          <w:szCs w:val="24"/>
        </w:rPr>
      </w:pPr>
      <w:r w:rsidRPr="00985F05">
        <w:rPr>
          <w:rFonts w:ascii="Gadugi" w:eastAsia="Georgia" w:hAnsi="Gadugi" w:cs="Georgia"/>
          <w:b/>
          <w:sz w:val="24"/>
          <w:szCs w:val="24"/>
        </w:rPr>
        <w:t>DECISIÓN</w:t>
      </w:r>
    </w:p>
    <w:p w14:paraId="7FBCBBA9" w14:textId="349C87DC" w:rsidR="00C13351" w:rsidRPr="00985F05" w:rsidRDefault="00C13351" w:rsidP="00985F05">
      <w:pPr>
        <w:jc w:val="both"/>
        <w:rPr>
          <w:rFonts w:ascii="Gadugi" w:eastAsia="Georgia" w:hAnsi="Gadugi" w:cs="Georgia"/>
          <w:sz w:val="24"/>
          <w:szCs w:val="24"/>
        </w:rPr>
      </w:pPr>
    </w:p>
    <w:p w14:paraId="35FD042D" w14:textId="7A1EB5C3" w:rsidR="00441143" w:rsidRPr="00985F05" w:rsidRDefault="00AB540E" w:rsidP="00985F05">
      <w:pPr>
        <w:tabs>
          <w:tab w:val="left" w:pos="3686"/>
          <w:tab w:val="left" w:pos="4536"/>
        </w:tabs>
        <w:jc w:val="both"/>
        <w:rPr>
          <w:rFonts w:ascii="Gadugi" w:eastAsia="Georgia" w:hAnsi="Gadugi" w:cs="Georgia"/>
          <w:b/>
          <w:sz w:val="24"/>
          <w:szCs w:val="24"/>
        </w:rPr>
      </w:pPr>
      <w:r w:rsidRPr="00985F05">
        <w:rPr>
          <w:rFonts w:ascii="Gadugi" w:eastAsia="Georgia" w:hAnsi="Gadugi" w:cs="Georgia"/>
          <w:sz w:val="24"/>
          <w:szCs w:val="24"/>
        </w:rPr>
        <w:t xml:space="preserve">En armonía con lo discurrido, esta Sala de Decisión Civil Familia del Tribunal Superior de Pereira, administrando justicia en nombre de la República de Colombia y por autoridad de la Ley, </w:t>
      </w:r>
      <w:r w:rsidRPr="00985F05">
        <w:rPr>
          <w:rFonts w:ascii="Gadugi" w:eastAsia="Georgia" w:hAnsi="Gadugi" w:cs="Georgia"/>
          <w:b/>
          <w:sz w:val="24"/>
          <w:szCs w:val="24"/>
        </w:rPr>
        <w:t>CONFIRMA</w:t>
      </w:r>
      <w:r w:rsidRPr="00985F05">
        <w:rPr>
          <w:rFonts w:ascii="Gadugi" w:eastAsia="Georgia" w:hAnsi="Gadugi" w:cs="Georgia"/>
          <w:sz w:val="24"/>
          <w:szCs w:val="24"/>
        </w:rPr>
        <w:t xml:space="preserve"> </w:t>
      </w:r>
      <w:r w:rsidR="00441143" w:rsidRPr="00985F05">
        <w:rPr>
          <w:rFonts w:ascii="Gadugi" w:eastAsia="Georgia" w:hAnsi="Gadugi" w:cs="Georgia"/>
          <w:sz w:val="24"/>
          <w:szCs w:val="24"/>
        </w:rPr>
        <w:t xml:space="preserve">la sentencia proferida por el Juzgado Tercero Civil del Circuito de </w:t>
      </w:r>
      <w:r w:rsidR="00441143" w:rsidRPr="00985F05">
        <w:rPr>
          <w:rFonts w:ascii="Gadugi" w:eastAsia="Georgia" w:hAnsi="Gadugi" w:cs="Georgia"/>
          <w:sz w:val="24"/>
          <w:szCs w:val="24"/>
        </w:rPr>
        <w:lastRenderedPageBreak/>
        <w:t xml:space="preserve">Pereira - Risaralda, el 14 de diciembre de 2021, en este proceso verbal de responsabilidad civil extracontractual promovido por </w:t>
      </w:r>
      <w:r w:rsidR="00441143" w:rsidRPr="00985F05">
        <w:rPr>
          <w:rFonts w:ascii="Gadugi" w:eastAsia="Georgia" w:hAnsi="Gadugi" w:cs="Georgia"/>
          <w:b/>
          <w:sz w:val="24"/>
          <w:szCs w:val="24"/>
          <w:highlight w:val="white"/>
        </w:rPr>
        <w:t>Alejandro Suárez, Martha Lucía Suárez Cadavid y Beatriz Elena García Castaño</w:t>
      </w:r>
      <w:r w:rsidR="00441143" w:rsidRPr="00985F05">
        <w:rPr>
          <w:rFonts w:ascii="Gadugi" w:eastAsia="Georgia" w:hAnsi="Gadugi" w:cs="Georgia"/>
          <w:b/>
          <w:sz w:val="24"/>
          <w:szCs w:val="24"/>
        </w:rPr>
        <w:t xml:space="preserve"> </w:t>
      </w:r>
      <w:r w:rsidR="00441143" w:rsidRPr="00985F05">
        <w:rPr>
          <w:rFonts w:ascii="Gadugi" w:eastAsia="Georgia" w:hAnsi="Gadugi" w:cs="Georgia"/>
          <w:sz w:val="24"/>
          <w:szCs w:val="24"/>
        </w:rPr>
        <w:t xml:space="preserve">frente a la </w:t>
      </w:r>
      <w:r w:rsidR="00441143" w:rsidRPr="00985F05">
        <w:rPr>
          <w:rFonts w:ascii="Gadugi" w:eastAsia="Georgia" w:hAnsi="Gadugi" w:cs="Georgia"/>
          <w:b/>
          <w:sz w:val="24"/>
          <w:szCs w:val="24"/>
          <w:highlight w:val="white"/>
        </w:rPr>
        <w:t xml:space="preserve">Aseguradora Solidaria de Colombia, </w:t>
      </w:r>
      <w:r w:rsidR="00441143" w:rsidRPr="00985F05">
        <w:rPr>
          <w:rFonts w:ascii="Gadugi" w:eastAsia="Georgia" w:hAnsi="Gadugi" w:cs="Georgia"/>
          <w:bCs/>
          <w:sz w:val="24"/>
          <w:szCs w:val="24"/>
          <w:highlight w:val="white"/>
        </w:rPr>
        <w:t>la sociedad</w:t>
      </w:r>
      <w:r w:rsidR="00441143" w:rsidRPr="00985F05">
        <w:rPr>
          <w:rFonts w:ascii="Gadugi" w:eastAsia="Georgia" w:hAnsi="Gadugi" w:cs="Georgia"/>
          <w:b/>
          <w:sz w:val="24"/>
          <w:szCs w:val="24"/>
          <w:highlight w:val="white"/>
        </w:rPr>
        <w:t xml:space="preserve"> Primer TAX S.A, Brian David Maya Benavidez y Luis Aníbal Maya Angano</w:t>
      </w:r>
      <w:r w:rsidR="0079487E" w:rsidRPr="00985F05">
        <w:rPr>
          <w:rFonts w:ascii="Gadugi" w:eastAsia="Georgia" w:hAnsi="Gadugi" w:cs="Georgia"/>
          <w:b/>
          <w:sz w:val="24"/>
          <w:szCs w:val="24"/>
        </w:rPr>
        <w:t xml:space="preserve">, </w:t>
      </w:r>
      <w:r w:rsidR="0079487E" w:rsidRPr="00985F05">
        <w:rPr>
          <w:rFonts w:ascii="Gadugi" w:eastAsia="Georgia" w:hAnsi="Gadugi" w:cs="Georgia"/>
          <w:bCs/>
          <w:sz w:val="24"/>
          <w:szCs w:val="24"/>
        </w:rPr>
        <w:t xml:space="preserve">con excepción del ordinal cuarto que </w:t>
      </w:r>
      <w:r w:rsidR="0079487E" w:rsidRPr="00985F05">
        <w:rPr>
          <w:rFonts w:ascii="Gadugi" w:eastAsia="Georgia" w:hAnsi="Gadugi" w:cs="Georgia"/>
          <w:b/>
          <w:sz w:val="24"/>
          <w:szCs w:val="24"/>
        </w:rPr>
        <w:t>SE REVOCA</w:t>
      </w:r>
      <w:r w:rsidR="000C36C3" w:rsidRPr="00985F05">
        <w:rPr>
          <w:rFonts w:ascii="Gadugi" w:eastAsia="Georgia" w:hAnsi="Gadugi" w:cs="Georgia"/>
          <w:b/>
          <w:sz w:val="24"/>
          <w:szCs w:val="24"/>
        </w:rPr>
        <w:t xml:space="preserve">. </w:t>
      </w:r>
    </w:p>
    <w:p w14:paraId="072FFF11" w14:textId="5758E127" w:rsidR="000C36C3" w:rsidRPr="00985F05" w:rsidRDefault="000C36C3" w:rsidP="00985F05">
      <w:pPr>
        <w:tabs>
          <w:tab w:val="left" w:pos="3686"/>
          <w:tab w:val="left" w:pos="4536"/>
        </w:tabs>
        <w:jc w:val="both"/>
        <w:rPr>
          <w:rFonts w:ascii="Gadugi" w:eastAsia="Georgia" w:hAnsi="Gadugi" w:cs="Georgia"/>
          <w:b/>
          <w:sz w:val="24"/>
          <w:szCs w:val="24"/>
        </w:rPr>
      </w:pPr>
    </w:p>
    <w:p w14:paraId="07C274EE" w14:textId="32E79C48" w:rsidR="000C36C3" w:rsidRPr="00985F05" w:rsidRDefault="000C36C3" w:rsidP="00985F05">
      <w:pPr>
        <w:tabs>
          <w:tab w:val="left" w:pos="3686"/>
          <w:tab w:val="left" w:pos="4536"/>
        </w:tabs>
        <w:jc w:val="both"/>
        <w:rPr>
          <w:rFonts w:ascii="Gadugi" w:eastAsia="Georgia" w:hAnsi="Gadugi" w:cs="Georgia"/>
          <w:bCs/>
          <w:sz w:val="24"/>
          <w:szCs w:val="24"/>
        </w:rPr>
      </w:pPr>
      <w:r w:rsidRPr="00985F05">
        <w:rPr>
          <w:rFonts w:ascii="Gadugi" w:eastAsia="Georgia" w:hAnsi="Gadugi" w:cs="Georgia"/>
          <w:bCs/>
          <w:sz w:val="24"/>
          <w:szCs w:val="24"/>
        </w:rPr>
        <w:t xml:space="preserve">Como consecuencia de ello, </w:t>
      </w:r>
      <w:r w:rsidR="004A1EE3" w:rsidRPr="00985F05">
        <w:rPr>
          <w:rFonts w:ascii="Gadugi" w:eastAsia="Georgia" w:hAnsi="Gadugi" w:cs="Georgia"/>
          <w:b/>
          <w:sz w:val="24"/>
          <w:szCs w:val="24"/>
        </w:rPr>
        <w:t xml:space="preserve">SE MODIFICA </w:t>
      </w:r>
      <w:r w:rsidRPr="00985F05">
        <w:rPr>
          <w:rFonts w:ascii="Gadugi" w:eastAsia="Georgia" w:hAnsi="Gadugi" w:cs="Georgia"/>
          <w:bCs/>
          <w:sz w:val="24"/>
          <w:szCs w:val="24"/>
        </w:rPr>
        <w:t>el ordinal segundo</w:t>
      </w:r>
      <w:r w:rsidR="004A1EE3" w:rsidRPr="00985F05">
        <w:rPr>
          <w:rFonts w:ascii="Gadugi" w:eastAsia="Georgia" w:hAnsi="Gadugi" w:cs="Georgia"/>
          <w:bCs/>
          <w:sz w:val="24"/>
          <w:szCs w:val="24"/>
        </w:rPr>
        <w:t xml:space="preserve"> que quedará así:</w:t>
      </w:r>
    </w:p>
    <w:p w14:paraId="6689B54A" w14:textId="77777777" w:rsidR="00307EE5" w:rsidRPr="00985F05" w:rsidRDefault="00307EE5" w:rsidP="00985F05">
      <w:pPr>
        <w:tabs>
          <w:tab w:val="left" w:pos="3686"/>
          <w:tab w:val="left" w:pos="4536"/>
        </w:tabs>
        <w:jc w:val="both"/>
        <w:rPr>
          <w:rFonts w:ascii="Gadugi" w:eastAsia="Georgia" w:hAnsi="Gadugi" w:cs="Georgia"/>
          <w:bCs/>
          <w:sz w:val="24"/>
          <w:szCs w:val="24"/>
        </w:rPr>
      </w:pPr>
    </w:p>
    <w:p w14:paraId="3B544EB6" w14:textId="14E75885" w:rsidR="00782D7B" w:rsidRPr="00985F05" w:rsidRDefault="004A1EE3" w:rsidP="00985F05">
      <w:pPr>
        <w:tabs>
          <w:tab w:val="left" w:pos="3686"/>
          <w:tab w:val="left" w:pos="4536"/>
        </w:tabs>
        <w:jc w:val="both"/>
        <w:rPr>
          <w:rFonts w:ascii="Gadugi" w:eastAsia="Georgia" w:hAnsi="Gadugi" w:cs="Georgia"/>
          <w:bCs/>
          <w:i/>
          <w:iCs/>
          <w:sz w:val="24"/>
          <w:szCs w:val="24"/>
        </w:rPr>
      </w:pPr>
      <w:r w:rsidRPr="00985F05">
        <w:rPr>
          <w:rFonts w:ascii="Gadugi" w:eastAsia="Georgia" w:hAnsi="Gadugi" w:cs="Georgia"/>
          <w:bCs/>
          <w:i/>
          <w:iCs/>
          <w:sz w:val="24"/>
          <w:szCs w:val="24"/>
        </w:rPr>
        <w:t>“</w:t>
      </w:r>
      <w:r w:rsidRPr="00985F05">
        <w:rPr>
          <w:rFonts w:ascii="Gadugi" w:eastAsia="Georgia" w:hAnsi="Gadugi" w:cs="Georgia"/>
          <w:b/>
          <w:i/>
          <w:iCs/>
          <w:sz w:val="24"/>
          <w:szCs w:val="24"/>
        </w:rPr>
        <w:t>SEGUNDO</w:t>
      </w:r>
      <w:r w:rsidRPr="00985F05">
        <w:rPr>
          <w:rFonts w:ascii="Gadugi" w:eastAsia="Georgia" w:hAnsi="Gadugi" w:cs="Georgia"/>
          <w:bCs/>
          <w:i/>
          <w:iCs/>
          <w:sz w:val="24"/>
          <w:szCs w:val="24"/>
        </w:rPr>
        <w:t xml:space="preserve">: </w:t>
      </w:r>
      <w:r w:rsidR="00782D7B" w:rsidRPr="00985F05">
        <w:rPr>
          <w:rFonts w:ascii="Gadugi" w:eastAsia="Georgia" w:hAnsi="Gadugi" w:cs="Georgia"/>
          <w:bCs/>
          <w:i/>
          <w:iCs/>
          <w:sz w:val="24"/>
          <w:szCs w:val="24"/>
        </w:rPr>
        <w:t>Declarar que BRIAN DAVID MAYA BENAVIDEZ, LUIS ANÍBAL</w:t>
      </w:r>
      <w:r w:rsidR="0009252D" w:rsidRPr="00985F05">
        <w:rPr>
          <w:rFonts w:ascii="Gadugi" w:eastAsia="Georgia" w:hAnsi="Gadugi" w:cs="Georgia"/>
          <w:bCs/>
          <w:i/>
          <w:iCs/>
          <w:sz w:val="24"/>
          <w:szCs w:val="24"/>
        </w:rPr>
        <w:t xml:space="preserve"> </w:t>
      </w:r>
      <w:r w:rsidR="00782D7B" w:rsidRPr="00985F05">
        <w:rPr>
          <w:rFonts w:ascii="Gadugi" w:eastAsia="Georgia" w:hAnsi="Gadugi" w:cs="Georgia"/>
          <w:bCs/>
          <w:i/>
          <w:iCs/>
          <w:sz w:val="24"/>
          <w:szCs w:val="24"/>
        </w:rPr>
        <w:t>MAYA ANGANO y PRIMER TAX S.A. son solidariamente responsables</w:t>
      </w:r>
      <w:r w:rsidR="0009252D" w:rsidRPr="00985F05">
        <w:rPr>
          <w:rFonts w:ascii="Gadugi" w:eastAsia="Georgia" w:hAnsi="Gadugi" w:cs="Georgia"/>
          <w:bCs/>
          <w:i/>
          <w:iCs/>
          <w:sz w:val="24"/>
          <w:szCs w:val="24"/>
        </w:rPr>
        <w:t xml:space="preserve"> </w:t>
      </w:r>
      <w:r w:rsidR="00782D7B" w:rsidRPr="00985F05">
        <w:rPr>
          <w:rFonts w:ascii="Gadugi" w:eastAsia="Georgia" w:hAnsi="Gadugi" w:cs="Georgia"/>
          <w:bCs/>
          <w:i/>
          <w:iCs/>
          <w:sz w:val="24"/>
          <w:szCs w:val="24"/>
        </w:rPr>
        <w:t>de los perjuicios sufridos por ALEJANDRO SU</w:t>
      </w:r>
      <w:r w:rsidR="0009252D" w:rsidRPr="00985F05">
        <w:rPr>
          <w:rFonts w:ascii="Gadugi" w:eastAsia="Georgia" w:hAnsi="Gadugi" w:cs="Georgia"/>
          <w:bCs/>
          <w:i/>
          <w:iCs/>
          <w:sz w:val="24"/>
          <w:szCs w:val="24"/>
        </w:rPr>
        <w:t>Á</w:t>
      </w:r>
      <w:r w:rsidR="00782D7B" w:rsidRPr="00985F05">
        <w:rPr>
          <w:rFonts w:ascii="Gadugi" w:eastAsia="Georgia" w:hAnsi="Gadugi" w:cs="Georgia"/>
          <w:bCs/>
          <w:i/>
          <w:iCs/>
          <w:sz w:val="24"/>
          <w:szCs w:val="24"/>
        </w:rPr>
        <w:t>REZ CADAVID como víctima directa</w:t>
      </w:r>
      <w:r w:rsidR="0009252D" w:rsidRPr="00985F05">
        <w:rPr>
          <w:rFonts w:ascii="Gadugi" w:eastAsia="Georgia" w:hAnsi="Gadugi" w:cs="Georgia"/>
          <w:bCs/>
          <w:i/>
          <w:iCs/>
          <w:sz w:val="24"/>
          <w:szCs w:val="24"/>
        </w:rPr>
        <w:t>,</w:t>
      </w:r>
      <w:r w:rsidR="00782D7B" w:rsidRPr="00985F05">
        <w:rPr>
          <w:rFonts w:ascii="Gadugi" w:eastAsia="Georgia" w:hAnsi="Gadugi" w:cs="Georgia"/>
          <w:bCs/>
          <w:i/>
          <w:iCs/>
          <w:sz w:val="24"/>
          <w:szCs w:val="24"/>
        </w:rPr>
        <w:t xml:space="preserve"> MARTHA LUC</w:t>
      </w:r>
      <w:r w:rsidR="00E648B1" w:rsidRPr="00985F05">
        <w:rPr>
          <w:rFonts w:ascii="Gadugi" w:eastAsia="Georgia" w:hAnsi="Gadugi" w:cs="Georgia"/>
          <w:bCs/>
          <w:i/>
          <w:iCs/>
          <w:sz w:val="24"/>
          <w:szCs w:val="24"/>
        </w:rPr>
        <w:t>Í</w:t>
      </w:r>
      <w:r w:rsidR="00782D7B" w:rsidRPr="00985F05">
        <w:rPr>
          <w:rFonts w:ascii="Gadugi" w:eastAsia="Georgia" w:hAnsi="Gadugi" w:cs="Georgia"/>
          <w:bCs/>
          <w:i/>
          <w:iCs/>
          <w:sz w:val="24"/>
          <w:szCs w:val="24"/>
        </w:rPr>
        <w:t>A SU</w:t>
      </w:r>
      <w:r w:rsidR="00E648B1" w:rsidRPr="00985F05">
        <w:rPr>
          <w:rFonts w:ascii="Gadugi" w:eastAsia="Georgia" w:hAnsi="Gadugi" w:cs="Georgia"/>
          <w:bCs/>
          <w:i/>
          <w:iCs/>
          <w:sz w:val="24"/>
          <w:szCs w:val="24"/>
        </w:rPr>
        <w:t>Á</w:t>
      </w:r>
      <w:r w:rsidR="00782D7B" w:rsidRPr="00985F05">
        <w:rPr>
          <w:rFonts w:ascii="Gadugi" w:eastAsia="Georgia" w:hAnsi="Gadugi" w:cs="Georgia"/>
          <w:bCs/>
          <w:i/>
          <w:iCs/>
          <w:sz w:val="24"/>
          <w:szCs w:val="24"/>
        </w:rPr>
        <w:t>REZ CADAVID</w:t>
      </w:r>
      <w:r w:rsidR="00E648B1" w:rsidRPr="00985F05">
        <w:rPr>
          <w:rFonts w:ascii="Gadugi" w:eastAsia="Georgia" w:hAnsi="Gadugi" w:cs="Georgia"/>
          <w:bCs/>
          <w:i/>
          <w:iCs/>
          <w:sz w:val="24"/>
          <w:szCs w:val="24"/>
        </w:rPr>
        <w:t>, madre</w:t>
      </w:r>
      <w:r w:rsidR="007A06F3" w:rsidRPr="00985F05">
        <w:rPr>
          <w:rFonts w:ascii="Gadugi" w:eastAsia="Georgia" w:hAnsi="Gadugi" w:cs="Georgia"/>
          <w:bCs/>
          <w:i/>
          <w:iCs/>
          <w:sz w:val="24"/>
          <w:szCs w:val="24"/>
        </w:rPr>
        <w:t>,</w:t>
      </w:r>
      <w:r w:rsidR="00E648B1" w:rsidRPr="00985F05">
        <w:rPr>
          <w:rFonts w:ascii="Gadugi" w:eastAsia="Georgia" w:hAnsi="Gadugi" w:cs="Georgia"/>
          <w:bCs/>
          <w:i/>
          <w:iCs/>
          <w:sz w:val="24"/>
          <w:szCs w:val="24"/>
        </w:rPr>
        <w:t xml:space="preserve"> y </w:t>
      </w:r>
      <w:r w:rsidR="007A06F3" w:rsidRPr="00985F05">
        <w:rPr>
          <w:rFonts w:ascii="Gadugi" w:eastAsia="Georgia" w:hAnsi="Gadugi" w:cs="Georgia"/>
          <w:bCs/>
          <w:i/>
          <w:iCs/>
          <w:sz w:val="24"/>
          <w:szCs w:val="24"/>
        </w:rPr>
        <w:t>BEATRIZ ELENA GARCÍA CASTAÑO, compañera permanente, como víctimas de rebote</w:t>
      </w:r>
      <w:r w:rsidR="00256A54" w:rsidRPr="00985F05">
        <w:rPr>
          <w:rFonts w:ascii="Gadugi" w:eastAsia="Georgia" w:hAnsi="Gadugi" w:cs="Georgia"/>
          <w:bCs/>
          <w:i/>
          <w:iCs/>
          <w:sz w:val="24"/>
          <w:szCs w:val="24"/>
        </w:rPr>
        <w:t xml:space="preserve">. En </w:t>
      </w:r>
      <w:r w:rsidR="00623289" w:rsidRPr="00985F05">
        <w:rPr>
          <w:rFonts w:ascii="Gadugi" w:eastAsia="Georgia" w:hAnsi="Gadugi" w:cs="Georgia"/>
          <w:bCs/>
          <w:i/>
          <w:iCs/>
          <w:sz w:val="24"/>
          <w:szCs w:val="24"/>
        </w:rPr>
        <w:t>consecuencia,</w:t>
      </w:r>
      <w:r w:rsidR="00256A54" w:rsidRPr="00985F05">
        <w:rPr>
          <w:rFonts w:ascii="Gadugi" w:eastAsia="Georgia" w:hAnsi="Gadugi" w:cs="Georgia"/>
          <w:bCs/>
          <w:i/>
          <w:iCs/>
          <w:sz w:val="24"/>
          <w:szCs w:val="24"/>
        </w:rPr>
        <w:t xml:space="preserve"> </w:t>
      </w:r>
      <w:r w:rsidR="00782D7B" w:rsidRPr="00985F05">
        <w:rPr>
          <w:rFonts w:ascii="Gadugi" w:eastAsia="Georgia" w:hAnsi="Gadugi" w:cs="Georgia"/>
          <w:bCs/>
          <w:i/>
          <w:iCs/>
          <w:sz w:val="24"/>
          <w:szCs w:val="24"/>
        </w:rPr>
        <w:t>deberán</w:t>
      </w:r>
      <w:r w:rsidR="00256A54" w:rsidRPr="00985F05">
        <w:rPr>
          <w:rFonts w:ascii="Gadugi" w:eastAsia="Georgia" w:hAnsi="Gadugi" w:cs="Georgia"/>
          <w:bCs/>
          <w:i/>
          <w:iCs/>
          <w:sz w:val="24"/>
          <w:szCs w:val="24"/>
        </w:rPr>
        <w:t xml:space="preserve"> </w:t>
      </w:r>
      <w:r w:rsidR="00782D7B" w:rsidRPr="00985F05">
        <w:rPr>
          <w:rFonts w:ascii="Gadugi" w:eastAsia="Georgia" w:hAnsi="Gadugi" w:cs="Georgia"/>
          <w:bCs/>
          <w:i/>
          <w:iCs/>
          <w:sz w:val="24"/>
          <w:szCs w:val="24"/>
        </w:rPr>
        <w:t>indemnizarlos con las siguientes sumas de dinero:</w:t>
      </w:r>
    </w:p>
    <w:p w14:paraId="6D3C24FB" w14:textId="77777777" w:rsidR="00256A54" w:rsidRPr="00985F05" w:rsidRDefault="00256A54" w:rsidP="00985F05">
      <w:pPr>
        <w:tabs>
          <w:tab w:val="left" w:pos="3686"/>
          <w:tab w:val="left" w:pos="4536"/>
        </w:tabs>
        <w:jc w:val="both"/>
        <w:rPr>
          <w:rFonts w:ascii="Gadugi" w:eastAsia="Georgia" w:hAnsi="Gadugi" w:cs="Georgia"/>
          <w:bCs/>
          <w:i/>
          <w:iCs/>
          <w:sz w:val="24"/>
          <w:szCs w:val="24"/>
        </w:rPr>
      </w:pPr>
    </w:p>
    <w:p w14:paraId="2C5C7B81" w14:textId="74EE18D9" w:rsidR="00782D7B" w:rsidRPr="00985F05" w:rsidRDefault="00782D7B" w:rsidP="00985F05">
      <w:pPr>
        <w:tabs>
          <w:tab w:val="left" w:pos="3686"/>
          <w:tab w:val="left" w:pos="4536"/>
        </w:tabs>
        <w:jc w:val="both"/>
        <w:rPr>
          <w:rFonts w:ascii="Gadugi" w:eastAsia="Georgia" w:hAnsi="Gadugi" w:cs="Georgia"/>
          <w:bCs/>
          <w:i/>
          <w:iCs/>
          <w:sz w:val="24"/>
          <w:szCs w:val="24"/>
        </w:rPr>
      </w:pPr>
      <w:r w:rsidRPr="00985F05">
        <w:rPr>
          <w:rFonts w:ascii="Gadugi" w:eastAsia="Georgia" w:hAnsi="Gadugi" w:cs="Georgia"/>
          <w:bCs/>
          <w:i/>
          <w:iCs/>
          <w:sz w:val="24"/>
          <w:szCs w:val="24"/>
        </w:rPr>
        <w:t>PERJUICIOS MORALES PARA ALEJANDRO SUAREZ $ 40.000.000</w:t>
      </w:r>
    </w:p>
    <w:p w14:paraId="18A8A726" w14:textId="2DE1BEE5" w:rsidR="00782D7B" w:rsidRPr="00985F05" w:rsidRDefault="00782D7B" w:rsidP="00985F05">
      <w:pPr>
        <w:tabs>
          <w:tab w:val="left" w:pos="3686"/>
          <w:tab w:val="left" w:pos="4536"/>
        </w:tabs>
        <w:jc w:val="both"/>
        <w:rPr>
          <w:rFonts w:ascii="Gadugi" w:eastAsia="Georgia" w:hAnsi="Gadugi" w:cs="Georgia"/>
          <w:bCs/>
          <w:i/>
          <w:iCs/>
          <w:sz w:val="24"/>
          <w:szCs w:val="24"/>
        </w:rPr>
      </w:pPr>
      <w:r w:rsidRPr="00985F05">
        <w:rPr>
          <w:rFonts w:ascii="Gadugi" w:eastAsia="Georgia" w:hAnsi="Gadugi" w:cs="Georgia"/>
          <w:bCs/>
          <w:i/>
          <w:iCs/>
          <w:sz w:val="24"/>
          <w:szCs w:val="24"/>
        </w:rPr>
        <w:t>DAÑO EN LA VIDA EN RELACIÓN para ALEJANDRO SUAREZ:</w:t>
      </w:r>
      <w:r w:rsidR="00256A54" w:rsidRPr="00985F05">
        <w:rPr>
          <w:rFonts w:ascii="Gadugi" w:eastAsia="Georgia" w:hAnsi="Gadugi" w:cs="Georgia"/>
          <w:bCs/>
          <w:i/>
          <w:iCs/>
          <w:sz w:val="24"/>
          <w:szCs w:val="24"/>
        </w:rPr>
        <w:t xml:space="preserve"> </w:t>
      </w:r>
      <w:r w:rsidRPr="00985F05">
        <w:rPr>
          <w:rFonts w:ascii="Gadugi" w:eastAsia="Georgia" w:hAnsi="Gadugi" w:cs="Georgia"/>
          <w:bCs/>
          <w:i/>
          <w:iCs/>
          <w:sz w:val="24"/>
          <w:szCs w:val="24"/>
        </w:rPr>
        <w:t>$40.000.000</w:t>
      </w:r>
    </w:p>
    <w:p w14:paraId="19212078" w14:textId="6C649998" w:rsidR="00782D7B" w:rsidRPr="00985F05" w:rsidRDefault="00782D7B" w:rsidP="00985F05">
      <w:pPr>
        <w:tabs>
          <w:tab w:val="left" w:pos="3686"/>
          <w:tab w:val="left" w:pos="4536"/>
        </w:tabs>
        <w:jc w:val="both"/>
        <w:rPr>
          <w:rFonts w:ascii="Gadugi" w:eastAsia="Georgia" w:hAnsi="Gadugi" w:cs="Georgia"/>
          <w:bCs/>
          <w:i/>
          <w:iCs/>
          <w:sz w:val="24"/>
          <w:szCs w:val="24"/>
        </w:rPr>
      </w:pPr>
      <w:r w:rsidRPr="00985F05">
        <w:rPr>
          <w:rFonts w:ascii="Gadugi" w:eastAsia="Georgia" w:hAnsi="Gadugi" w:cs="Georgia"/>
          <w:bCs/>
          <w:i/>
          <w:iCs/>
          <w:sz w:val="24"/>
          <w:szCs w:val="24"/>
        </w:rPr>
        <w:t>COMO DAÑO EMERGENTE para ALEJANDRO SUAREZ:</w:t>
      </w:r>
      <w:r w:rsidR="00256A54" w:rsidRPr="00985F05">
        <w:rPr>
          <w:rFonts w:ascii="Gadugi" w:eastAsia="Georgia" w:hAnsi="Gadugi" w:cs="Georgia"/>
          <w:bCs/>
          <w:i/>
          <w:iCs/>
          <w:sz w:val="24"/>
          <w:szCs w:val="24"/>
        </w:rPr>
        <w:t xml:space="preserve"> </w:t>
      </w:r>
      <w:r w:rsidRPr="00985F05">
        <w:rPr>
          <w:rFonts w:ascii="Gadugi" w:eastAsia="Georgia" w:hAnsi="Gadugi" w:cs="Georgia"/>
          <w:bCs/>
          <w:i/>
          <w:iCs/>
          <w:sz w:val="24"/>
          <w:szCs w:val="24"/>
        </w:rPr>
        <w:t>$1.118.000.</w:t>
      </w:r>
    </w:p>
    <w:p w14:paraId="12F0D5CB" w14:textId="77777777" w:rsidR="00782D7B" w:rsidRPr="00985F05" w:rsidRDefault="00782D7B" w:rsidP="00985F05">
      <w:pPr>
        <w:tabs>
          <w:tab w:val="left" w:pos="3686"/>
          <w:tab w:val="left" w:pos="4536"/>
        </w:tabs>
        <w:jc w:val="both"/>
        <w:rPr>
          <w:rFonts w:ascii="Gadugi" w:eastAsia="Georgia" w:hAnsi="Gadugi" w:cs="Georgia"/>
          <w:bCs/>
          <w:i/>
          <w:iCs/>
          <w:sz w:val="24"/>
          <w:szCs w:val="24"/>
        </w:rPr>
      </w:pPr>
      <w:r w:rsidRPr="00985F05">
        <w:rPr>
          <w:rFonts w:ascii="Gadugi" w:eastAsia="Georgia" w:hAnsi="Gadugi" w:cs="Georgia"/>
          <w:bCs/>
          <w:i/>
          <w:iCs/>
          <w:sz w:val="24"/>
          <w:szCs w:val="24"/>
        </w:rPr>
        <w:t>LUCRO CESANTE FUTURO PARA ALEJANDRO SUAREZ: $9.557.300</w:t>
      </w:r>
    </w:p>
    <w:p w14:paraId="7695492E" w14:textId="2AC35B06" w:rsidR="00782D7B" w:rsidRPr="00985F05" w:rsidRDefault="00782D7B" w:rsidP="00985F05">
      <w:pPr>
        <w:tabs>
          <w:tab w:val="left" w:pos="3686"/>
          <w:tab w:val="left" w:pos="4536"/>
        </w:tabs>
        <w:jc w:val="both"/>
        <w:rPr>
          <w:rFonts w:ascii="Gadugi" w:eastAsia="Georgia" w:hAnsi="Gadugi" w:cs="Georgia"/>
          <w:bCs/>
          <w:i/>
          <w:iCs/>
          <w:sz w:val="24"/>
          <w:szCs w:val="24"/>
        </w:rPr>
      </w:pPr>
      <w:r w:rsidRPr="00985F05">
        <w:rPr>
          <w:rFonts w:ascii="Gadugi" w:eastAsia="Georgia" w:hAnsi="Gadugi" w:cs="Georgia"/>
          <w:bCs/>
          <w:i/>
          <w:iCs/>
          <w:sz w:val="24"/>
          <w:szCs w:val="24"/>
        </w:rPr>
        <w:t>PERJUICIOS MORALES PARA MARTHA LUCIA SUAREZ CADAVID:</w:t>
      </w:r>
      <w:r w:rsidR="00C25FCD" w:rsidRPr="00985F05">
        <w:rPr>
          <w:rFonts w:ascii="Gadugi" w:eastAsia="Georgia" w:hAnsi="Gadugi" w:cs="Georgia"/>
          <w:bCs/>
          <w:i/>
          <w:iCs/>
          <w:sz w:val="24"/>
          <w:szCs w:val="24"/>
        </w:rPr>
        <w:t xml:space="preserve"> </w:t>
      </w:r>
      <w:r w:rsidRPr="00985F05">
        <w:rPr>
          <w:rFonts w:ascii="Gadugi" w:eastAsia="Georgia" w:hAnsi="Gadugi" w:cs="Georgia"/>
          <w:bCs/>
          <w:i/>
          <w:iCs/>
          <w:sz w:val="24"/>
          <w:szCs w:val="24"/>
        </w:rPr>
        <w:t>$30.000.000.</w:t>
      </w:r>
    </w:p>
    <w:p w14:paraId="2387CDC0" w14:textId="44E8E010" w:rsidR="00C25FCD" w:rsidRPr="00985F05" w:rsidRDefault="00C25FCD" w:rsidP="00985F05">
      <w:pPr>
        <w:tabs>
          <w:tab w:val="left" w:pos="3686"/>
          <w:tab w:val="left" w:pos="4536"/>
        </w:tabs>
        <w:jc w:val="both"/>
        <w:rPr>
          <w:rFonts w:ascii="Gadugi" w:eastAsia="Georgia" w:hAnsi="Gadugi" w:cs="Georgia"/>
          <w:bCs/>
          <w:i/>
          <w:iCs/>
          <w:sz w:val="24"/>
          <w:szCs w:val="24"/>
        </w:rPr>
      </w:pPr>
      <w:r w:rsidRPr="00985F05">
        <w:rPr>
          <w:rFonts w:ascii="Gadugi" w:eastAsia="Georgia" w:hAnsi="Gadugi" w:cs="Georgia"/>
          <w:bCs/>
          <w:i/>
          <w:iCs/>
          <w:sz w:val="24"/>
          <w:szCs w:val="24"/>
        </w:rPr>
        <w:t>PERJUICIOS MORALES PARA BEATRIZ ELENA GARCÍA CASTAÑO: $10</w:t>
      </w:r>
      <w:r w:rsidR="00285EB6" w:rsidRPr="00985F05">
        <w:rPr>
          <w:rFonts w:ascii="Gadugi" w:eastAsia="Georgia" w:hAnsi="Gadugi" w:cs="Georgia"/>
          <w:bCs/>
          <w:i/>
          <w:iCs/>
          <w:sz w:val="24"/>
          <w:szCs w:val="24"/>
        </w:rPr>
        <w:t>’</w:t>
      </w:r>
      <w:r w:rsidRPr="00985F05">
        <w:rPr>
          <w:rFonts w:ascii="Gadugi" w:eastAsia="Georgia" w:hAnsi="Gadugi" w:cs="Georgia"/>
          <w:bCs/>
          <w:i/>
          <w:iCs/>
          <w:sz w:val="24"/>
          <w:szCs w:val="24"/>
        </w:rPr>
        <w:t>000.000</w:t>
      </w:r>
      <w:r w:rsidR="00285EB6" w:rsidRPr="00985F05">
        <w:rPr>
          <w:rFonts w:ascii="Gadugi" w:eastAsia="Georgia" w:hAnsi="Gadugi" w:cs="Georgia"/>
          <w:bCs/>
          <w:i/>
          <w:iCs/>
          <w:sz w:val="24"/>
          <w:szCs w:val="24"/>
        </w:rPr>
        <w:t>.</w:t>
      </w:r>
    </w:p>
    <w:p w14:paraId="5D106684" w14:textId="77777777" w:rsidR="00285EB6" w:rsidRPr="00985F05" w:rsidRDefault="00285EB6" w:rsidP="00985F05">
      <w:pPr>
        <w:tabs>
          <w:tab w:val="left" w:pos="3686"/>
          <w:tab w:val="left" w:pos="4536"/>
        </w:tabs>
        <w:jc w:val="both"/>
        <w:rPr>
          <w:rFonts w:ascii="Gadugi" w:eastAsia="Georgia" w:hAnsi="Gadugi" w:cs="Georgia"/>
          <w:bCs/>
          <w:i/>
          <w:iCs/>
          <w:sz w:val="24"/>
          <w:szCs w:val="24"/>
        </w:rPr>
      </w:pPr>
    </w:p>
    <w:p w14:paraId="704FBFDB" w14:textId="06024973" w:rsidR="004A1EE3" w:rsidRPr="00985F05" w:rsidRDefault="00782D7B" w:rsidP="00985F05">
      <w:pPr>
        <w:tabs>
          <w:tab w:val="left" w:pos="3686"/>
          <w:tab w:val="left" w:pos="4536"/>
        </w:tabs>
        <w:jc w:val="both"/>
        <w:rPr>
          <w:rFonts w:ascii="Gadugi" w:eastAsia="Georgia" w:hAnsi="Gadugi" w:cs="Georgia"/>
          <w:bCs/>
          <w:i/>
          <w:iCs/>
          <w:sz w:val="24"/>
          <w:szCs w:val="24"/>
        </w:rPr>
      </w:pPr>
      <w:r w:rsidRPr="00985F05">
        <w:rPr>
          <w:rFonts w:ascii="Gadugi" w:eastAsia="Georgia" w:hAnsi="Gadugi" w:cs="Georgia"/>
          <w:bCs/>
          <w:i/>
          <w:iCs/>
          <w:sz w:val="24"/>
          <w:szCs w:val="24"/>
        </w:rPr>
        <w:t>Sumas que devengaran intereses al 6% anual</w:t>
      </w:r>
      <w:r w:rsidR="00285EB6" w:rsidRPr="00985F05">
        <w:rPr>
          <w:rFonts w:ascii="Gadugi" w:eastAsia="Georgia" w:hAnsi="Gadugi" w:cs="Georgia"/>
          <w:bCs/>
          <w:i/>
          <w:iCs/>
          <w:sz w:val="24"/>
          <w:szCs w:val="24"/>
        </w:rPr>
        <w:t>”</w:t>
      </w:r>
      <w:r w:rsidRPr="00985F05">
        <w:rPr>
          <w:rFonts w:ascii="Gadugi" w:eastAsia="Georgia" w:hAnsi="Gadugi" w:cs="Georgia"/>
          <w:bCs/>
          <w:i/>
          <w:iCs/>
          <w:sz w:val="24"/>
          <w:szCs w:val="24"/>
        </w:rPr>
        <w:t>.</w:t>
      </w:r>
    </w:p>
    <w:p w14:paraId="385DD3AB" w14:textId="028E2BC1" w:rsidR="004A1EE3" w:rsidRPr="00985F05" w:rsidRDefault="004A1EE3" w:rsidP="00985F05">
      <w:pPr>
        <w:tabs>
          <w:tab w:val="left" w:pos="3686"/>
          <w:tab w:val="left" w:pos="4536"/>
        </w:tabs>
        <w:jc w:val="both"/>
        <w:rPr>
          <w:rFonts w:ascii="Gadugi" w:eastAsia="Georgia" w:hAnsi="Gadugi" w:cs="Georgia"/>
          <w:bCs/>
          <w:sz w:val="24"/>
          <w:szCs w:val="24"/>
        </w:rPr>
      </w:pPr>
    </w:p>
    <w:p w14:paraId="012B4F7B" w14:textId="0D026993" w:rsidR="00441143" w:rsidRPr="00985F05" w:rsidRDefault="00441143" w:rsidP="00985F05">
      <w:pPr>
        <w:jc w:val="both"/>
        <w:rPr>
          <w:rFonts w:ascii="Gadugi" w:eastAsia="Georgia" w:hAnsi="Gadugi" w:cs="Georgia"/>
          <w:sz w:val="24"/>
          <w:szCs w:val="24"/>
        </w:rPr>
      </w:pPr>
      <w:r w:rsidRPr="00985F05">
        <w:rPr>
          <w:rFonts w:ascii="Gadugi" w:eastAsia="Georgia" w:hAnsi="Gadugi" w:cs="Georgia"/>
          <w:sz w:val="24"/>
          <w:szCs w:val="24"/>
        </w:rPr>
        <w:t>Sin costas en esta sede.</w:t>
      </w:r>
    </w:p>
    <w:p w14:paraId="3098E99F" w14:textId="75473B98" w:rsidR="00441143" w:rsidRPr="00985F05" w:rsidRDefault="00441143" w:rsidP="00985F05">
      <w:pPr>
        <w:jc w:val="both"/>
        <w:rPr>
          <w:rFonts w:ascii="Gadugi" w:eastAsia="Georgia" w:hAnsi="Gadugi" w:cs="Georgia"/>
          <w:sz w:val="24"/>
          <w:szCs w:val="24"/>
        </w:rPr>
      </w:pPr>
    </w:p>
    <w:p w14:paraId="68C1CFD4" w14:textId="77777777" w:rsidR="009412CA" w:rsidRPr="00E37B99" w:rsidRDefault="009412CA" w:rsidP="009412CA">
      <w:pPr>
        <w:jc w:val="both"/>
        <w:rPr>
          <w:rFonts w:ascii="Gadugi" w:eastAsia="Georgia" w:hAnsi="Gadugi" w:cs="Georgia"/>
          <w:bCs/>
          <w:sz w:val="24"/>
          <w:szCs w:val="24"/>
          <w:lang w:val="es-CO"/>
        </w:rPr>
      </w:pPr>
      <w:r w:rsidRPr="00E37B99">
        <w:rPr>
          <w:rFonts w:ascii="Gadugi" w:eastAsia="Georgia" w:hAnsi="Gadugi" w:cs="Georgia"/>
          <w:bCs/>
          <w:sz w:val="24"/>
          <w:szCs w:val="24"/>
          <w:lang w:val="es-CO"/>
        </w:rPr>
        <w:t>Notifíquese,</w:t>
      </w:r>
    </w:p>
    <w:p w14:paraId="6E4EE050" w14:textId="77777777" w:rsidR="009412CA" w:rsidRPr="00B61717" w:rsidRDefault="009412CA" w:rsidP="009412CA">
      <w:pPr>
        <w:tabs>
          <w:tab w:val="left" w:pos="1701"/>
          <w:tab w:val="left" w:pos="2127"/>
          <w:tab w:val="left" w:pos="2977"/>
        </w:tabs>
        <w:jc w:val="both"/>
        <w:rPr>
          <w:rFonts w:ascii="Gadugi" w:eastAsia="Malgun Gothic" w:hAnsi="Gadugi" w:cs="Estrangelo Edessa"/>
          <w:sz w:val="24"/>
          <w:szCs w:val="24"/>
          <w:lang w:val="es-CO" w:eastAsia="en-US"/>
        </w:rPr>
      </w:pPr>
    </w:p>
    <w:p w14:paraId="63005745" w14:textId="77777777" w:rsidR="009412CA" w:rsidRPr="00B61717" w:rsidRDefault="009412CA" w:rsidP="009412CA">
      <w:pPr>
        <w:tabs>
          <w:tab w:val="left" w:pos="1701"/>
          <w:tab w:val="left" w:pos="2127"/>
          <w:tab w:val="left" w:pos="2977"/>
        </w:tabs>
        <w:jc w:val="both"/>
        <w:rPr>
          <w:rFonts w:ascii="Gadugi" w:eastAsia="Malgun Gothic" w:hAnsi="Gadugi" w:cs="Estrangelo Edessa"/>
          <w:sz w:val="24"/>
          <w:szCs w:val="24"/>
          <w:lang w:val="es-CO" w:eastAsia="en-US"/>
        </w:rPr>
      </w:pPr>
      <w:r w:rsidRPr="00B61717">
        <w:rPr>
          <w:rFonts w:ascii="Gadugi" w:eastAsia="Malgun Gothic" w:hAnsi="Gadugi" w:cs="Estrangelo Edessa"/>
          <w:sz w:val="24"/>
          <w:szCs w:val="24"/>
          <w:lang w:val="es-CO" w:eastAsia="en-US"/>
        </w:rPr>
        <w:t xml:space="preserve">Los Magistrados, </w:t>
      </w:r>
    </w:p>
    <w:p w14:paraId="1F20D5CC" w14:textId="77777777" w:rsidR="009412CA" w:rsidRPr="00B61717" w:rsidRDefault="009412CA" w:rsidP="009412CA">
      <w:pPr>
        <w:tabs>
          <w:tab w:val="left" w:pos="1701"/>
          <w:tab w:val="left" w:pos="2127"/>
          <w:tab w:val="left" w:pos="2977"/>
        </w:tabs>
        <w:jc w:val="both"/>
        <w:rPr>
          <w:rFonts w:ascii="Gadugi" w:eastAsia="Malgun Gothic" w:hAnsi="Gadugi" w:cs="Estrangelo Edessa"/>
          <w:sz w:val="24"/>
          <w:szCs w:val="24"/>
          <w:lang w:val="es-CO" w:eastAsia="en-US"/>
        </w:rPr>
      </w:pPr>
    </w:p>
    <w:p w14:paraId="49B6C3E2" w14:textId="77777777" w:rsidR="009412CA" w:rsidRPr="00B61717" w:rsidRDefault="009412CA" w:rsidP="009412CA">
      <w:pPr>
        <w:tabs>
          <w:tab w:val="left" w:pos="1701"/>
          <w:tab w:val="left" w:pos="2127"/>
          <w:tab w:val="left" w:pos="2977"/>
        </w:tabs>
        <w:jc w:val="both"/>
        <w:rPr>
          <w:rFonts w:ascii="Gadugi" w:eastAsia="Malgun Gothic" w:hAnsi="Gadugi" w:cs="Estrangelo Edessa"/>
          <w:b/>
          <w:sz w:val="24"/>
          <w:szCs w:val="24"/>
          <w:lang w:val="es-CO" w:eastAsia="en-US"/>
        </w:rPr>
      </w:pPr>
    </w:p>
    <w:p w14:paraId="0385879A" w14:textId="77777777" w:rsidR="009412CA" w:rsidRPr="00B61717" w:rsidRDefault="009412CA" w:rsidP="009412CA">
      <w:pPr>
        <w:ind w:left="993" w:firstLine="708"/>
        <w:jc w:val="both"/>
        <w:rPr>
          <w:rFonts w:ascii="Gadugi" w:eastAsia="Malgun Gothic" w:hAnsi="Gadugi" w:cs="Estrangelo Edessa"/>
          <w:b/>
          <w:bCs/>
          <w:sz w:val="24"/>
          <w:szCs w:val="24"/>
          <w:lang w:val="es-CO" w:eastAsia="en-US"/>
        </w:rPr>
      </w:pPr>
      <w:r w:rsidRPr="00B61717">
        <w:rPr>
          <w:rFonts w:ascii="Gadugi" w:eastAsia="Malgun Gothic" w:hAnsi="Gadugi" w:cs="Estrangelo Edessa"/>
          <w:b/>
          <w:bCs/>
          <w:sz w:val="24"/>
          <w:szCs w:val="24"/>
          <w:lang w:val="es-CO" w:eastAsia="en-US"/>
        </w:rPr>
        <w:t>JAIME ALBERTO SARAZA NARANJO</w:t>
      </w:r>
    </w:p>
    <w:p w14:paraId="34AFD1E6" w14:textId="77777777" w:rsidR="009412CA" w:rsidRPr="00B61717" w:rsidRDefault="009412CA" w:rsidP="009412CA">
      <w:pPr>
        <w:tabs>
          <w:tab w:val="left" w:pos="1701"/>
          <w:tab w:val="left" w:pos="2127"/>
          <w:tab w:val="left" w:pos="2977"/>
        </w:tabs>
        <w:ind w:firstLine="1701"/>
        <w:jc w:val="both"/>
        <w:rPr>
          <w:rFonts w:ascii="Gadugi" w:eastAsia="Malgun Gothic" w:hAnsi="Gadugi" w:cs="Estrangelo Edessa"/>
          <w:b/>
          <w:sz w:val="24"/>
          <w:szCs w:val="24"/>
          <w:lang w:val="es-CO" w:eastAsia="en-US"/>
        </w:rPr>
      </w:pPr>
    </w:p>
    <w:p w14:paraId="58142BCF" w14:textId="77777777" w:rsidR="009412CA" w:rsidRPr="00B61717" w:rsidRDefault="009412CA" w:rsidP="009412CA">
      <w:pPr>
        <w:tabs>
          <w:tab w:val="left" w:pos="1701"/>
          <w:tab w:val="left" w:pos="2127"/>
          <w:tab w:val="left" w:pos="2977"/>
        </w:tabs>
        <w:ind w:firstLine="1701"/>
        <w:jc w:val="both"/>
        <w:rPr>
          <w:rFonts w:ascii="Gadugi" w:eastAsia="Malgun Gothic" w:hAnsi="Gadugi" w:cs="Estrangelo Edessa"/>
          <w:b/>
          <w:sz w:val="24"/>
          <w:szCs w:val="24"/>
          <w:lang w:val="es-CO" w:eastAsia="en-US"/>
        </w:rPr>
      </w:pPr>
    </w:p>
    <w:p w14:paraId="18E19A70" w14:textId="77777777" w:rsidR="009412CA" w:rsidRPr="00B61717" w:rsidRDefault="009412CA" w:rsidP="009412CA">
      <w:pPr>
        <w:ind w:left="993" w:firstLine="708"/>
        <w:jc w:val="both"/>
        <w:rPr>
          <w:rFonts w:ascii="Gadugi" w:eastAsia="Malgun Gothic" w:hAnsi="Gadugi" w:cs="Estrangelo Edessa"/>
          <w:b/>
          <w:bCs/>
          <w:sz w:val="24"/>
          <w:szCs w:val="24"/>
          <w:lang w:val="es-CO" w:eastAsia="en-US"/>
        </w:rPr>
      </w:pPr>
      <w:r w:rsidRPr="00B61717">
        <w:rPr>
          <w:rFonts w:ascii="Gadugi" w:eastAsia="Malgun Gothic" w:hAnsi="Gadugi" w:cs="Estrangelo Edessa"/>
          <w:b/>
          <w:bCs/>
          <w:sz w:val="24"/>
          <w:szCs w:val="24"/>
          <w:lang w:val="es-CO" w:eastAsia="en-US"/>
        </w:rPr>
        <w:t>CARLOS MAURICIO GARCÍA BARAJAS</w:t>
      </w:r>
    </w:p>
    <w:p w14:paraId="21EE864B" w14:textId="77777777" w:rsidR="009412CA" w:rsidRPr="00B61717" w:rsidRDefault="009412CA" w:rsidP="009412CA">
      <w:pPr>
        <w:tabs>
          <w:tab w:val="left" w:pos="1701"/>
          <w:tab w:val="left" w:pos="2127"/>
          <w:tab w:val="left" w:pos="2977"/>
        </w:tabs>
        <w:ind w:firstLine="1701"/>
        <w:jc w:val="both"/>
        <w:rPr>
          <w:rFonts w:ascii="Gadugi" w:eastAsia="Malgun Gothic" w:hAnsi="Gadugi" w:cs="Estrangelo Edessa"/>
          <w:b/>
          <w:sz w:val="24"/>
          <w:szCs w:val="24"/>
          <w:lang w:val="es-CO" w:eastAsia="en-US"/>
        </w:rPr>
      </w:pPr>
    </w:p>
    <w:p w14:paraId="56A2A949" w14:textId="77777777" w:rsidR="009412CA" w:rsidRPr="00B61717" w:rsidRDefault="009412CA" w:rsidP="009412CA">
      <w:pPr>
        <w:tabs>
          <w:tab w:val="left" w:pos="1701"/>
          <w:tab w:val="left" w:pos="2127"/>
          <w:tab w:val="left" w:pos="2977"/>
        </w:tabs>
        <w:ind w:firstLine="1701"/>
        <w:jc w:val="both"/>
        <w:rPr>
          <w:rFonts w:ascii="Gadugi" w:eastAsia="Malgun Gothic" w:hAnsi="Gadugi" w:cs="Estrangelo Edessa"/>
          <w:b/>
          <w:sz w:val="24"/>
          <w:szCs w:val="24"/>
          <w:lang w:val="es-CO" w:eastAsia="en-US"/>
        </w:rPr>
      </w:pPr>
    </w:p>
    <w:p w14:paraId="31FF6A24" w14:textId="62DE09CD" w:rsidR="00CD7E7A" w:rsidRPr="009412CA" w:rsidRDefault="009412CA" w:rsidP="009412CA">
      <w:pPr>
        <w:ind w:left="993" w:firstLine="708"/>
        <w:jc w:val="both"/>
        <w:rPr>
          <w:rFonts w:ascii="Gadugi" w:eastAsia="Malgun Gothic" w:hAnsi="Gadugi" w:cs="Estrangelo Edessa"/>
          <w:bCs/>
          <w:sz w:val="24"/>
          <w:szCs w:val="24"/>
          <w:lang w:val="es-CO" w:eastAsia="en-US"/>
        </w:rPr>
      </w:pPr>
      <w:r w:rsidRPr="00B61717">
        <w:rPr>
          <w:rFonts w:ascii="Gadugi" w:eastAsia="Malgun Gothic" w:hAnsi="Gadugi" w:cs="Estrangelo Edessa"/>
          <w:b/>
          <w:bCs/>
          <w:sz w:val="24"/>
          <w:szCs w:val="24"/>
          <w:lang w:val="es-CO" w:eastAsia="en-US"/>
        </w:rPr>
        <w:t>DUBERNEY GRISALES HERRERA</w:t>
      </w:r>
    </w:p>
    <w:sectPr w:rsidR="00CD7E7A" w:rsidRPr="009412CA" w:rsidSect="00E350E4">
      <w:pgSz w:w="12242" w:h="18722" w:code="258"/>
      <w:pgMar w:top="1758" w:right="1247" w:bottom="1191" w:left="1814" w:header="567" w:footer="567"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787482F" w16cex:dateUtc="2023-06-09T19:25:00Z"/>
  <w16cex:commentExtensible w16cex:durableId="7F2D877A" w16cex:dateUtc="2023-06-09T19:26:00Z"/>
  <w16cex:commentExtensible w16cex:durableId="11C6EA14" w16cex:dateUtc="2023-06-09T21:05:00Z"/>
  <w16cex:commentExtensible w16cex:durableId="36507480" w16cex:dateUtc="2023-06-09T19:29:00Z"/>
  <w16cex:commentExtensible w16cex:durableId="28334432" w16cex:dateUtc="2023-06-14T00:38:00Z"/>
  <w16cex:commentExtensible w16cex:durableId="28334474" w16cex:dateUtc="2023-06-14T00:39:00Z"/>
  <w16cex:commentExtensible w16cex:durableId="0758B103" w16cex:dateUtc="2023-06-09T21:11:00Z"/>
  <w16cex:commentExtensible w16cex:durableId="16E0503F" w16cex:dateUtc="2023-06-09T19:30: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1CD87" w14:textId="77777777" w:rsidR="00DA7327" w:rsidRDefault="00DA7327">
      <w:pPr>
        <w:spacing w:line="240" w:lineRule="auto"/>
      </w:pPr>
      <w:r>
        <w:separator/>
      </w:r>
    </w:p>
  </w:endnote>
  <w:endnote w:type="continuationSeparator" w:id="0">
    <w:p w14:paraId="6B1DAE9B" w14:textId="77777777" w:rsidR="00DA7327" w:rsidRDefault="00DA7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4751C" w14:textId="77777777" w:rsidR="00DA7327" w:rsidRDefault="00DA7327">
      <w:pPr>
        <w:spacing w:line="240" w:lineRule="auto"/>
      </w:pPr>
      <w:r>
        <w:separator/>
      </w:r>
    </w:p>
  </w:footnote>
  <w:footnote w:type="continuationSeparator" w:id="0">
    <w:p w14:paraId="207BC41E" w14:textId="77777777" w:rsidR="00DA7327" w:rsidRDefault="00DA7327">
      <w:pPr>
        <w:spacing w:line="240" w:lineRule="auto"/>
      </w:pPr>
      <w:r>
        <w:continuationSeparator/>
      </w:r>
    </w:p>
  </w:footnote>
  <w:footnote w:id="1">
    <w:p w14:paraId="18AD9C28" w14:textId="3D32C613" w:rsidR="0062103C" w:rsidRPr="00DD2C71" w:rsidRDefault="0062103C" w:rsidP="00DD2C71">
      <w:pPr>
        <w:pBdr>
          <w:top w:val="nil"/>
          <w:left w:val="nil"/>
          <w:bottom w:val="nil"/>
          <w:right w:val="nil"/>
          <w:between w:val="nil"/>
        </w:pBdr>
        <w:spacing w:line="240" w:lineRule="auto"/>
        <w:jc w:val="both"/>
        <w:rPr>
          <w:rFonts w:eastAsia="Georgia"/>
          <w:color w:val="000000"/>
          <w:sz w:val="18"/>
          <w:szCs w:val="18"/>
          <w:lang w:val="en-US"/>
        </w:rPr>
      </w:pPr>
      <w:r w:rsidRPr="00DD2C71">
        <w:rPr>
          <w:sz w:val="18"/>
          <w:szCs w:val="18"/>
          <w:vertAlign w:val="superscript"/>
        </w:rPr>
        <w:footnoteRef/>
      </w:r>
      <w:r w:rsidRPr="00DD2C71">
        <w:rPr>
          <w:rFonts w:eastAsia="Georgia"/>
          <w:color w:val="000000"/>
          <w:sz w:val="18"/>
          <w:szCs w:val="18"/>
        </w:rPr>
        <w:t xml:space="preserve"> 01PrimeraInstancia, Primera Instancia, Cuaderno Principal, TomoI, 0</w:t>
      </w:r>
      <w:r w:rsidRPr="00DD2C71">
        <w:rPr>
          <w:rFonts w:eastAsia="Georgia"/>
          <w:sz w:val="18"/>
          <w:szCs w:val="18"/>
        </w:rPr>
        <w:t>3</w:t>
      </w:r>
      <w:r w:rsidRPr="00DD2C71">
        <w:rPr>
          <w:rFonts w:eastAsia="Georgia"/>
          <w:color w:val="000000"/>
          <w:sz w:val="18"/>
          <w:szCs w:val="18"/>
        </w:rPr>
        <w:t xml:space="preserve">Demanda, p.  </w:t>
      </w:r>
      <w:r w:rsidRPr="00DD2C71">
        <w:rPr>
          <w:rFonts w:eastAsia="Georgia"/>
          <w:color w:val="000000"/>
          <w:sz w:val="18"/>
          <w:szCs w:val="18"/>
          <w:lang w:val="en-US"/>
        </w:rPr>
        <w:t>P</w:t>
      </w:r>
      <w:r w:rsidRPr="00DD2C71">
        <w:rPr>
          <w:rFonts w:eastAsia="Georgia"/>
          <w:sz w:val="18"/>
          <w:szCs w:val="18"/>
          <w:lang w:val="en-US"/>
        </w:rPr>
        <w:t>1</w:t>
      </w:r>
      <w:r w:rsidRPr="00DD2C71">
        <w:rPr>
          <w:rFonts w:eastAsia="Georgia"/>
          <w:color w:val="000000"/>
          <w:sz w:val="18"/>
          <w:szCs w:val="18"/>
          <w:lang w:val="en-US"/>
        </w:rPr>
        <w:t xml:space="preserve"> </w:t>
      </w:r>
      <w:r w:rsidRPr="00DD2C71">
        <w:rPr>
          <w:rFonts w:eastAsia="Georgia"/>
          <w:sz w:val="18"/>
          <w:szCs w:val="18"/>
          <w:lang w:val="en-US"/>
        </w:rPr>
        <w:t xml:space="preserve"> </w:t>
      </w:r>
    </w:p>
  </w:footnote>
  <w:footnote w:id="2">
    <w:p w14:paraId="574C73CF" w14:textId="7C14DC35" w:rsidR="0062103C" w:rsidRPr="00DD2C71" w:rsidRDefault="0062103C" w:rsidP="00DD2C71">
      <w:pPr>
        <w:pBdr>
          <w:top w:val="nil"/>
          <w:left w:val="nil"/>
          <w:bottom w:val="nil"/>
          <w:right w:val="nil"/>
          <w:between w:val="nil"/>
        </w:pBdr>
        <w:spacing w:line="240" w:lineRule="auto"/>
        <w:jc w:val="both"/>
        <w:rPr>
          <w:color w:val="000000"/>
          <w:sz w:val="18"/>
          <w:szCs w:val="18"/>
          <w:lang w:val="en-US"/>
        </w:rPr>
      </w:pPr>
      <w:r w:rsidRPr="00DD2C71">
        <w:rPr>
          <w:sz w:val="18"/>
          <w:szCs w:val="18"/>
          <w:vertAlign w:val="superscript"/>
        </w:rPr>
        <w:footnoteRef/>
      </w:r>
      <w:r w:rsidRPr="00DD2C71">
        <w:rPr>
          <w:rFonts w:eastAsia="Georgia"/>
          <w:color w:val="000000"/>
          <w:sz w:val="18"/>
          <w:szCs w:val="18"/>
          <w:lang w:val="en-US"/>
        </w:rPr>
        <w:t xml:space="preserve"> </w:t>
      </w:r>
      <w:r w:rsidRPr="00DD2C71">
        <w:rPr>
          <w:rFonts w:eastAsia="Georgia"/>
          <w:sz w:val="18"/>
          <w:szCs w:val="18"/>
          <w:lang w:val="en-US"/>
        </w:rPr>
        <w:t xml:space="preserve"> Ib., p. 7</w:t>
      </w:r>
    </w:p>
  </w:footnote>
  <w:footnote w:id="3">
    <w:p w14:paraId="038D158D" w14:textId="1D47E3C2" w:rsidR="0062103C" w:rsidRPr="00DD2C71" w:rsidRDefault="0062103C" w:rsidP="00DD2C71">
      <w:pPr>
        <w:pStyle w:val="Textonotapie"/>
        <w:jc w:val="both"/>
        <w:rPr>
          <w:sz w:val="18"/>
          <w:szCs w:val="18"/>
          <w:lang w:val="en-US"/>
        </w:rPr>
      </w:pPr>
      <w:r w:rsidRPr="00DD2C71">
        <w:rPr>
          <w:rStyle w:val="Refdenotaalpie"/>
          <w:sz w:val="18"/>
          <w:szCs w:val="18"/>
        </w:rPr>
        <w:footnoteRef/>
      </w:r>
      <w:r w:rsidRPr="00DD2C71">
        <w:rPr>
          <w:sz w:val="18"/>
          <w:szCs w:val="18"/>
          <w:lang w:val="en-US"/>
        </w:rPr>
        <w:t xml:space="preserve"> Ib., arch. 09</w:t>
      </w:r>
    </w:p>
  </w:footnote>
  <w:footnote w:id="4">
    <w:p w14:paraId="12003A04" w14:textId="70E2C192" w:rsidR="0062103C" w:rsidRPr="00DD2C71" w:rsidRDefault="0062103C" w:rsidP="00DD2C71">
      <w:pPr>
        <w:pStyle w:val="Textonotapie"/>
        <w:jc w:val="both"/>
        <w:rPr>
          <w:sz w:val="18"/>
          <w:szCs w:val="18"/>
          <w:lang w:val="en-US"/>
        </w:rPr>
      </w:pPr>
      <w:r w:rsidRPr="00DD2C71">
        <w:rPr>
          <w:rStyle w:val="Refdenotaalpie"/>
          <w:sz w:val="18"/>
          <w:szCs w:val="18"/>
        </w:rPr>
        <w:footnoteRef/>
      </w:r>
      <w:r w:rsidRPr="00DD2C71">
        <w:rPr>
          <w:sz w:val="18"/>
          <w:szCs w:val="18"/>
          <w:lang w:val="en-US"/>
        </w:rPr>
        <w:t xml:space="preserve"> Ib., arch. 15</w:t>
      </w:r>
    </w:p>
  </w:footnote>
  <w:footnote w:id="5">
    <w:p w14:paraId="12FF063D" w14:textId="24CCBC4F" w:rsidR="0062103C" w:rsidRPr="00DD2C71" w:rsidRDefault="0062103C" w:rsidP="00DD2C71">
      <w:pPr>
        <w:pStyle w:val="Textonotapie"/>
        <w:jc w:val="both"/>
        <w:rPr>
          <w:sz w:val="18"/>
          <w:szCs w:val="18"/>
          <w:lang w:val="en-US"/>
        </w:rPr>
      </w:pPr>
      <w:r w:rsidRPr="00DD2C71">
        <w:rPr>
          <w:rStyle w:val="Refdenotaalpie"/>
          <w:sz w:val="18"/>
          <w:szCs w:val="18"/>
        </w:rPr>
        <w:footnoteRef/>
      </w:r>
      <w:r w:rsidRPr="00DD2C71">
        <w:rPr>
          <w:sz w:val="18"/>
          <w:szCs w:val="18"/>
          <w:lang w:val="en-US"/>
        </w:rPr>
        <w:t xml:space="preserve"> Ib. arch. 16</w:t>
      </w:r>
    </w:p>
  </w:footnote>
  <w:footnote w:id="6">
    <w:p w14:paraId="587E90C8" w14:textId="4348004B" w:rsidR="0062103C" w:rsidRPr="00DD2C71" w:rsidRDefault="0062103C" w:rsidP="00DD2C71">
      <w:pPr>
        <w:pStyle w:val="Textonotapie"/>
        <w:jc w:val="both"/>
        <w:rPr>
          <w:sz w:val="18"/>
          <w:szCs w:val="18"/>
          <w:lang w:val="es-CO"/>
        </w:rPr>
      </w:pPr>
      <w:r w:rsidRPr="00DD2C71">
        <w:rPr>
          <w:rStyle w:val="Refdenotaalpie"/>
          <w:sz w:val="18"/>
          <w:szCs w:val="18"/>
        </w:rPr>
        <w:footnoteRef/>
      </w:r>
      <w:r w:rsidRPr="00DD2C71">
        <w:rPr>
          <w:sz w:val="18"/>
          <w:szCs w:val="18"/>
          <w:lang w:val="en-US"/>
        </w:rPr>
        <w:t xml:space="preserve"> Ib., arch. </w:t>
      </w:r>
      <w:r w:rsidRPr="00DD2C71">
        <w:rPr>
          <w:sz w:val="18"/>
          <w:szCs w:val="18"/>
          <w:lang w:val="es-CO"/>
        </w:rPr>
        <w:t>18</w:t>
      </w:r>
    </w:p>
  </w:footnote>
  <w:footnote w:id="7">
    <w:p w14:paraId="36B360B5" w14:textId="6D6C9E36" w:rsidR="0062103C" w:rsidRPr="00DD2C71" w:rsidRDefault="0062103C" w:rsidP="00DD2C71">
      <w:pPr>
        <w:pStyle w:val="Textonotapie"/>
        <w:jc w:val="both"/>
        <w:rPr>
          <w:sz w:val="18"/>
          <w:szCs w:val="18"/>
          <w:lang w:val="es-CO"/>
        </w:rPr>
      </w:pPr>
      <w:r w:rsidRPr="00DD2C71">
        <w:rPr>
          <w:rStyle w:val="Refdenotaalpie"/>
          <w:sz w:val="18"/>
          <w:szCs w:val="18"/>
        </w:rPr>
        <w:footnoteRef/>
      </w:r>
      <w:r w:rsidRPr="00DD2C71">
        <w:rPr>
          <w:sz w:val="18"/>
          <w:szCs w:val="18"/>
        </w:rPr>
        <w:t xml:space="preserve"> </w:t>
      </w:r>
      <w:r w:rsidRPr="00DD2C71">
        <w:rPr>
          <w:sz w:val="18"/>
          <w:szCs w:val="18"/>
          <w:lang w:val="es-CO"/>
        </w:rPr>
        <w:t>02SegundaInstancia, 01CuadernoNulidad, arch. 05</w:t>
      </w:r>
    </w:p>
  </w:footnote>
  <w:footnote w:id="8">
    <w:p w14:paraId="6DF1681D" w14:textId="21FAAA0B" w:rsidR="0062103C" w:rsidRPr="00DD2C71" w:rsidRDefault="0062103C" w:rsidP="00DD2C71">
      <w:pPr>
        <w:pStyle w:val="Textonotapie"/>
        <w:jc w:val="both"/>
        <w:rPr>
          <w:sz w:val="18"/>
          <w:szCs w:val="18"/>
          <w:lang w:val="es-CO"/>
        </w:rPr>
      </w:pPr>
      <w:r w:rsidRPr="00DD2C71">
        <w:rPr>
          <w:rStyle w:val="Refdenotaalpie"/>
          <w:sz w:val="18"/>
          <w:szCs w:val="18"/>
        </w:rPr>
        <w:footnoteRef/>
      </w:r>
      <w:r w:rsidRPr="00DD2C71">
        <w:rPr>
          <w:sz w:val="18"/>
          <w:szCs w:val="18"/>
        </w:rPr>
        <w:t xml:space="preserve"> </w:t>
      </w:r>
      <w:r w:rsidRPr="00DD2C71">
        <w:rPr>
          <w:sz w:val="18"/>
          <w:szCs w:val="18"/>
          <w:lang w:val="es-CO"/>
        </w:rPr>
        <w:t>01PrimeraInstancia, Primera Instancia, Cuaderno2LLamamientoGarantia, Cuaderno 2, arch. 01</w:t>
      </w:r>
    </w:p>
  </w:footnote>
  <w:footnote w:id="9">
    <w:p w14:paraId="1724FA64" w14:textId="4FD7A19E" w:rsidR="0062103C" w:rsidRPr="00DD2C71" w:rsidRDefault="0062103C" w:rsidP="00DD2C71">
      <w:pPr>
        <w:pStyle w:val="Textonotapie"/>
        <w:jc w:val="both"/>
        <w:rPr>
          <w:sz w:val="18"/>
          <w:szCs w:val="18"/>
          <w:lang w:val="es-CO"/>
        </w:rPr>
      </w:pPr>
      <w:r w:rsidRPr="00DD2C71">
        <w:rPr>
          <w:rStyle w:val="Refdenotaalpie"/>
          <w:sz w:val="18"/>
          <w:szCs w:val="18"/>
        </w:rPr>
        <w:footnoteRef/>
      </w:r>
      <w:r w:rsidRPr="00DD2C71">
        <w:rPr>
          <w:sz w:val="18"/>
          <w:szCs w:val="18"/>
        </w:rPr>
        <w:t xml:space="preserve"> </w:t>
      </w:r>
      <w:r w:rsidRPr="00DD2C71">
        <w:rPr>
          <w:sz w:val="18"/>
          <w:szCs w:val="18"/>
          <w:lang w:val="es-CO"/>
        </w:rPr>
        <w:t>Ib., arch. 04</w:t>
      </w:r>
    </w:p>
  </w:footnote>
  <w:footnote w:id="10">
    <w:p w14:paraId="50EA7B58" w14:textId="4DE95949" w:rsidR="0062103C" w:rsidRPr="00DD2C71" w:rsidRDefault="0062103C" w:rsidP="00DD2C71">
      <w:pPr>
        <w:pStyle w:val="Textonotapie"/>
        <w:jc w:val="both"/>
        <w:rPr>
          <w:sz w:val="18"/>
          <w:szCs w:val="18"/>
          <w:lang w:val="es-ES"/>
        </w:rPr>
      </w:pPr>
      <w:r w:rsidRPr="00DD2C71">
        <w:rPr>
          <w:rStyle w:val="Refdenotaalpie"/>
          <w:sz w:val="18"/>
          <w:szCs w:val="18"/>
        </w:rPr>
        <w:footnoteRef/>
      </w:r>
      <w:r w:rsidRPr="00DD2C71">
        <w:rPr>
          <w:sz w:val="18"/>
          <w:szCs w:val="18"/>
        </w:rPr>
        <w:t xml:space="preserve"> </w:t>
      </w:r>
      <w:r w:rsidRPr="00DD2C71">
        <w:rPr>
          <w:rFonts w:eastAsia="Georgia"/>
          <w:color w:val="000000"/>
          <w:sz w:val="18"/>
          <w:szCs w:val="18"/>
        </w:rPr>
        <w:t>01PrimeraInstancia, Primera Instancia, Cuaderno Principal, TomoI, arch. 98 y 99</w:t>
      </w:r>
    </w:p>
  </w:footnote>
  <w:footnote w:id="11">
    <w:p w14:paraId="78C606D6" w14:textId="5C348250" w:rsidR="0062103C" w:rsidRPr="00DD2C71" w:rsidRDefault="0062103C" w:rsidP="00DD2C71">
      <w:pPr>
        <w:pStyle w:val="Textonotapie"/>
        <w:jc w:val="both"/>
        <w:rPr>
          <w:sz w:val="18"/>
          <w:szCs w:val="18"/>
          <w:lang w:val="es-ES"/>
        </w:rPr>
      </w:pPr>
      <w:r w:rsidRPr="00DD2C71">
        <w:rPr>
          <w:rStyle w:val="Refdenotaalpie"/>
          <w:sz w:val="18"/>
          <w:szCs w:val="18"/>
        </w:rPr>
        <w:footnoteRef/>
      </w:r>
      <w:r w:rsidRPr="00DD2C71">
        <w:rPr>
          <w:sz w:val="18"/>
          <w:szCs w:val="18"/>
        </w:rPr>
        <w:t xml:space="preserve"> </w:t>
      </w:r>
      <w:r w:rsidRPr="00DD2C71">
        <w:rPr>
          <w:sz w:val="18"/>
          <w:szCs w:val="18"/>
          <w:lang w:val="es-ES"/>
        </w:rPr>
        <w:t>Ib.</w:t>
      </w:r>
    </w:p>
  </w:footnote>
  <w:footnote w:id="12">
    <w:p w14:paraId="12BF4124" w14:textId="77777777" w:rsidR="0062103C" w:rsidRPr="00DD2C71" w:rsidRDefault="0062103C" w:rsidP="00DD2C71">
      <w:pPr>
        <w:pStyle w:val="Textonotapie"/>
        <w:jc w:val="both"/>
        <w:rPr>
          <w:sz w:val="18"/>
          <w:szCs w:val="18"/>
          <w:lang w:val="es-ES"/>
        </w:rPr>
      </w:pPr>
      <w:r w:rsidRPr="00DD2C71">
        <w:rPr>
          <w:rStyle w:val="Refdenotaalpie"/>
          <w:sz w:val="18"/>
          <w:szCs w:val="18"/>
        </w:rPr>
        <w:footnoteRef/>
      </w:r>
      <w:r w:rsidRPr="00DD2C71">
        <w:rPr>
          <w:sz w:val="18"/>
          <w:szCs w:val="18"/>
        </w:rPr>
        <w:t xml:space="preserve"> </w:t>
      </w:r>
      <w:r w:rsidRPr="00DD2C71">
        <w:rPr>
          <w:rFonts w:eastAsia="Georgia"/>
          <w:color w:val="000000"/>
          <w:sz w:val="18"/>
          <w:szCs w:val="18"/>
        </w:rPr>
        <w:t>01PrimeraInstancia, Primera Instancia, Cuaderno Principal, TomoII, arch. 01, 02 y 03</w:t>
      </w:r>
    </w:p>
  </w:footnote>
  <w:footnote w:id="13">
    <w:p w14:paraId="2AA05AD1" w14:textId="28FE3E6F" w:rsidR="0062103C" w:rsidRPr="00DD2C71" w:rsidRDefault="0062103C" w:rsidP="00DD2C71">
      <w:pPr>
        <w:pStyle w:val="Textonotapie"/>
        <w:jc w:val="both"/>
        <w:rPr>
          <w:sz w:val="18"/>
          <w:szCs w:val="18"/>
          <w:lang w:val="es-ES"/>
        </w:rPr>
      </w:pPr>
      <w:r w:rsidRPr="00DD2C71">
        <w:rPr>
          <w:rStyle w:val="Refdenotaalpie"/>
          <w:sz w:val="18"/>
          <w:szCs w:val="18"/>
        </w:rPr>
        <w:footnoteRef/>
      </w:r>
      <w:r w:rsidRPr="00DD2C71">
        <w:rPr>
          <w:sz w:val="18"/>
          <w:szCs w:val="18"/>
        </w:rPr>
        <w:t xml:space="preserve"> </w:t>
      </w:r>
      <w:r w:rsidRPr="00DD2C71">
        <w:rPr>
          <w:sz w:val="18"/>
          <w:szCs w:val="18"/>
          <w:lang w:val="es-ES"/>
        </w:rPr>
        <w:t xml:space="preserve">02SegundaINstancia, 02CuadernoApelSentencia, arch. 11 y 13, </w:t>
      </w:r>
    </w:p>
  </w:footnote>
  <w:footnote w:id="14">
    <w:p w14:paraId="25C72E2B" w14:textId="119A8E90" w:rsidR="0062103C" w:rsidRPr="00DD2C71" w:rsidRDefault="0062103C" w:rsidP="00DD2C71">
      <w:pPr>
        <w:pStyle w:val="Textonotapie"/>
        <w:jc w:val="both"/>
        <w:rPr>
          <w:sz w:val="18"/>
          <w:szCs w:val="18"/>
          <w:lang w:val="es-ES"/>
        </w:rPr>
      </w:pPr>
      <w:r w:rsidRPr="00DD2C71">
        <w:rPr>
          <w:rStyle w:val="Refdenotaalpie"/>
          <w:sz w:val="18"/>
          <w:szCs w:val="18"/>
        </w:rPr>
        <w:footnoteRef/>
      </w:r>
      <w:r w:rsidRPr="00DD2C71">
        <w:rPr>
          <w:sz w:val="18"/>
          <w:szCs w:val="18"/>
        </w:rPr>
        <w:t xml:space="preserve"> </w:t>
      </w:r>
      <w:r w:rsidRPr="00DD2C71">
        <w:rPr>
          <w:sz w:val="18"/>
          <w:szCs w:val="18"/>
          <w:lang w:val="es-ES"/>
        </w:rPr>
        <w:t>Ib., arch. 17</w:t>
      </w:r>
    </w:p>
  </w:footnote>
  <w:footnote w:id="15">
    <w:p w14:paraId="719F33E3" w14:textId="30FC74F9" w:rsidR="0062103C" w:rsidRPr="00DD2C71" w:rsidRDefault="0062103C" w:rsidP="00DD2C71">
      <w:pPr>
        <w:pStyle w:val="Textonotapie"/>
        <w:jc w:val="both"/>
        <w:rPr>
          <w:sz w:val="18"/>
          <w:szCs w:val="18"/>
          <w:lang w:val="es-ES"/>
        </w:rPr>
      </w:pPr>
      <w:r w:rsidRPr="00DD2C71">
        <w:rPr>
          <w:rStyle w:val="Refdenotaalpie"/>
          <w:sz w:val="18"/>
          <w:szCs w:val="18"/>
        </w:rPr>
        <w:footnoteRef/>
      </w:r>
      <w:r w:rsidRPr="00DD2C71">
        <w:rPr>
          <w:sz w:val="18"/>
          <w:szCs w:val="18"/>
        </w:rPr>
        <w:t xml:space="preserve"> </w:t>
      </w:r>
      <w:r w:rsidRPr="00DD2C71">
        <w:rPr>
          <w:rFonts w:eastAsia="Georgia"/>
          <w:color w:val="000000"/>
          <w:sz w:val="18"/>
          <w:szCs w:val="18"/>
        </w:rPr>
        <w:t>01PrimeraInstancia, Primera Instancia, Cuaderno Principal, TomoI, arch. 02AnexosDemanda p. 7</w:t>
      </w:r>
    </w:p>
  </w:footnote>
  <w:footnote w:id="16">
    <w:p w14:paraId="20CDCC4E" w14:textId="77777777" w:rsidR="0062103C" w:rsidRPr="00DD2C71" w:rsidRDefault="0062103C" w:rsidP="00DD2C71">
      <w:pPr>
        <w:pStyle w:val="Textonotapie"/>
        <w:jc w:val="both"/>
        <w:rPr>
          <w:sz w:val="18"/>
          <w:szCs w:val="18"/>
          <w:lang w:val="es-ES"/>
        </w:rPr>
      </w:pPr>
      <w:r w:rsidRPr="00DD2C71">
        <w:rPr>
          <w:rStyle w:val="Refdenotaalpie"/>
          <w:sz w:val="18"/>
          <w:szCs w:val="18"/>
        </w:rPr>
        <w:footnoteRef/>
      </w:r>
      <w:r w:rsidRPr="00DD2C71">
        <w:rPr>
          <w:sz w:val="18"/>
          <w:szCs w:val="18"/>
        </w:rPr>
        <w:t xml:space="preserve"> Ib., p. 5</w:t>
      </w:r>
    </w:p>
  </w:footnote>
  <w:footnote w:id="17">
    <w:p w14:paraId="73C877DA" w14:textId="725E2D48" w:rsidR="0062103C" w:rsidRPr="00DD2C71" w:rsidRDefault="0062103C" w:rsidP="00DD2C71">
      <w:pPr>
        <w:pStyle w:val="Textonotapie"/>
        <w:jc w:val="both"/>
        <w:rPr>
          <w:sz w:val="18"/>
          <w:szCs w:val="18"/>
          <w:lang w:val="es-ES"/>
        </w:rPr>
      </w:pPr>
      <w:r w:rsidRPr="00DD2C71">
        <w:rPr>
          <w:rStyle w:val="Refdenotaalpie"/>
          <w:sz w:val="18"/>
          <w:szCs w:val="18"/>
        </w:rPr>
        <w:footnoteRef/>
      </w:r>
      <w:r w:rsidRPr="00DD2C71">
        <w:rPr>
          <w:sz w:val="18"/>
          <w:szCs w:val="18"/>
        </w:rPr>
        <w:t xml:space="preserve"> </w:t>
      </w:r>
      <w:r w:rsidRPr="00DD2C71">
        <w:rPr>
          <w:sz w:val="18"/>
          <w:szCs w:val="18"/>
          <w:lang w:val="es-ES"/>
        </w:rPr>
        <w:t>Ib., arch. 04, p. 1</w:t>
      </w:r>
    </w:p>
  </w:footnote>
  <w:footnote w:id="18">
    <w:p w14:paraId="30A7BE91" w14:textId="6FE3125B" w:rsidR="00C20566" w:rsidRPr="00DD2C71" w:rsidRDefault="00C20566" w:rsidP="00DD2C71">
      <w:pPr>
        <w:spacing w:line="240" w:lineRule="auto"/>
        <w:jc w:val="both"/>
        <w:rPr>
          <w:sz w:val="18"/>
          <w:szCs w:val="18"/>
          <w:lang w:val="es-MX"/>
        </w:rPr>
      </w:pPr>
      <w:r w:rsidRPr="00DD2C71">
        <w:rPr>
          <w:rStyle w:val="Refdenotaalpie"/>
          <w:sz w:val="18"/>
          <w:szCs w:val="18"/>
        </w:rPr>
        <w:footnoteRef/>
      </w:r>
      <w:r w:rsidRPr="00DD2C71">
        <w:rPr>
          <w:sz w:val="18"/>
          <w:szCs w:val="18"/>
        </w:rPr>
        <w:t xml:space="preserve"> </w:t>
      </w:r>
      <w:r w:rsidR="0073566A" w:rsidRPr="00DD2C71">
        <w:rPr>
          <w:rFonts w:eastAsia="Georgia"/>
          <w:sz w:val="18"/>
          <w:szCs w:val="18"/>
        </w:rPr>
        <w:t xml:space="preserve">01PrimeraInstancia, PrimeraInstancia, AUDIENCIAS, A. INICIAL 00:34:20 y 1:00:00. </w:t>
      </w:r>
    </w:p>
  </w:footnote>
  <w:footnote w:id="19">
    <w:p w14:paraId="4B3E9BC5" w14:textId="296F243C" w:rsidR="0062103C" w:rsidRPr="00DD2C71" w:rsidRDefault="0062103C" w:rsidP="00DD2C71">
      <w:pPr>
        <w:pStyle w:val="Textonotapie"/>
        <w:jc w:val="both"/>
        <w:rPr>
          <w:sz w:val="18"/>
          <w:szCs w:val="18"/>
          <w:lang w:val="es-ES"/>
        </w:rPr>
      </w:pPr>
      <w:r w:rsidRPr="00DD2C71">
        <w:rPr>
          <w:rStyle w:val="Refdenotaalpie"/>
          <w:sz w:val="18"/>
          <w:szCs w:val="18"/>
        </w:rPr>
        <w:footnoteRef/>
      </w:r>
      <w:r w:rsidRPr="00DD2C71">
        <w:rPr>
          <w:sz w:val="18"/>
          <w:szCs w:val="18"/>
        </w:rPr>
        <w:t xml:space="preserve"> </w:t>
      </w:r>
      <w:r w:rsidRPr="00DD2C71">
        <w:rPr>
          <w:rFonts w:eastAsia="Georgia"/>
          <w:color w:val="000000"/>
          <w:sz w:val="18"/>
          <w:szCs w:val="18"/>
        </w:rPr>
        <w:t>01PrimeraInstancia, Primera Instancia, Cuaderno Principal, TomoI, arch. 02AnexosDemanda p. 78</w:t>
      </w:r>
    </w:p>
  </w:footnote>
  <w:footnote w:id="20">
    <w:p w14:paraId="5BA2C681" w14:textId="3BC563AE" w:rsidR="0062103C" w:rsidRPr="00DD2C71" w:rsidRDefault="0062103C" w:rsidP="00DD2C71">
      <w:pPr>
        <w:pStyle w:val="Textonotapie"/>
        <w:jc w:val="both"/>
        <w:rPr>
          <w:sz w:val="18"/>
          <w:szCs w:val="18"/>
          <w:lang w:val="es-ES"/>
        </w:rPr>
      </w:pPr>
      <w:r w:rsidRPr="00DD2C71">
        <w:rPr>
          <w:rStyle w:val="Refdenotaalpie"/>
          <w:sz w:val="18"/>
          <w:szCs w:val="18"/>
        </w:rPr>
        <w:footnoteRef/>
      </w:r>
      <w:r w:rsidRPr="00DD2C71">
        <w:rPr>
          <w:sz w:val="18"/>
          <w:szCs w:val="18"/>
        </w:rPr>
        <w:t xml:space="preserve"> </w:t>
      </w:r>
      <w:r w:rsidRPr="00DD2C71">
        <w:rPr>
          <w:rFonts w:eastAsia="Georgia"/>
          <w:color w:val="000000"/>
          <w:sz w:val="18"/>
          <w:szCs w:val="18"/>
        </w:rPr>
        <w:t>01PrimeraInstancia, Primera Instancia, Cuaderno Principal, TomoI, arch. 02AnexosDemanda arch. 04, p. 9</w:t>
      </w:r>
    </w:p>
  </w:footnote>
  <w:footnote w:id="21">
    <w:p w14:paraId="0655AD78" w14:textId="77777777" w:rsidR="0062103C" w:rsidRPr="00DD2C71" w:rsidRDefault="0062103C" w:rsidP="00DD2C71">
      <w:pPr>
        <w:pBdr>
          <w:top w:val="nil"/>
          <w:left w:val="nil"/>
          <w:bottom w:val="nil"/>
          <w:right w:val="nil"/>
          <w:between w:val="nil"/>
        </w:pBdr>
        <w:spacing w:line="240" w:lineRule="auto"/>
        <w:jc w:val="both"/>
        <w:rPr>
          <w:rFonts w:eastAsia="Georgia"/>
          <w:color w:val="000000"/>
          <w:sz w:val="18"/>
          <w:szCs w:val="18"/>
        </w:rPr>
      </w:pPr>
      <w:r w:rsidRPr="00DD2C71">
        <w:rPr>
          <w:rFonts w:eastAsia="Georgia"/>
          <w:color w:val="000000"/>
          <w:sz w:val="18"/>
          <w:szCs w:val="18"/>
        </w:rPr>
        <w:footnoteRef/>
      </w:r>
      <w:r w:rsidRPr="00DD2C71">
        <w:rPr>
          <w:rFonts w:eastAsia="Georgia"/>
          <w:color w:val="000000"/>
          <w:sz w:val="18"/>
          <w:szCs w:val="18"/>
        </w:rPr>
        <w:t xml:space="preserve"> Sentencia del 19 de junio de 2018, radicado 2011-00193-01,</w:t>
      </w:r>
    </w:p>
  </w:footnote>
  <w:footnote w:id="22">
    <w:p w14:paraId="1FEC958F" w14:textId="77777777" w:rsidR="0062103C" w:rsidRPr="00DD2C71" w:rsidRDefault="0062103C" w:rsidP="00DD2C71">
      <w:pPr>
        <w:pBdr>
          <w:top w:val="nil"/>
          <w:left w:val="nil"/>
          <w:bottom w:val="nil"/>
          <w:right w:val="nil"/>
          <w:between w:val="nil"/>
        </w:pBdr>
        <w:spacing w:line="240" w:lineRule="auto"/>
        <w:jc w:val="both"/>
        <w:rPr>
          <w:rFonts w:eastAsia="Georgia"/>
          <w:color w:val="000000"/>
          <w:sz w:val="18"/>
          <w:szCs w:val="18"/>
        </w:rPr>
      </w:pPr>
      <w:r w:rsidRPr="00DD2C71">
        <w:rPr>
          <w:rFonts w:eastAsia="Georgia"/>
          <w:color w:val="000000"/>
          <w:sz w:val="18"/>
          <w:szCs w:val="18"/>
        </w:rPr>
        <w:footnoteRef/>
      </w:r>
      <w:r w:rsidRPr="00DD2C71">
        <w:rPr>
          <w:rFonts w:eastAsia="Georgia"/>
          <w:color w:val="000000"/>
          <w:sz w:val="18"/>
          <w:szCs w:val="18"/>
        </w:rPr>
        <w:t xml:space="preserve"> Sentencia del 19 de junio de 2020, radicado 2019-00046-01, M.P. Duberney Grisales Herrera.</w:t>
      </w:r>
    </w:p>
  </w:footnote>
  <w:footnote w:id="23">
    <w:p w14:paraId="523254EE" w14:textId="77777777" w:rsidR="0062103C" w:rsidRPr="00DD2C71" w:rsidRDefault="0062103C" w:rsidP="00DD2C71">
      <w:pPr>
        <w:pBdr>
          <w:top w:val="nil"/>
          <w:left w:val="nil"/>
          <w:bottom w:val="nil"/>
          <w:right w:val="nil"/>
          <w:between w:val="nil"/>
        </w:pBdr>
        <w:spacing w:line="240" w:lineRule="auto"/>
        <w:jc w:val="both"/>
        <w:rPr>
          <w:rFonts w:eastAsia="Georgia"/>
          <w:color w:val="000000"/>
          <w:sz w:val="18"/>
          <w:szCs w:val="18"/>
        </w:rPr>
      </w:pPr>
      <w:r w:rsidRPr="00DD2C71">
        <w:rPr>
          <w:rFonts w:eastAsia="Georgia"/>
          <w:color w:val="000000"/>
          <w:sz w:val="18"/>
          <w:szCs w:val="18"/>
        </w:rPr>
        <w:footnoteRef/>
      </w:r>
      <w:r w:rsidRPr="00DD2C71">
        <w:rPr>
          <w:rFonts w:eastAsia="Georgia"/>
          <w:color w:val="000000"/>
          <w:sz w:val="18"/>
          <w:szCs w:val="18"/>
        </w:rPr>
        <w:t xml:space="preserve"> STC9587-2017, STC15273-2019, STC11328-2019 y STC100-2019</w:t>
      </w:r>
    </w:p>
  </w:footnote>
  <w:footnote w:id="24">
    <w:p w14:paraId="6FF12153" w14:textId="77777777" w:rsidR="0062103C" w:rsidRPr="00DD2C71" w:rsidRDefault="0062103C" w:rsidP="00DD2C71">
      <w:pPr>
        <w:pBdr>
          <w:top w:val="nil"/>
          <w:left w:val="nil"/>
          <w:bottom w:val="nil"/>
          <w:right w:val="nil"/>
          <w:between w:val="nil"/>
        </w:pBdr>
        <w:spacing w:line="240" w:lineRule="auto"/>
        <w:jc w:val="both"/>
        <w:rPr>
          <w:rFonts w:eastAsia="Georgia"/>
          <w:color w:val="000000"/>
          <w:sz w:val="18"/>
          <w:szCs w:val="18"/>
        </w:rPr>
      </w:pPr>
      <w:r w:rsidRPr="00DD2C71">
        <w:rPr>
          <w:rFonts w:eastAsia="Georgia"/>
          <w:color w:val="000000"/>
          <w:sz w:val="18"/>
          <w:szCs w:val="18"/>
        </w:rPr>
        <w:footnoteRef/>
      </w:r>
      <w:r w:rsidRPr="00DD2C71">
        <w:rPr>
          <w:rFonts w:eastAsia="Georgia"/>
          <w:color w:val="000000"/>
          <w:sz w:val="18"/>
          <w:szCs w:val="18"/>
        </w:rPr>
        <w:t xml:space="preserve"> SC2351-2019.</w:t>
      </w:r>
    </w:p>
  </w:footnote>
  <w:footnote w:id="25">
    <w:p w14:paraId="10985874" w14:textId="77777777" w:rsidR="0062103C" w:rsidRPr="00DD2C71" w:rsidRDefault="0062103C" w:rsidP="00DD2C71">
      <w:pPr>
        <w:pBdr>
          <w:top w:val="nil"/>
          <w:left w:val="nil"/>
          <w:bottom w:val="nil"/>
          <w:right w:val="nil"/>
          <w:between w:val="nil"/>
        </w:pBdr>
        <w:spacing w:line="240" w:lineRule="auto"/>
        <w:jc w:val="both"/>
        <w:rPr>
          <w:rFonts w:eastAsia="Georgia"/>
          <w:color w:val="000000"/>
          <w:sz w:val="18"/>
          <w:szCs w:val="18"/>
        </w:rPr>
      </w:pPr>
      <w:r w:rsidRPr="00DD2C71">
        <w:rPr>
          <w:rFonts w:eastAsia="Georgia"/>
          <w:color w:val="000000"/>
          <w:sz w:val="18"/>
          <w:szCs w:val="18"/>
        </w:rPr>
        <w:footnoteRef/>
      </w:r>
      <w:r w:rsidRPr="00DD2C71">
        <w:rPr>
          <w:rFonts w:eastAsia="Georgia"/>
          <w:color w:val="000000"/>
          <w:sz w:val="18"/>
          <w:szCs w:val="18"/>
        </w:rPr>
        <w:t xml:space="preserve"> Por ejemplo, en la sentencia del 21-08-2020, radicado 66001310300320170035301 y recientemente en las sentencias SC-0023-2022 y SC-0024-2022.</w:t>
      </w:r>
    </w:p>
  </w:footnote>
  <w:footnote w:id="26">
    <w:p w14:paraId="3F8611D0" w14:textId="77777777" w:rsidR="0062103C" w:rsidRPr="00DD2C71" w:rsidRDefault="0062103C" w:rsidP="00DD2C71">
      <w:pPr>
        <w:pBdr>
          <w:top w:val="nil"/>
          <w:left w:val="nil"/>
          <w:bottom w:val="nil"/>
          <w:right w:val="nil"/>
          <w:between w:val="nil"/>
        </w:pBdr>
        <w:spacing w:line="240" w:lineRule="auto"/>
        <w:jc w:val="both"/>
        <w:rPr>
          <w:rFonts w:eastAsia="Georgia"/>
          <w:color w:val="000000"/>
          <w:sz w:val="18"/>
          <w:szCs w:val="18"/>
        </w:rPr>
      </w:pPr>
      <w:r w:rsidRPr="00DD2C71">
        <w:rPr>
          <w:rFonts w:eastAsia="Georgia"/>
          <w:color w:val="000000"/>
          <w:sz w:val="18"/>
          <w:szCs w:val="18"/>
        </w:rPr>
        <w:footnoteRef/>
      </w:r>
      <w:r w:rsidRPr="00DD2C71">
        <w:rPr>
          <w:rFonts w:eastAsia="Georgia"/>
          <w:color w:val="000000"/>
          <w:sz w:val="18"/>
          <w:szCs w:val="18"/>
        </w:rPr>
        <w:t xml:space="preserve"> Para comprenderlo se puede ver la sentencia SC2111-2021, con ponencia del Magistrado Luis Armando Tolosa Villabona, que hace énfasis en una presunción de responsabilidad y no de culpa. Sin embargo, para el momento en que se adoptó, participaron solo seis magistrados, de los cuales cuatro aclararon voto, uno de ellos, para adherirse a la teoría de la presunción de responsabilidad, pero los otros tres para dejar sentado que el régimen es de culpa presunta, igual que ocurrió con la sentencia SC4420-2020, lo que indica que esa tesis no alcanza aún en la Corte una mayoría.</w:t>
      </w:r>
    </w:p>
  </w:footnote>
  <w:footnote w:id="27">
    <w:p w14:paraId="156630D5" w14:textId="77777777" w:rsidR="0062103C" w:rsidRPr="00DD2C71" w:rsidRDefault="0062103C" w:rsidP="00DD2C71">
      <w:pPr>
        <w:pBdr>
          <w:top w:val="nil"/>
          <w:left w:val="nil"/>
          <w:bottom w:val="nil"/>
          <w:right w:val="nil"/>
          <w:between w:val="nil"/>
        </w:pBdr>
        <w:spacing w:line="240" w:lineRule="auto"/>
        <w:jc w:val="both"/>
        <w:rPr>
          <w:rFonts w:eastAsia="Georgia"/>
          <w:color w:val="000000"/>
          <w:sz w:val="18"/>
          <w:szCs w:val="18"/>
        </w:rPr>
      </w:pPr>
      <w:r w:rsidRPr="00DD2C71">
        <w:rPr>
          <w:rFonts w:eastAsia="Georgia"/>
          <w:color w:val="000000"/>
          <w:sz w:val="18"/>
          <w:szCs w:val="18"/>
        </w:rPr>
        <w:footnoteRef/>
      </w:r>
      <w:r w:rsidRPr="00DD2C71">
        <w:rPr>
          <w:rFonts w:eastAsia="Georgia"/>
          <w:color w:val="000000"/>
          <w:sz w:val="18"/>
          <w:szCs w:val="18"/>
        </w:rPr>
        <w:t xml:space="preserve"> Tribunal Superior del Distrito Judicial de Pereira, Sala Civil-Familia; sentencias de febrero 16 de 2018, radicado 2012-00240-01, 14 de junio de 2017, radicado 2010-00184-01 y del 27 de septiembre de 2017, radicado 2015,00107-01, M.P. Duberney Grisales Herrera; sentencia TSP.SC-0071-2021.</w:t>
      </w:r>
    </w:p>
    <w:p w14:paraId="0C6C0DCF" w14:textId="77777777" w:rsidR="0062103C" w:rsidRPr="00DD2C71" w:rsidRDefault="0062103C" w:rsidP="00DD2C71">
      <w:pPr>
        <w:spacing w:line="240" w:lineRule="auto"/>
        <w:jc w:val="both"/>
        <w:rPr>
          <w:rFonts w:eastAsia="Century"/>
          <w:color w:val="000000"/>
          <w:sz w:val="18"/>
          <w:szCs w:val="18"/>
        </w:rPr>
      </w:pPr>
    </w:p>
  </w:footnote>
  <w:footnote w:id="28">
    <w:p w14:paraId="26CC7167" w14:textId="77777777" w:rsidR="0062103C" w:rsidRPr="00DD2C71" w:rsidRDefault="0062103C" w:rsidP="00DD2C71">
      <w:pPr>
        <w:pStyle w:val="Textonotapie"/>
        <w:jc w:val="both"/>
        <w:rPr>
          <w:sz w:val="18"/>
          <w:szCs w:val="18"/>
          <w:lang w:val="es-419"/>
        </w:rPr>
      </w:pPr>
      <w:r w:rsidRPr="00DD2C71">
        <w:rPr>
          <w:rStyle w:val="Refdenotaalpie"/>
          <w:sz w:val="18"/>
          <w:szCs w:val="18"/>
        </w:rPr>
        <w:footnoteRef/>
      </w:r>
      <w:r w:rsidRPr="00DD2C71">
        <w:rPr>
          <w:sz w:val="18"/>
          <w:szCs w:val="18"/>
        </w:rPr>
        <w:t xml:space="preserve"> Tribunal Superior de Pereira, Sala Civil-Familia, sentencia TSP.SC-0071-2021</w:t>
      </w:r>
    </w:p>
  </w:footnote>
  <w:footnote w:id="29">
    <w:p w14:paraId="0C2737B1" w14:textId="77777777" w:rsidR="0062103C" w:rsidRPr="00DD2C71" w:rsidRDefault="0062103C" w:rsidP="00DD2C71">
      <w:pPr>
        <w:pStyle w:val="Textonotapie"/>
        <w:jc w:val="both"/>
        <w:rPr>
          <w:sz w:val="18"/>
          <w:szCs w:val="18"/>
          <w:lang w:val="es-419"/>
        </w:rPr>
      </w:pPr>
      <w:r w:rsidRPr="00DD2C71">
        <w:rPr>
          <w:rStyle w:val="Refdenotaalpie"/>
          <w:sz w:val="18"/>
          <w:szCs w:val="18"/>
        </w:rPr>
        <w:footnoteRef/>
      </w:r>
      <w:r w:rsidRPr="00DD2C71">
        <w:rPr>
          <w:sz w:val="18"/>
          <w:szCs w:val="18"/>
        </w:rPr>
        <w:t xml:space="preserve"> Corte Suprema de Justicia, Sala de Casación Civil, sentencia SC13594-2015</w:t>
      </w:r>
    </w:p>
  </w:footnote>
  <w:footnote w:id="30">
    <w:p w14:paraId="754DF92E" w14:textId="2FEE4D59" w:rsidR="0062103C" w:rsidRPr="00DD2C71" w:rsidRDefault="0062103C" w:rsidP="00DD2C71">
      <w:pPr>
        <w:pStyle w:val="Textonotapie"/>
        <w:jc w:val="both"/>
        <w:rPr>
          <w:sz w:val="18"/>
          <w:szCs w:val="18"/>
          <w:lang w:val="es-MX"/>
        </w:rPr>
      </w:pPr>
      <w:r w:rsidRPr="00DD2C71">
        <w:rPr>
          <w:rStyle w:val="Refdenotaalpie"/>
          <w:sz w:val="18"/>
          <w:szCs w:val="18"/>
        </w:rPr>
        <w:footnoteRef/>
      </w:r>
      <w:r w:rsidRPr="00DD2C71">
        <w:rPr>
          <w:sz w:val="18"/>
          <w:szCs w:val="18"/>
        </w:rPr>
        <w:t xml:space="preserve"> CSJ. Civil. Sentencia de 23 de octubre de 2001, expediente 6315.</w:t>
      </w:r>
    </w:p>
  </w:footnote>
  <w:footnote w:id="31">
    <w:p w14:paraId="1D0A4E6C" w14:textId="07CABA36" w:rsidR="0062103C" w:rsidRPr="00DD2C71" w:rsidRDefault="0062103C" w:rsidP="00DD2C71">
      <w:pPr>
        <w:pStyle w:val="Textonotapie"/>
        <w:jc w:val="both"/>
        <w:rPr>
          <w:sz w:val="18"/>
          <w:szCs w:val="18"/>
          <w:lang w:val="es-MX"/>
        </w:rPr>
      </w:pPr>
      <w:r w:rsidRPr="00DD2C71">
        <w:rPr>
          <w:rStyle w:val="Refdenotaalpie"/>
          <w:sz w:val="18"/>
          <w:szCs w:val="18"/>
        </w:rPr>
        <w:footnoteRef/>
      </w:r>
      <w:r w:rsidRPr="00DD2C71">
        <w:rPr>
          <w:sz w:val="18"/>
          <w:szCs w:val="18"/>
        </w:rPr>
        <w:t xml:space="preserve"> TSP-SC-0083-2021</w:t>
      </w:r>
    </w:p>
  </w:footnote>
  <w:footnote w:id="32">
    <w:p w14:paraId="65B0C48A" w14:textId="0248F65D" w:rsidR="0062103C" w:rsidRPr="00DD2C71" w:rsidRDefault="0062103C" w:rsidP="00DD2C71">
      <w:pPr>
        <w:pStyle w:val="Textonotapie"/>
        <w:jc w:val="both"/>
        <w:rPr>
          <w:sz w:val="18"/>
          <w:szCs w:val="18"/>
          <w:lang w:val="es-MX"/>
        </w:rPr>
      </w:pPr>
      <w:r w:rsidRPr="00DD2C71">
        <w:rPr>
          <w:rStyle w:val="Refdenotaalpie"/>
          <w:sz w:val="18"/>
          <w:szCs w:val="18"/>
        </w:rPr>
        <w:footnoteRef/>
      </w:r>
      <w:r w:rsidRPr="00DD2C71">
        <w:rPr>
          <w:sz w:val="18"/>
          <w:szCs w:val="18"/>
        </w:rPr>
        <w:t xml:space="preserve"> TSP-SC-0080-2021</w:t>
      </w:r>
    </w:p>
  </w:footnote>
  <w:footnote w:id="33">
    <w:p w14:paraId="6358FB4C" w14:textId="5F9334FC" w:rsidR="0062103C" w:rsidRPr="00DD2C71" w:rsidRDefault="0062103C" w:rsidP="00DD2C71">
      <w:pPr>
        <w:pStyle w:val="Textonotapie"/>
        <w:jc w:val="both"/>
        <w:rPr>
          <w:sz w:val="18"/>
          <w:szCs w:val="18"/>
          <w:lang w:val="es-MX"/>
        </w:rPr>
      </w:pPr>
      <w:r w:rsidRPr="00DD2C71">
        <w:rPr>
          <w:rStyle w:val="Refdenotaalpie"/>
          <w:sz w:val="18"/>
          <w:szCs w:val="18"/>
        </w:rPr>
        <w:footnoteRef/>
      </w:r>
      <w:r w:rsidRPr="00DD2C71">
        <w:rPr>
          <w:sz w:val="18"/>
          <w:szCs w:val="18"/>
        </w:rPr>
        <w:t xml:space="preserve"> CSJ. STC-2066-2021 y STC-7722-2021</w:t>
      </w:r>
    </w:p>
  </w:footnote>
  <w:footnote w:id="34">
    <w:p w14:paraId="705DD9C9" w14:textId="368D79BB" w:rsidR="0062103C" w:rsidRPr="00DD2C71" w:rsidRDefault="0062103C" w:rsidP="00DD2C71">
      <w:pPr>
        <w:pStyle w:val="Textonotapie"/>
        <w:jc w:val="both"/>
        <w:rPr>
          <w:sz w:val="18"/>
          <w:szCs w:val="18"/>
          <w:lang w:val="es-MX"/>
        </w:rPr>
      </w:pPr>
      <w:r w:rsidRPr="00DD2C71">
        <w:rPr>
          <w:rStyle w:val="Refdenotaalpie"/>
          <w:sz w:val="18"/>
          <w:szCs w:val="18"/>
        </w:rPr>
        <w:footnoteRef/>
      </w:r>
      <w:r w:rsidRPr="00DD2C71">
        <w:rPr>
          <w:sz w:val="18"/>
          <w:szCs w:val="18"/>
        </w:rPr>
        <w:t xml:space="preserve"> TS, Civil-Familia. Sentencias (1) 20-09-2019, No.2016-01465-01; MP: Grisales H. y, Autos (1) 03-02- 2021, No.2015-00262-01; y (2) 17-04-2018, No. 2016-00279, ambos del MS: Grisales H.</w:t>
      </w:r>
    </w:p>
  </w:footnote>
  <w:footnote w:id="35">
    <w:p w14:paraId="5B4A27FF" w14:textId="62FA952F" w:rsidR="0062103C" w:rsidRPr="00DD2C71" w:rsidRDefault="0062103C" w:rsidP="00DD2C71">
      <w:pPr>
        <w:pStyle w:val="Textonotapie"/>
        <w:jc w:val="both"/>
        <w:rPr>
          <w:sz w:val="18"/>
          <w:szCs w:val="18"/>
          <w:lang w:val="es-MX"/>
        </w:rPr>
      </w:pPr>
      <w:r w:rsidRPr="00DD2C71">
        <w:rPr>
          <w:rStyle w:val="Refdenotaalpie"/>
          <w:sz w:val="18"/>
          <w:szCs w:val="18"/>
        </w:rPr>
        <w:footnoteRef/>
      </w:r>
      <w:r w:rsidRPr="00DD2C71">
        <w:rPr>
          <w:sz w:val="18"/>
          <w:szCs w:val="18"/>
        </w:rPr>
        <w:t xml:space="preserve"> </w:t>
      </w:r>
      <w:r w:rsidRPr="00DD2C71">
        <w:rPr>
          <w:rFonts w:eastAsia="Georgia"/>
          <w:color w:val="000000"/>
          <w:sz w:val="18"/>
          <w:szCs w:val="18"/>
        </w:rPr>
        <w:t>01PrimeraInstancia, Primera Instancia, Cuaderno Principal, TomoI, arch. 18</w:t>
      </w:r>
    </w:p>
  </w:footnote>
  <w:footnote w:id="36">
    <w:p w14:paraId="65046014" w14:textId="3E9D03A1" w:rsidR="006A0160" w:rsidRPr="00DD2C71" w:rsidRDefault="006A0160" w:rsidP="00DD2C71">
      <w:pPr>
        <w:pStyle w:val="Textonotapie"/>
        <w:jc w:val="both"/>
        <w:rPr>
          <w:sz w:val="18"/>
          <w:szCs w:val="18"/>
          <w:lang w:val="es-MX"/>
        </w:rPr>
      </w:pPr>
      <w:r w:rsidRPr="00DD2C71">
        <w:rPr>
          <w:rStyle w:val="Refdenotaalpie"/>
          <w:sz w:val="18"/>
          <w:szCs w:val="18"/>
        </w:rPr>
        <w:footnoteRef/>
      </w:r>
      <w:r w:rsidRPr="00DD2C71">
        <w:rPr>
          <w:sz w:val="18"/>
          <w:szCs w:val="18"/>
        </w:rPr>
        <w:t xml:space="preserve"> </w:t>
      </w:r>
      <w:r w:rsidRPr="00DD2C71">
        <w:rPr>
          <w:sz w:val="18"/>
          <w:szCs w:val="18"/>
          <w:lang w:val="es-MX"/>
        </w:rPr>
        <w:t>1:06:00</w:t>
      </w:r>
    </w:p>
  </w:footnote>
  <w:footnote w:id="37">
    <w:p w14:paraId="0F0D3E93" w14:textId="22CAF39D" w:rsidR="006A0160" w:rsidRPr="00DD2C71" w:rsidRDefault="006A0160" w:rsidP="00DD2C71">
      <w:pPr>
        <w:pStyle w:val="Textonotapie"/>
        <w:jc w:val="both"/>
        <w:rPr>
          <w:sz w:val="18"/>
          <w:szCs w:val="18"/>
          <w:lang w:val="es-MX"/>
        </w:rPr>
      </w:pPr>
      <w:r w:rsidRPr="00DD2C71">
        <w:rPr>
          <w:rStyle w:val="Refdenotaalpie"/>
          <w:sz w:val="18"/>
          <w:szCs w:val="18"/>
        </w:rPr>
        <w:footnoteRef/>
      </w:r>
      <w:r w:rsidRPr="00DD2C71">
        <w:rPr>
          <w:sz w:val="18"/>
          <w:szCs w:val="18"/>
        </w:rPr>
        <w:t xml:space="preserve"> </w:t>
      </w:r>
      <w:r w:rsidRPr="00DD2C71">
        <w:rPr>
          <w:sz w:val="18"/>
          <w:szCs w:val="18"/>
          <w:lang w:val="es-MX"/>
        </w:rPr>
        <w:t>1:30:08</w:t>
      </w:r>
    </w:p>
  </w:footnote>
  <w:footnote w:id="38">
    <w:p w14:paraId="34826AEE" w14:textId="024FBEE6" w:rsidR="006A0160" w:rsidRPr="00DD2C71" w:rsidRDefault="006A0160" w:rsidP="00DD2C71">
      <w:pPr>
        <w:pStyle w:val="Textonotapie"/>
        <w:jc w:val="both"/>
        <w:rPr>
          <w:sz w:val="18"/>
          <w:szCs w:val="18"/>
          <w:lang w:val="es-MX"/>
        </w:rPr>
      </w:pPr>
      <w:r w:rsidRPr="00DD2C71">
        <w:rPr>
          <w:rStyle w:val="Refdenotaalpie"/>
          <w:sz w:val="18"/>
          <w:szCs w:val="18"/>
        </w:rPr>
        <w:footnoteRef/>
      </w:r>
      <w:r w:rsidRPr="00DD2C71">
        <w:rPr>
          <w:sz w:val="18"/>
          <w:szCs w:val="18"/>
        </w:rPr>
        <w:t xml:space="preserve"> </w:t>
      </w:r>
      <w:r w:rsidRPr="00DD2C71">
        <w:rPr>
          <w:sz w:val="18"/>
          <w:szCs w:val="18"/>
          <w:lang w:val="es-MX"/>
        </w:rPr>
        <w:t>1:54:22</w:t>
      </w:r>
    </w:p>
  </w:footnote>
  <w:footnote w:id="39">
    <w:p w14:paraId="105E91BE" w14:textId="067E77A5" w:rsidR="004A66EE" w:rsidRPr="00DD2C71" w:rsidRDefault="004A66EE" w:rsidP="00DD2C71">
      <w:pPr>
        <w:pStyle w:val="Textonotapie"/>
        <w:jc w:val="both"/>
        <w:rPr>
          <w:sz w:val="18"/>
          <w:szCs w:val="18"/>
          <w:lang w:val="es-MX"/>
        </w:rPr>
      </w:pPr>
      <w:r w:rsidRPr="00DD2C71">
        <w:rPr>
          <w:rStyle w:val="Refdenotaalpie"/>
          <w:sz w:val="18"/>
          <w:szCs w:val="18"/>
        </w:rPr>
        <w:footnoteRef/>
      </w:r>
      <w:r w:rsidRPr="00DD2C71">
        <w:rPr>
          <w:sz w:val="18"/>
          <w:szCs w:val="18"/>
        </w:rPr>
        <w:t xml:space="preserve"> </w:t>
      </w:r>
      <w:r w:rsidRPr="00DD2C71">
        <w:rPr>
          <w:rFonts w:eastAsia="Georgia"/>
          <w:color w:val="000000"/>
          <w:sz w:val="18"/>
          <w:szCs w:val="18"/>
        </w:rPr>
        <w:t>01PrimeraInstancia, Primera Instancia, Cuaderno Principal, TomoI, arch.02, p. 7</w:t>
      </w:r>
    </w:p>
  </w:footnote>
  <w:footnote w:id="40">
    <w:p w14:paraId="2A48007E" w14:textId="5BF1E804" w:rsidR="00F030E0" w:rsidRPr="00DD2C71" w:rsidRDefault="00F030E0" w:rsidP="00DD2C71">
      <w:pPr>
        <w:pStyle w:val="Textonotapie"/>
        <w:jc w:val="both"/>
        <w:rPr>
          <w:sz w:val="18"/>
          <w:szCs w:val="18"/>
          <w:lang w:val="es-MX"/>
        </w:rPr>
      </w:pPr>
      <w:r w:rsidRPr="00DD2C71">
        <w:rPr>
          <w:rStyle w:val="Refdenotaalpie"/>
          <w:sz w:val="18"/>
          <w:szCs w:val="18"/>
        </w:rPr>
        <w:footnoteRef/>
      </w:r>
      <w:r w:rsidRPr="00DD2C71">
        <w:rPr>
          <w:sz w:val="18"/>
          <w:szCs w:val="18"/>
        </w:rPr>
        <w:t xml:space="preserve"> </w:t>
      </w:r>
      <w:r w:rsidRPr="00DD2C71">
        <w:rPr>
          <w:sz w:val="18"/>
          <w:szCs w:val="18"/>
          <w:lang w:val="es-MX"/>
        </w:rPr>
        <w:t>Sentencia TSP-SC-0012-2022</w:t>
      </w:r>
    </w:p>
  </w:footnote>
  <w:footnote w:id="41">
    <w:p w14:paraId="7BBE4C4D" w14:textId="318AD93D" w:rsidR="003C1180" w:rsidRPr="00DD2C71" w:rsidRDefault="003C1180" w:rsidP="00DD2C71">
      <w:pPr>
        <w:pStyle w:val="Textonotapie"/>
        <w:jc w:val="both"/>
        <w:rPr>
          <w:sz w:val="18"/>
          <w:szCs w:val="18"/>
          <w:lang w:val="en-US"/>
        </w:rPr>
      </w:pPr>
      <w:r w:rsidRPr="00DD2C71">
        <w:rPr>
          <w:rStyle w:val="Refdenotaalpie"/>
          <w:sz w:val="18"/>
          <w:szCs w:val="18"/>
        </w:rPr>
        <w:footnoteRef/>
      </w:r>
      <w:r w:rsidRPr="00DD2C71">
        <w:rPr>
          <w:sz w:val="18"/>
          <w:szCs w:val="18"/>
          <w:lang w:val="en-US"/>
        </w:rPr>
        <w:t xml:space="preserve"> SC-0045-2022</w:t>
      </w:r>
    </w:p>
  </w:footnote>
  <w:footnote w:id="42">
    <w:p w14:paraId="216CE022" w14:textId="60ECCFDD" w:rsidR="00F045E5" w:rsidRPr="00DD2C71" w:rsidRDefault="00F045E5" w:rsidP="00DD2C71">
      <w:pPr>
        <w:spacing w:line="240" w:lineRule="auto"/>
        <w:jc w:val="both"/>
        <w:rPr>
          <w:rFonts w:eastAsia="Georgia"/>
          <w:sz w:val="18"/>
          <w:szCs w:val="18"/>
          <w:lang w:val="en-US"/>
        </w:rPr>
      </w:pPr>
      <w:r w:rsidRPr="00DD2C71">
        <w:rPr>
          <w:rStyle w:val="Refdenotaalpie"/>
          <w:sz w:val="18"/>
          <w:szCs w:val="18"/>
        </w:rPr>
        <w:footnoteRef/>
      </w:r>
      <w:r w:rsidRPr="00DD2C71">
        <w:rPr>
          <w:sz w:val="18"/>
          <w:szCs w:val="18"/>
          <w:lang w:val="en-US"/>
        </w:rPr>
        <w:t xml:space="preserve"> TSP-</w:t>
      </w:r>
      <w:r w:rsidRPr="00DD2C71">
        <w:rPr>
          <w:rFonts w:eastAsia="Georgia"/>
          <w:sz w:val="18"/>
          <w:szCs w:val="18"/>
          <w:lang w:val="en-US"/>
        </w:rPr>
        <w:t>SC-009-2022</w:t>
      </w:r>
    </w:p>
    <w:p w14:paraId="061A9614" w14:textId="19B5DCE5" w:rsidR="00F045E5" w:rsidRPr="00DD2C71" w:rsidRDefault="00F045E5" w:rsidP="00DD2C71">
      <w:pPr>
        <w:pStyle w:val="Textonotapie"/>
        <w:jc w:val="both"/>
        <w:rPr>
          <w:sz w:val="18"/>
          <w:szCs w:val="18"/>
          <w:lang w:val="en-US"/>
        </w:rPr>
      </w:pPr>
    </w:p>
  </w:footnote>
  <w:footnote w:id="43">
    <w:p w14:paraId="44E4770D" w14:textId="62897734" w:rsidR="00B54D9D" w:rsidRPr="00DD2C71" w:rsidRDefault="00B54D9D" w:rsidP="00DD2C71">
      <w:pPr>
        <w:pStyle w:val="Textonotapie"/>
        <w:jc w:val="both"/>
        <w:rPr>
          <w:sz w:val="18"/>
          <w:szCs w:val="18"/>
          <w:lang w:val="en-US"/>
        </w:rPr>
      </w:pPr>
      <w:r w:rsidRPr="00DD2C71">
        <w:rPr>
          <w:rStyle w:val="Refdenotaalpie"/>
          <w:sz w:val="18"/>
          <w:szCs w:val="18"/>
        </w:rPr>
        <w:footnoteRef/>
      </w:r>
      <w:r w:rsidRPr="00DD2C71">
        <w:rPr>
          <w:sz w:val="18"/>
          <w:szCs w:val="18"/>
          <w:lang w:val="en-US"/>
        </w:rPr>
        <w:t xml:space="preserve"> </w:t>
      </w:r>
      <w:r w:rsidR="00F045E5" w:rsidRPr="00DD2C71">
        <w:rPr>
          <w:sz w:val="18"/>
          <w:szCs w:val="18"/>
          <w:lang w:val="en-US"/>
        </w:rPr>
        <w:t>TSP-</w:t>
      </w:r>
      <w:r w:rsidRPr="00DD2C71">
        <w:rPr>
          <w:sz w:val="18"/>
          <w:szCs w:val="18"/>
          <w:lang w:val="en-US"/>
        </w:rPr>
        <w:t>SC-0023-2022</w:t>
      </w:r>
    </w:p>
  </w:footnote>
  <w:footnote w:id="44">
    <w:p w14:paraId="0BB8089D" w14:textId="77777777" w:rsidR="00B54D9D" w:rsidRPr="00DD2C71" w:rsidRDefault="00B54D9D" w:rsidP="00DD2C71">
      <w:pPr>
        <w:pStyle w:val="Textonotapie"/>
        <w:jc w:val="both"/>
        <w:rPr>
          <w:sz w:val="18"/>
          <w:szCs w:val="18"/>
          <w:lang w:val="es-419"/>
        </w:rPr>
      </w:pPr>
      <w:r w:rsidRPr="00DD2C71">
        <w:rPr>
          <w:rStyle w:val="Refdenotaalpie"/>
          <w:sz w:val="18"/>
          <w:szCs w:val="18"/>
        </w:rPr>
        <w:footnoteRef/>
      </w:r>
      <w:r w:rsidRPr="00DD2C71">
        <w:rPr>
          <w:sz w:val="18"/>
          <w:szCs w:val="18"/>
        </w:rPr>
        <w:t xml:space="preserve"> Sentencias del 19 de julio del 2019, radicado 661703103002201700034501; del 25 de agosto de 2020, radicado 66001310300320170035301; del 3 de diciembre de 2021, radicado 66-001-31-03-002-2019-00142-01 a la que se acumuló la demanda con radicado 66-001-31- 03-004-2019-00165-00; y TPS.SC0071-2021 </w:t>
      </w:r>
    </w:p>
  </w:footnote>
  <w:footnote w:id="45">
    <w:p w14:paraId="2E2F2F2D" w14:textId="77777777" w:rsidR="00B54D9D" w:rsidRPr="00DD2C71" w:rsidRDefault="00B54D9D" w:rsidP="00DD2C71">
      <w:pPr>
        <w:pStyle w:val="Textonotapie"/>
        <w:jc w:val="both"/>
        <w:rPr>
          <w:sz w:val="18"/>
          <w:szCs w:val="18"/>
          <w:lang w:val="es-419"/>
        </w:rPr>
      </w:pPr>
      <w:r w:rsidRPr="00DD2C71">
        <w:rPr>
          <w:rStyle w:val="Refdenotaalpie"/>
          <w:sz w:val="18"/>
          <w:szCs w:val="18"/>
        </w:rPr>
        <w:footnoteRef/>
      </w:r>
      <w:r w:rsidRPr="00DD2C71">
        <w:rPr>
          <w:sz w:val="18"/>
          <w:szCs w:val="18"/>
        </w:rPr>
        <w:t xml:space="preserve"> Sentencia SC21828-17</w:t>
      </w:r>
    </w:p>
  </w:footnote>
  <w:footnote w:id="46">
    <w:p w14:paraId="63319767" w14:textId="77777777" w:rsidR="00B54D9D" w:rsidRPr="00DD2C71" w:rsidRDefault="00B54D9D" w:rsidP="00DD2C71">
      <w:pPr>
        <w:pStyle w:val="Textonotapie"/>
        <w:jc w:val="both"/>
        <w:rPr>
          <w:sz w:val="18"/>
          <w:szCs w:val="18"/>
          <w:lang w:val="es-419"/>
        </w:rPr>
      </w:pPr>
      <w:r w:rsidRPr="00DD2C71">
        <w:rPr>
          <w:rStyle w:val="Refdenotaalpie"/>
          <w:sz w:val="18"/>
          <w:szCs w:val="18"/>
        </w:rPr>
        <w:footnoteRef/>
      </w:r>
      <w:r w:rsidRPr="00DD2C71">
        <w:rPr>
          <w:sz w:val="18"/>
          <w:szCs w:val="18"/>
        </w:rPr>
        <w:t xml:space="preserve"> Corte Suprema de Justicia, Sala de Casación Civil, sentencia SC-3728-2021</w:t>
      </w:r>
    </w:p>
  </w:footnote>
  <w:footnote w:id="47">
    <w:p w14:paraId="4CCE11CF" w14:textId="77777777" w:rsidR="006A71D3" w:rsidRPr="00DD2C71" w:rsidRDefault="006A71D3" w:rsidP="00DD2C71">
      <w:pPr>
        <w:spacing w:line="240" w:lineRule="auto"/>
        <w:jc w:val="both"/>
        <w:rPr>
          <w:rFonts w:eastAsia="Georgia"/>
          <w:sz w:val="18"/>
          <w:szCs w:val="18"/>
        </w:rPr>
      </w:pPr>
      <w:r w:rsidRPr="00DD2C71">
        <w:rPr>
          <w:rStyle w:val="Refdenotaalpie"/>
          <w:sz w:val="18"/>
          <w:szCs w:val="18"/>
        </w:rPr>
        <w:footnoteRef/>
      </w:r>
      <w:r w:rsidRPr="00DD2C71">
        <w:rPr>
          <w:sz w:val="18"/>
          <w:szCs w:val="18"/>
        </w:rPr>
        <w:t xml:space="preserve"> </w:t>
      </w:r>
      <w:r w:rsidRPr="00DD2C71">
        <w:rPr>
          <w:rFonts w:eastAsia="Georgia"/>
          <w:sz w:val="18"/>
          <w:szCs w:val="18"/>
        </w:rPr>
        <w:t>01PrimeraInstancia, PrimeraInstancia, AUDIENCIAS, A. INICIAL</w:t>
      </w:r>
    </w:p>
    <w:p w14:paraId="1A994284" w14:textId="605CF12C" w:rsidR="006A71D3" w:rsidRPr="00DD2C71" w:rsidRDefault="006A71D3" w:rsidP="00DD2C71">
      <w:pPr>
        <w:spacing w:line="240" w:lineRule="auto"/>
        <w:jc w:val="both"/>
        <w:rPr>
          <w:sz w:val="18"/>
          <w:szCs w:val="18"/>
          <w:lang w:val="es-ES"/>
        </w:rPr>
      </w:pPr>
      <w:r w:rsidRPr="00DD2C71">
        <w:rPr>
          <w:rFonts w:eastAsia="Georgia"/>
          <w:sz w:val="18"/>
          <w:szCs w:val="18"/>
        </w:rPr>
        <w:t>00:34:20 y</w:t>
      </w:r>
      <w:r w:rsidR="00D621B7" w:rsidRPr="00DD2C71">
        <w:rPr>
          <w:rFonts w:eastAsia="Georgia"/>
          <w:sz w:val="18"/>
          <w:szCs w:val="18"/>
        </w:rPr>
        <w:t xml:space="preserve"> 1:00:00. </w:t>
      </w:r>
    </w:p>
  </w:footnote>
  <w:footnote w:id="48">
    <w:p w14:paraId="6A27916F" w14:textId="77777777" w:rsidR="00536A04" w:rsidRPr="00DD2C71" w:rsidRDefault="00536A04" w:rsidP="00DD2C71">
      <w:pPr>
        <w:spacing w:line="240" w:lineRule="auto"/>
        <w:jc w:val="both"/>
        <w:rPr>
          <w:rFonts w:eastAsia="Georgia"/>
          <w:sz w:val="18"/>
          <w:szCs w:val="18"/>
        </w:rPr>
      </w:pPr>
      <w:r w:rsidRPr="00DD2C71">
        <w:rPr>
          <w:rStyle w:val="Refdenotaalpie"/>
          <w:sz w:val="18"/>
          <w:szCs w:val="18"/>
        </w:rPr>
        <w:footnoteRef/>
      </w:r>
      <w:r w:rsidRPr="00DD2C71">
        <w:rPr>
          <w:sz w:val="18"/>
          <w:szCs w:val="18"/>
        </w:rPr>
        <w:t xml:space="preserve"> </w:t>
      </w:r>
      <w:r w:rsidRPr="00DD2C71">
        <w:rPr>
          <w:rFonts w:eastAsia="Georgia"/>
          <w:sz w:val="18"/>
          <w:szCs w:val="18"/>
        </w:rPr>
        <w:t>00:12:00</w:t>
      </w:r>
    </w:p>
    <w:p w14:paraId="0B034604" w14:textId="77777777" w:rsidR="00536A04" w:rsidRPr="00DD2C71" w:rsidRDefault="00536A04" w:rsidP="00DD2C71">
      <w:pPr>
        <w:pStyle w:val="Textonotapie"/>
        <w:jc w:val="both"/>
        <w:rPr>
          <w:sz w:val="18"/>
          <w:szCs w:val="18"/>
          <w:lang w:val="es-MX"/>
        </w:rPr>
      </w:pPr>
    </w:p>
  </w:footnote>
  <w:footnote w:id="49">
    <w:p w14:paraId="4B1142A4" w14:textId="55862572" w:rsidR="00CF480A" w:rsidRPr="00DD2C71" w:rsidRDefault="00CF480A" w:rsidP="00DD2C71">
      <w:pPr>
        <w:pStyle w:val="Textonotapie"/>
        <w:jc w:val="both"/>
        <w:rPr>
          <w:sz w:val="18"/>
          <w:szCs w:val="18"/>
          <w:lang w:val="es-ES"/>
        </w:rPr>
      </w:pPr>
      <w:r w:rsidRPr="00DD2C71">
        <w:rPr>
          <w:rStyle w:val="Refdenotaalpie"/>
          <w:sz w:val="18"/>
          <w:szCs w:val="18"/>
        </w:rPr>
        <w:footnoteRef/>
      </w:r>
      <w:r w:rsidRPr="00DD2C71">
        <w:rPr>
          <w:sz w:val="18"/>
          <w:szCs w:val="18"/>
        </w:rPr>
        <w:t xml:space="preserve"> </w:t>
      </w:r>
      <w:r w:rsidR="009A0877" w:rsidRPr="00DD2C71">
        <w:rPr>
          <w:rFonts w:eastAsia="Georgia"/>
          <w:color w:val="000000"/>
          <w:sz w:val="18"/>
          <w:szCs w:val="18"/>
        </w:rPr>
        <w:t>01PrimeraInstancia, Primera Instancia, Cuaderno Principal, TomoI, arch. 03</w:t>
      </w:r>
    </w:p>
  </w:footnote>
  <w:footnote w:id="50">
    <w:p w14:paraId="108CCB99" w14:textId="3597C858" w:rsidR="009A0877" w:rsidRPr="00DD2C71" w:rsidRDefault="009A0877" w:rsidP="00DD2C71">
      <w:pPr>
        <w:pStyle w:val="Textonotapie"/>
        <w:jc w:val="both"/>
        <w:rPr>
          <w:sz w:val="18"/>
          <w:szCs w:val="18"/>
          <w:lang w:val="es-ES"/>
        </w:rPr>
      </w:pPr>
      <w:r w:rsidRPr="00DD2C71">
        <w:rPr>
          <w:rStyle w:val="Refdenotaalpie"/>
          <w:sz w:val="18"/>
          <w:szCs w:val="18"/>
        </w:rPr>
        <w:footnoteRef/>
      </w:r>
      <w:r w:rsidRPr="00DD2C71">
        <w:rPr>
          <w:sz w:val="18"/>
          <w:szCs w:val="18"/>
        </w:rPr>
        <w:t xml:space="preserve"> </w:t>
      </w:r>
      <w:r w:rsidRPr="00DD2C71">
        <w:rPr>
          <w:rFonts w:eastAsia="Georgia"/>
          <w:color w:val="000000"/>
          <w:sz w:val="18"/>
          <w:szCs w:val="18"/>
        </w:rPr>
        <w:t>01PrimeraInstancia, Primera Instancia, Cuaderno Principal, TomoI, arch. 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09DB"/>
    <w:multiLevelType w:val="hybridMultilevel"/>
    <w:tmpl w:val="F1EA29E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33A461D"/>
    <w:multiLevelType w:val="multilevel"/>
    <w:tmpl w:val="2034B850"/>
    <w:lvl w:ilvl="0">
      <w:start w:val="1"/>
      <w:numFmt w:val="decimal"/>
      <w:lvlText w:val="%1."/>
      <w:lvlJc w:val="left"/>
      <w:pPr>
        <w:ind w:left="1200" w:hanging="84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D8"/>
    <w:rsid w:val="00005B56"/>
    <w:rsid w:val="00010F95"/>
    <w:rsid w:val="00013858"/>
    <w:rsid w:val="00015AED"/>
    <w:rsid w:val="0001758D"/>
    <w:rsid w:val="000246B7"/>
    <w:rsid w:val="00025C19"/>
    <w:rsid w:val="00032F21"/>
    <w:rsid w:val="00033957"/>
    <w:rsid w:val="00044D94"/>
    <w:rsid w:val="00045F0C"/>
    <w:rsid w:val="000578FE"/>
    <w:rsid w:val="000617D4"/>
    <w:rsid w:val="000621A4"/>
    <w:rsid w:val="00062784"/>
    <w:rsid w:val="0006462D"/>
    <w:rsid w:val="000658B9"/>
    <w:rsid w:val="00066557"/>
    <w:rsid w:val="0006667E"/>
    <w:rsid w:val="000722D7"/>
    <w:rsid w:val="00075A25"/>
    <w:rsid w:val="000764DA"/>
    <w:rsid w:val="00077D5D"/>
    <w:rsid w:val="00086CB9"/>
    <w:rsid w:val="000918CA"/>
    <w:rsid w:val="0009252D"/>
    <w:rsid w:val="00092B81"/>
    <w:rsid w:val="000A4368"/>
    <w:rsid w:val="000A5527"/>
    <w:rsid w:val="000B1607"/>
    <w:rsid w:val="000B5730"/>
    <w:rsid w:val="000B58F4"/>
    <w:rsid w:val="000B61DB"/>
    <w:rsid w:val="000B6759"/>
    <w:rsid w:val="000C36C3"/>
    <w:rsid w:val="000D3AF4"/>
    <w:rsid w:val="000D4A1F"/>
    <w:rsid w:val="000D567E"/>
    <w:rsid w:val="000E440E"/>
    <w:rsid w:val="000F0A90"/>
    <w:rsid w:val="000F3FDB"/>
    <w:rsid w:val="00101EE7"/>
    <w:rsid w:val="00102729"/>
    <w:rsid w:val="0011132B"/>
    <w:rsid w:val="00111DFA"/>
    <w:rsid w:val="00115280"/>
    <w:rsid w:val="00116ABD"/>
    <w:rsid w:val="001217D1"/>
    <w:rsid w:val="001264BB"/>
    <w:rsid w:val="00130631"/>
    <w:rsid w:val="00130A6D"/>
    <w:rsid w:val="0013583D"/>
    <w:rsid w:val="001410F2"/>
    <w:rsid w:val="0014216E"/>
    <w:rsid w:val="0015194C"/>
    <w:rsid w:val="0015694A"/>
    <w:rsid w:val="00156FBD"/>
    <w:rsid w:val="001600AE"/>
    <w:rsid w:val="00160DCC"/>
    <w:rsid w:val="0016352E"/>
    <w:rsid w:val="00164F0D"/>
    <w:rsid w:val="0017080B"/>
    <w:rsid w:val="00171BF5"/>
    <w:rsid w:val="00177093"/>
    <w:rsid w:val="00184449"/>
    <w:rsid w:val="00185BE1"/>
    <w:rsid w:val="001861AD"/>
    <w:rsid w:val="00193BF6"/>
    <w:rsid w:val="001B4981"/>
    <w:rsid w:val="001B7BDE"/>
    <w:rsid w:val="001C0EEB"/>
    <w:rsid w:val="001C28F9"/>
    <w:rsid w:val="001C52BE"/>
    <w:rsid w:val="001D41B8"/>
    <w:rsid w:val="001D678A"/>
    <w:rsid w:val="001E2AB2"/>
    <w:rsid w:val="001E3354"/>
    <w:rsid w:val="001E4D6A"/>
    <w:rsid w:val="001F15CA"/>
    <w:rsid w:val="001F62CB"/>
    <w:rsid w:val="001F67E2"/>
    <w:rsid w:val="0020045E"/>
    <w:rsid w:val="00205E78"/>
    <w:rsid w:val="00206CAB"/>
    <w:rsid w:val="00207E18"/>
    <w:rsid w:val="00210C53"/>
    <w:rsid w:val="00212A27"/>
    <w:rsid w:val="002158F4"/>
    <w:rsid w:val="00215999"/>
    <w:rsid w:val="00215B67"/>
    <w:rsid w:val="00215E76"/>
    <w:rsid w:val="00222262"/>
    <w:rsid w:val="002244C1"/>
    <w:rsid w:val="00224743"/>
    <w:rsid w:val="002272DC"/>
    <w:rsid w:val="00233F49"/>
    <w:rsid w:val="00236EA6"/>
    <w:rsid w:val="00254E31"/>
    <w:rsid w:val="00256A54"/>
    <w:rsid w:val="002578AE"/>
    <w:rsid w:val="00261A01"/>
    <w:rsid w:val="00261C51"/>
    <w:rsid w:val="00262A60"/>
    <w:rsid w:val="002765F0"/>
    <w:rsid w:val="00276F17"/>
    <w:rsid w:val="0027763F"/>
    <w:rsid w:val="00280C6E"/>
    <w:rsid w:val="00284C3D"/>
    <w:rsid w:val="00285EB6"/>
    <w:rsid w:val="00286D8F"/>
    <w:rsid w:val="002919F3"/>
    <w:rsid w:val="002A2114"/>
    <w:rsid w:val="002A228B"/>
    <w:rsid w:val="002A72FE"/>
    <w:rsid w:val="002B08BA"/>
    <w:rsid w:val="002B48ED"/>
    <w:rsid w:val="002B5F33"/>
    <w:rsid w:val="002C13B3"/>
    <w:rsid w:val="002C1E78"/>
    <w:rsid w:val="002C3BEC"/>
    <w:rsid w:val="002D5CDC"/>
    <w:rsid w:val="002D766E"/>
    <w:rsid w:val="002E08BA"/>
    <w:rsid w:val="002E61FF"/>
    <w:rsid w:val="002F416C"/>
    <w:rsid w:val="002F41D1"/>
    <w:rsid w:val="002F448E"/>
    <w:rsid w:val="002F669B"/>
    <w:rsid w:val="002F6AEA"/>
    <w:rsid w:val="0030355C"/>
    <w:rsid w:val="00307EE5"/>
    <w:rsid w:val="0031026C"/>
    <w:rsid w:val="003127FC"/>
    <w:rsid w:val="0031314A"/>
    <w:rsid w:val="00315744"/>
    <w:rsid w:val="00315EFE"/>
    <w:rsid w:val="003213A1"/>
    <w:rsid w:val="003266F4"/>
    <w:rsid w:val="00331CBF"/>
    <w:rsid w:val="00336BEB"/>
    <w:rsid w:val="00336C02"/>
    <w:rsid w:val="0034287A"/>
    <w:rsid w:val="003429F1"/>
    <w:rsid w:val="0035380E"/>
    <w:rsid w:val="003555F4"/>
    <w:rsid w:val="003558A6"/>
    <w:rsid w:val="00357142"/>
    <w:rsid w:val="00363D26"/>
    <w:rsid w:val="00370CC4"/>
    <w:rsid w:val="00371947"/>
    <w:rsid w:val="00386D46"/>
    <w:rsid w:val="00387217"/>
    <w:rsid w:val="00387AF3"/>
    <w:rsid w:val="003913A5"/>
    <w:rsid w:val="00392953"/>
    <w:rsid w:val="00392A81"/>
    <w:rsid w:val="00394CA0"/>
    <w:rsid w:val="00395C2B"/>
    <w:rsid w:val="00397EAD"/>
    <w:rsid w:val="003A17C3"/>
    <w:rsid w:val="003B0CAA"/>
    <w:rsid w:val="003B1D79"/>
    <w:rsid w:val="003B245B"/>
    <w:rsid w:val="003B7C33"/>
    <w:rsid w:val="003C1180"/>
    <w:rsid w:val="003D388A"/>
    <w:rsid w:val="003D4F21"/>
    <w:rsid w:val="003D588C"/>
    <w:rsid w:val="003F13D8"/>
    <w:rsid w:val="003F1637"/>
    <w:rsid w:val="003F1CAE"/>
    <w:rsid w:val="003F3244"/>
    <w:rsid w:val="004006C0"/>
    <w:rsid w:val="004039B2"/>
    <w:rsid w:val="0041282E"/>
    <w:rsid w:val="00412A8D"/>
    <w:rsid w:val="00414AD8"/>
    <w:rsid w:val="004255E4"/>
    <w:rsid w:val="004276EE"/>
    <w:rsid w:val="00434DD9"/>
    <w:rsid w:val="004402B2"/>
    <w:rsid w:val="00441143"/>
    <w:rsid w:val="0044238F"/>
    <w:rsid w:val="00442763"/>
    <w:rsid w:val="004442B0"/>
    <w:rsid w:val="00451242"/>
    <w:rsid w:val="00452124"/>
    <w:rsid w:val="0045219A"/>
    <w:rsid w:val="0045276F"/>
    <w:rsid w:val="004551DD"/>
    <w:rsid w:val="00463E4E"/>
    <w:rsid w:val="00465335"/>
    <w:rsid w:val="0046728F"/>
    <w:rsid w:val="00482B49"/>
    <w:rsid w:val="004836C3"/>
    <w:rsid w:val="00494CE2"/>
    <w:rsid w:val="00494FF7"/>
    <w:rsid w:val="0049782C"/>
    <w:rsid w:val="00497FC6"/>
    <w:rsid w:val="004A1EE3"/>
    <w:rsid w:val="004A4765"/>
    <w:rsid w:val="004A66EE"/>
    <w:rsid w:val="004B04E9"/>
    <w:rsid w:val="004B370D"/>
    <w:rsid w:val="004B4DAA"/>
    <w:rsid w:val="004B7506"/>
    <w:rsid w:val="004B7C51"/>
    <w:rsid w:val="004C3023"/>
    <w:rsid w:val="004C53CB"/>
    <w:rsid w:val="004C5866"/>
    <w:rsid w:val="004D6207"/>
    <w:rsid w:val="004D6CE4"/>
    <w:rsid w:val="004D7A0A"/>
    <w:rsid w:val="004E1F81"/>
    <w:rsid w:val="004E29DB"/>
    <w:rsid w:val="004E2FC5"/>
    <w:rsid w:val="004E4FE7"/>
    <w:rsid w:val="004F6DA8"/>
    <w:rsid w:val="0050315D"/>
    <w:rsid w:val="00514573"/>
    <w:rsid w:val="00516832"/>
    <w:rsid w:val="005209EB"/>
    <w:rsid w:val="00521EC6"/>
    <w:rsid w:val="0052261C"/>
    <w:rsid w:val="005306EA"/>
    <w:rsid w:val="00531690"/>
    <w:rsid w:val="00533B96"/>
    <w:rsid w:val="0053438A"/>
    <w:rsid w:val="00536A04"/>
    <w:rsid w:val="00540E20"/>
    <w:rsid w:val="0054140F"/>
    <w:rsid w:val="0054271F"/>
    <w:rsid w:val="00542AC5"/>
    <w:rsid w:val="005444A1"/>
    <w:rsid w:val="00552E0B"/>
    <w:rsid w:val="00564253"/>
    <w:rsid w:val="005658E0"/>
    <w:rsid w:val="0056640B"/>
    <w:rsid w:val="005746C7"/>
    <w:rsid w:val="00583163"/>
    <w:rsid w:val="005845D8"/>
    <w:rsid w:val="005856D7"/>
    <w:rsid w:val="00590316"/>
    <w:rsid w:val="005918B8"/>
    <w:rsid w:val="0059334F"/>
    <w:rsid w:val="00595D5A"/>
    <w:rsid w:val="005A2496"/>
    <w:rsid w:val="005A3D33"/>
    <w:rsid w:val="005A7ADB"/>
    <w:rsid w:val="005B3646"/>
    <w:rsid w:val="005C056E"/>
    <w:rsid w:val="005C1420"/>
    <w:rsid w:val="005C6CB5"/>
    <w:rsid w:val="005E0548"/>
    <w:rsid w:val="005E1654"/>
    <w:rsid w:val="005E35DE"/>
    <w:rsid w:val="005E6910"/>
    <w:rsid w:val="005F19B5"/>
    <w:rsid w:val="005F3C58"/>
    <w:rsid w:val="00602DD9"/>
    <w:rsid w:val="00603091"/>
    <w:rsid w:val="00604AFD"/>
    <w:rsid w:val="00605124"/>
    <w:rsid w:val="006062EB"/>
    <w:rsid w:val="00606B0A"/>
    <w:rsid w:val="00612A2F"/>
    <w:rsid w:val="00613283"/>
    <w:rsid w:val="00616FA3"/>
    <w:rsid w:val="0061771B"/>
    <w:rsid w:val="0062103C"/>
    <w:rsid w:val="00623289"/>
    <w:rsid w:val="00623C61"/>
    <w:rsid w:val="00625F91"/>
    <w:rsid w:val="00626A93"/>
    <w:rsid w:val="006270AD"/>
    <w:rsid w:val="00627747"/>
    <w:rsid w:val="0062796A"/>
    <w:rsid w:val="00627D34"/>
    <w:rsid w:val="00631708"/>
    <w:rsid w:val="006331D5"/>
    <w:rsid w:val="0063767C"/>
    <w:rsid w:val="00643174"/>
    <w:rsid w:val="00643699"/>
    <w:rsid w:val="00644D70"/>
    <w:rsid w:val="006461D4"/>
    <w:rsid w:val="00646B5A"/>
    <w:rsid w:val="0065240C"/>
    <w:rsid w:val="00653AF2"/>
    <w:rsid w:val="00654A6B"/>
    <w:rsid w:val="0066339F"/>
    <w:rsid w:val="006803D3"/>
    <w:rsid w:val="00680469"/>
    <w:rsid w:val="00682897"/>
    <w:rsid w:val="006828E1"/>
    <w:rsid w:val="00687F65"/>
    <w:rsid w:val="00693301"/>
    <w:rsid w:val="006947DC"/>
    <w:rsid w:val="006A0160"/>
    <w:rsid w:val="006A16B5"/>
    <w:rsid w:val="006A5E4A"/>
    <w:rsid w:val="006A643B"/>
    <w:rsid w:val="006A71D3"/>
    <w:rsid w:val="006A78BE"/>
    <w:rsid w:val="006B02D4"/>
    <w:rsid w:val="006B3157"/>
    <w:rsid w:val="006C4887"/>
    <w:rsid w:val="006C4F0A"/>
    <w:rsid w:val="006C67D5"/>
    <w:rsid w:val="006C7693"/>
    <w:rsid w:val="006D0D8A"/>
    <w:rsid w:val="006D2DDD"/>
    <w:rsid w:val="006D39F6"/>
    <w:rsid w:val="006F03D6"/>
    <w:rsid w:val="006F3337"/>
    <w:rsid w:val="006F4B17"/>
    <w:rsid w:val="006F5011"/>
    <w:rsid w:val="00707087"/>
    <w:rsid w:val="00707404"/>
    <w:rsid w:val="00712B5B"/>
    <w:rsid w:val="00715184"/>
    <w:rsid w:val="00717D87"/>
    <w:rsid w:val="0072266D"/>
    <w:rsid w:val="007226C6"/>
    <w:rsid w:val="00723D88"/>
    <w:rsid w:val="00730593"/>
    <w:rsid w:val="00732912"/>
    <w:rsid w:val="0073566A"/>
    <w:rsid w:val="00742612"/>
    <w:rsid w:val="007430CE"/>
    <w:rsid w:val="007445CD"/>
    <w:rsid w:val="007453E8"/>
    <w:rsid w:val="0074683F"/>
    <w:rsid w:val="00751D46"/>
    <w:rsid w:val="00754B9F"/>
    <w:rsid w:val="00756964"/>
    <w:rsid w:val="00761611"/>
    <w:rsid w:val="00766C8C"/>
    <w:rsid w:val="00777160"/>
    <w:rsid w:val="007801AB"/>
    <w:rsid w:val="00780DEC"/>
    <w:rsid w:val="00781569"/>
    <w:rsid w:val="00781652"/>
    <w:rsid w:val="00782D7B"/>
    <w:rsid w:val="00791C8A"/>
    <w:rsid w:val="0079487E"/>
    <w:rsid w:val="00794AE5"/>
    <w:rsid w:val="007A06F3"/>
    <w:rsid w:val="007A0E32"/>
    <w:rsid w:val="007A1438"/>
    <w:rsid w:val="007A16CC"/>
    <w:rsid w:val="007A1A0B"/>
    <w:rsid w:val="007B0056"/>
    <w:rsid w:val="007B04D7"/>
    <w:rsid w:val="007B59D8"/>
    <w:rsid w:val="007C0240"/>
    <w:rsid w:val="007C16DF"/>
    <w:rsid w:val="007C1EA8"/>
    <w:rsid w:val="007C381F"/>
    <w:rsid w:val="007C7B55"/>
    <w:rsid w:val="007C7F68"/>
    <w:rsid w:val="007D04A0"/>
    <w:rsid w:val="007D2326"/>
    <w:rsid w:val="007D658D"/>
    <w:rsid w:val="007E1969"/>
    <w:rsid w:val="007E38C5"/>
    <w:rsid w:val="007E4680"/>
    <w:rsid w:val="007E4B42"/>
    <w:rsid w:val="007E5CF8"/>
    <w:rsid w:val="007F0E1C"/>
    <w:rsid w:val="007F305E"/>
    <w:rsid w:val="007F3173"/>
    <w:rsid w:val="007F3330"/>
    <w:rsid w:val="007F3634"/>
    <w:rsid w:val="007F4A55"/>
    <w:rsid w:val="007F62F5"/>
    <w:rsid w:val="00810262"/>
    <w:rsid w:val="0081199A"/>
    <w:rsid w:val="00817CBF"/>
    <w:rsid w:val="0082629E"/>
    <w:rsid w:val="00826875"/>
    <w:rsid w:val="00827BA3"/>
    <w:rsid w:val="00830E61"/>
    <w:rsid w:val="00835428"/>
    <w:rsid w:val="008365B8"/>
    <w:rsid w:val="00842FF7"/>
    <w:rsid w:val="00843A99"/>
    <w:rsid w:val="00844166"/>
    <w:rsid w:val="00844D15"/>
    <w:rsid w:val="00850388"/>
    <w:rsid w:val="00850B0A"/>
    <w:rsid w:val="00852A1C"/>
    <w:rsid w:val="008567D4"/>
    <w:rsid w:val="00857041"/>
    <w:rsid w:val="00864CA8"/>
    <w:rsid w:val="0087239D"/>
    <w:rsid w:val="00880C57"/>
    <w:rsid w:val="0088564F"/>
    <w:rsid w:val="00885E53"/>
    <w:rsid w:val="00890872"/>
    <w:rsid w:val="00891A2D"/>
    <w:rsid w:val="00894240"/>
    <w:rsid w:val="008A134D"/>
    <w:rsid w:val="008A7AF2"/>
    <w:rsid w:val="008B263D"/>
    <w:rsid w:val="008B68ED"/>
    <w:rsid w:val="008B6A00"/>
    <w:rsid w:val="008C1B51"/>
    <w:rsid w:val="008D0010"/>
    <w:rsid w:val="008D04A2"/>
    <w:rsid w:val="008D058A"/>
    <w:rsid w:val="008D500D"/>
    <w:rsid w:val="008D68D3"/>
    <w:rsid w:val="008D761F"/>
    <w:rsid w:val="008E02AA"/>
    <w:rsid w:val="008E350E"/>
    <w:rsid w:val="008F4B59"/>
    <w:rsid w:val="008F5BFD"/>
    <w:rsid w:val="008F7556"/>
    <w:rsid w:val="009008AB"/>
    <w:rsid w:val="009024C9"/>
    <w:rsid w:val="009078FD"/>
    <w:rsid w:val="00912E94"/>
    <w:rsid w:val="00913760"/>
    <w:rsid w:val="00915AA8"/>
    <w:rsid w:val="00920F0A"/>
    <w:rsid w:val="00922AAE"/>
    <w:rsid w:val="00922D1E"/>
    <w:rsid w:val="0092365A"/>
    <w:rsid w:val="00931AE6"/>
    <w:rsid w:val="00936D4D"/>
    <w:rsid w:val="009412CA"/>
    <w:rsid w:val="00942063"/>
    <w:rsid w:val="0094519C"/>
    <w:rsid w:val="009451BB"/>
    <w:rsid w:val="00945DED"/>
    <w:rsid w:val="00945F16"/>
    <w:rsid w:val="009461EB"/>
    <w:rsid w:val="00946532"/>
    <w:rsid w:val="00950033"/>
    <w:rsid w:val="009535EC"/>
    <w:rsid w:val="00953DFF"/>
    <w:rsid w:val="00955F27"/>
    <w:rsid w:val="00961BA6"/>
    <w:rsid w:val="0096296F"/>
    <w:rsid w:val="0096403C"/>
    <w:rsid w:val="00964D96"/>
    <w:rsid w:val="00973369"/>
    <w:rsid w:val="00973B1B"/>
    <w:rsid w:val="00976608"/>
    <w:rsid w:val="009775D8"/>
    <w:rsid w:val="00981068"/>
    <w:rsid w:val="00983EFD"/>
    <w:rsid w:val="00985F05"/>
    <w:rsid w:val="009952C0"/>
    <w:rsid w:val="00995948"/>
    <w:rsid w:val="00995A14"/>
    <w:rsid w:val="0099796E"/>
    <w:rsid w:val="009A0877"/>
    <w:rsid w:val="009A15DA"/>
    <w:rsid w:val="009A46B9"/>
    <w:rsid w:val="009B0A30"/>
    <w:rsid w:val="009B4368"/>
    <w:rsid w:val="009B7EBD"/>
    <w:rsid w:val="009D19F4"/>
    <w:rsid w:val="009D1D34"/>
    <w:rsid w:val="009D1F08"/>
    <w:rsid w:val="009D5122"/>
    <w:rsid w:val="009D6B57"/>
    <w:rsid w:val="009E4F6A"/>
    <w:rsid w:val="009E6147"/>
    <w:rsid w:val="009F0F19"/>
    <w:rsid w:val="00A00BDC"/>
    <w:rsid w:val="00A1190B"/>
    <w:rsid w:val="00A13FF7"/>
    <w:rsid w:val="00A14CE8"/>
    <w:rsid w:val="00A235E5"/>
    <w:rsid w:val="00A3001A"/>
    <w:rsid w:val="00A300D8"/>
    <w:rsid w:val="00A313D8"/>
    <w:rsid w:val="00A32E35"/>
    <w:rsid w:val="00A3472C"/>
    <w:rsid w:val="00A34E86"/>
    <w:rsid w:val="00A358CA"/>
    <w:rsid w:val="00A36C55"/>
    <w:rsid w:val="00A37147"/>
    <w:rsid w:val="00A37905"/>
    <w:rsid w:val="00A472CF"/>
    <w:rsid w:val="00A47733"/>
    <w:rsid w:val="00A50B51"/>
    <w:rsid w:val="00A5333D"/>
    <w:rsid w:val="00A5799F"/>
    <w:rsid w:val="00A60086"/>
    <w:rsid w:val="00A64299"/>
    <w:rsid w:val="00A64CE5"/>
    <w:rsid w:val="00A65FED"/>
    <w:rsid w:val="00A6623F"/>
    <w:rsid w:val="00A713F2"/>
    <w:rsid w:val="00A75ADF"/>
    <w:rsid w:val="00A92E6B"/>
    <w:rsid w:val="00A978A1"/>
    <w:rsid w:val="00AA0C12"/>
    <w:rsid w:val="00AB26B0"/>
    <w:rsid w:val="00AB540E"/>
    <w:rsid w:val="00AC1E9A"/>
    <w:rsid w:val="00AD41D0"/>
    <w:rsid w:val="00AD5F83"/>
    <w:rsid w:val="00AD6511"/>
    <w:rsid w:val="00AE4875"/>
    <w:rsid w:val="00AE6483"/>
    <w:rsid w:val="00AE64B7"/>
    <w:rsid w:val="00AF50C7"/>
    <w:rsid w:val="00AF5CB2"/>
    <w:rsid w:val="00B00754"/>
    <w:rsid w:val="00B0152A"/>
    <w:rsid w:val="00B01981"/>
    <w:rsid w:val="00B039D8"/>
    <w:rsid w:val="00B0486A"/>
    <w:rsid w:val="00B0606B"/>
    <w:rsid w:val="00B0688E"/>
    <w:rsid w:val="00B100AB"/>
    <w:rsid w:val="00B12180"/>
    <w:rsid w:val="00B21841"/>
    <w:rsid w:val="00B22F3B"/>
    <w:rsid w:val="00B2422A"/>
    <w:rsid w:val="00B24E8A"/>
    <w:rsid w:val="00B30FFB"/>
    <w:rsid w:val="00B32345"/>
    <w:rsid w:val="00B3517B"/>
    <w:rsid w:val="00B35A59"/>
    <w:rsid w:val="00B3665D"/>
    <w:rsid w:val="00B42F04"/>
    <w:rsid w:val="00B43E1F"/>
    <w:rsid w:val="00B44F67"/>
    <w:rsid w:val="00B50AE4"/>
    <w:rsid w:val="00B512A5"/>
    <w:rsid w:val="00B53146"/>
    <w:rsid w:val="00B543C4"/>
    <w:rsid w:val="00B54D9D"/>
    <w:rsid w:val="00B54F92"/>
    <w:rsid w:val="00B7652E"/>
    <w:rsid w:val="00B76DA0"/>
    <w:rsid w:val="00B77F53"/>
    <w:rsid w:val="00B82BE7"/>
    <w:rsid w:val="00B833DA"/>
    <w:rsid w:val="00B865CD"/>
    <w:rsid w:val="00B92E23"/>
    <w:rsid w:val="00B942C3"/>
    <w:rsid w:val="00B97A79"/>
    <w:rsid w:val="00BA5CAE"/>
    <w:rsid w:val="00BA6B8B"/>
    <w:rsid w:val="00BA7C8C"/>
    <w:rsid w:val="00BB400F"/>
    <w:rsid w:val="00BB53D0"/>
    <w:rsid w:val="00BB619E"/>
    <w:rsid w:val="00BC5FDC"/>
    <w:rsid w:val="00BD1A83"/>
    <w:rsid w:val="00BD3D9F"/>
    <w:rsid w:val="00BD6D9E"/>
    <w:rsid w:val="00BD740F"/>
    <w:rsid w:val="00BE07CC"/>
    <w:rsid w:val="00BE0CB4"/>
    <w:rsid w:val="00BE0F4C"/>
    <w:rsid w:val="00BE17C8"/>
    <w:rsid w:val="00BE3BDE"/>
    <w:rsid w:val="00BE6446"/>
    <w:rsid w:val="00BF3362"/>
    <w:rsid w:val="00BF58AC"/>
    <w:rsid w:val="00BF6B25"/>
    <w:rsid w:val="00BF7109"/>
    <w:rsid w:val="00C00C4F"/>
    <w:rsid w:val="00C04AFB"/>
    <w:rsid w:val="00C05893"/>
    <w:rsid w:val="00C0770F"/>
    <w:rsid w:val="00C13351"/>
    <w:rsid w:val="00C14463"/>
    <w:rsid w:val="00C20566"/>
    <w:rsid w:val="00C229B0"/>
    <w:rsid w:val="00C24B75"/>
    <w:rsid w:val="00C25FCD"/>
    <w:rsid w:val="00C347FB"/>
    <w:rsid w:val="00C34DB9"/>
    <w:rsid w:val="00C3790A"/>
    <w:rsid w:val="00C40A69"/>
    <w:rsid w:val="00C41C4F"/>
    <w:rsid w:val="00C457E5"/>
    <w:rsid w:val="00C504B6"/>
    <w:rsid w:val="00C50A4D"/>
    <w:rsid w:val="00C525CB"/>
    <w:rsid w:val="00C55582"/>
    <w:rsid w:val="00C555E0"/>
    <w:rsid w:val="00C5629B"/>
    <w:rsid w:val="00C623EA"/>
    <w:rsid w:val="00C62AD4"/>
    <w:rsid w:val="00C649E3"/>
    <w:rsid w:val="00C729C5"/>
    <w:rsid w:val="00C7324D"/>
    <w:rsid w:val="00C80944"/>
    <w:rsid w:val="00C841F9"/>
    <w:rsid w:val="00C85ACC"/>
    <w:rsid w:val="00C91443"/>
    <w:rsid w:val="00C95FA0"/>
    <w:rsid w:val="00C967AA"/>
    <w:rsid w:val="00C9756C"/>
    <w:rsid w:val="00CA0459"/>
    <w:rsid w:val="00CA12B8"/>
    <w:rsid w:val="00CA61FF"/>
    <w:rsid w:val="00CB1A32"/>
    <w:rsid w:val="00CB3E3E"/>
    <w:rsid w:val="00CB4BEF"/>
    <w:rsid w:val="00CC0815"/>
    <w:rsid w:val="00CD26CE"/>
    <w:rsid w:val="00CD35D5"/>
    <w:rsid w:val="00CD45BA"/>
    <w:rsid w:val="00CD7E7A"/>
    <w:rsid w:val="00CE1049"/>
    <w:rsid w:val="00CE33AC"/>
    <w:rsid w:val="00CF17E7"/>
    <w:rsid w:val="00CF480A"/>
    <w:rsid w:val="00CF7E66"/>
    <w:rsid w:val="00D069E9"/>
    <w:rsid w:val="00D218EB"/>
    <w:rsid w:val="00D24960"/>
    <w:rsid w:val="00D251AE"/>
    <w:rsid w:val="00D253F8"/>
    <w:rsid w:val="00D254C7"/>
    <w:rsid w:val="00D269EF"/>
    <w:rsid w:val="00D30114"/>
    <w:rsid w:val="00D3602A"/>
    <w:rsid w:val="00D40E27"/>
    <w:rsid w:val="00D46308"/>
    <w:rsid w:val="00D466E9"/>
    <w:rsid w:val="00D5009D"/>
    <w:rsid w:val="00D57D6F"/>
    <w:rsid w:val="00D621B7"/>
    <w:rsid w:val="00D677F9"/>
    <w:rsid w:val="00D74169"/>
    <w:rsid w:val="00D76297"/>
    <w:rsid w:val="00D768E0"/>
    <w:rsid w:val="00D82B2C"/>
    <w:rsid w:val="00D82CF5"/>
    <w:rsid w:val="00D84804"/>
    <w:rsid w:val="00D85EAA"/>
    <w:rsid w:val="00D9048B"/>
    <w:rsid w:val="00D90575"/>
    <w:rsid w:val="00D916FE"/>
    <w:rsid w:val="00D91DC9"/>
    <w:rsid w:val="00D9409B"/>
    <w:rsid w:val="00D9489A"/>
    <w:rsid w:val="00D97CB0"/>
    <w:rsid w:val="00DA2E5C"/>
    <w:rsid w:val="00DA7327"/>
    <w:rsid w:val="00DB016C"/>
    <w:rsid w:val="00DB507B"/>
    <w:rsid w:val="00DB69FE"/>
    <w:rsid w:val="00DB7AFD"/>
    <w:rsid w:val="00DD161C"/>
    <w:rsid w:val="00DD2C71"/>
    <w:rsid w:val="00DD71B5"/>
    <w:rsid w:val="00DE14AB"/>
    <w:rsid w:val="00DE2976"/>
    <w:rsid w:val="00DE4AF3"/>
    <w:rsid w:val="00DF504D"/>
    <w:rsid w:val="00DF512F"/>
    <w:rsid w:val="00DF66FF"/>
    <w:rsid w:val="00DF7918"/>
    <w:rsid w:val="00E018C0"/>
    <w:rsid w:val="00E028E9"/>
    <w:rsid w:val="00E053F8"/>
    <w:rsid w:val="00E10D45"/>
    <w:rsid w:val="00E12526"/>
    <w:rsid w:val="00E13781"/>
    <w:rsid w:val="00E15D08"/>
    <w:rsid w:val="00E16F49"/>
    <w:rsid w:val="00E2093A"/>
    <w:rsid w:val="00E23056"/>
    <w:rsid w:val="00E23FA9"/>
    <w:rsid w:val="00E243E0"/>
    <w:rsid w:val="00E255D6"/>
    <w:rsid w:val="00E350E4"/>
    <w:rsid w:val="00E42223"/>
    <w:rsid w:val="00E476E9"/>
    <w:rsid w:val="00E47FAE"/>
    <w:rsid w:val="00E5109A"/>
    <w:rsid w:val="00E52CA8"/>
    <w:rsid w:val="00E53DC4"/>
    <w:rsid w:val="00E564C0"/>
    <w:rsid w:val="00E63F1C"/>
    <w:rsid w:val="00E648B1"/>
    <w:rsid w:val="00E650B3"/>
    <w:rsid w:val="00E66005"/>
    <w:rsid w:val="00E674CA"/>
    <w:rsid w:val="00E71B2E"/>
    <w:rsid w:val="00E71B86"/>
    <w:rsid w:val="00E71BAE"/>
    <w:rsid w:val="00E73C1C"/>
    <w:rsid w:val="00E75079"/>
    <w:rsid w:val="00E83546"/>
    <w:rsid w:val="00E8517A"/>
    <w:rsid w:val="00E856EB"/>
    <w:rsid w:val="00E90926"/>
    <w:rsid w:val="00E933C2"/>
    <w:rsid w:val="00E95F48"/>
    <w:rsid w:val="00E97E3B"/>
    <w:rsid w:val="00EA1772"/>
    <w:rsid w:val="00EA5291"/>
    <w:rsid w:val="00EB1DB7"/>
    <w:rsid w:val="00EB2544"/>
    <w:rsid w:val="00EB675D"/>
    <w:rsid w:val="00EC01A0"/>
    <w:rsid w:val="00EC0A24"/>
    <w:rsid w:val="00EC67C9"/>
    <w:rsid w:val="00ED5862"/>
    <w:rsid w:val="00ED6618"/>
    <w:rsid w:val="00ED66C2"/>
    <w:rsid w:val="00EE187A"/>
    <w:rsid w:val="00EE4172"/>
    <w:rsid w:val="00EF0B37"/>
    <w:rsid w:val="00EF12FE"/>
    <w:rsid w:val="00F030E0"/>
    <w:rsid w:val="00F045E5"/>
    <w:rsid w:val="00F05D4E"/>
    <w:rsid w:val="00F05D9C"/>
    <w:rsid w:val="00F1210B"/>
    <w:rsid w:val="00F1468B"/>
    <w:rsid w:val="00F16D63"/>
    <w:rsid w:val="00F20047"/>
    <w:rsid w:val="00F21263"/>
    <w:rsid w:val="00F306C6"/>
    <w:rsid w:val="00F327B2"/>
    <w:rsid w:val="00F34283"/>
    <w:rsid w:val="00F36A21"/>
    <w:rsid w:val="00F425FF"/>
    <w:rsid w:val="00F42E54"/>
    <w:rsid w:val="00F439B9"/>
    <w:rsid w:val="00F44953"/>
    <w:rsid w:val="00F44CD2"/>
    <w:rsid w:val="00F4743B"/>
    <w:rsid w:val="00F50E41"/>
    <w:rsid w:val="00F53FF8"/>
    <w:rsid w:val="00F576D8"/>
    <w:rsid w:val="00F62E05"/>
    <w:rsid w:val="00F728FA"/>
    <w:rsid w:val="00F73002"/>
    <w:rsid w:val="00F73A6B"/>
    <w:rsid w:val="00F84A55"/>
    <w:rsid w:val="00F91023"/>
    <w:rsid w:val="00F92D4B"/>
    <w:rsid w:val="00F93B64"/>
    <w:rsid w:val="00F96BA4"/>
    <w:rsid w:val="00F97FFD"/>
    <w:rsid w:val="00FA1C61"/>
    <w:rsid w:val="00FA1D8B"/>
    <w:rsid w:val="00FA255A"/>
    <w:rsid w:val="00FA7973"/>
    <w:rsid w:val="00FB0A56"/>
    <w:rsid w:val="00FB71EC"/>
    <w:rsid w:val="00FC064A"/>
    <w:rsid w:val="00FC73EA"/>
    <w:rsid w:val="00FD0365"/>
    <w:rsid w:val="00FD2A2F"/>
    <w:rsid w:val="00FD38F3"/>
    <w:rsid w:val="00FD45F0"/>
    <w:rsid w:val="00FD5DBF"/>
    <w:rsid w:val="00FE03C7"/>
    <w:rsid w:val="00FE0857"/>
    <w:rsid w:val="00FE41A8"/>
    <w:rsid w:val="00FE467A"/>
    <w:rsid w:val="00FE5AD7"/>
    <w:rsid w:val="00FE6D59"/>
    <w:rsid w:val="00FF5ACA"/>
    <w:rsid w:val="00FF7A6A"/>
    <w:rsid w:val="06E41D84"/>
    <w:rsid w:val="189DFF35"/>
    <w:rsid w:val="20B168C7"/>
    <w:rsid w:val="39624C11"/>
    <w:rsid w:val="3BAB569E"/>
    <w:rsid w:val="3E5F2A25"/>
    <w:rsid w:val="50C081CC"/>
    <w:rsid w:val="57A4C77A"/>
    <w:rsid w:val="5D17AB68"/>
    <w:rsid w:val="712775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C451"/>
  <w15:docId w15:val="{59653A42-0CE0-45C5-BAFC-DB5234DD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5B8"/>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nhideWhenUsed/>
    <w:qFormat/>
    <w:rsid w:val="006D0C08"/>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rsid w:val="006D0C08"/>
    <w:rPr>
      <w:sz w:val="20"/>
      <w:szCs w:val="20"/>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link w:val="Refdenotaalpie2"/>
    <w:unhideWhenUsed/>
    <w:qFormat/>
    <w:rsid w:val="006D0C08"/>
    <w:rPr>
      <w:vertAlign w:val="superscript"/>
    </w:rPr>
  </w:style>
  <w:style w:type="paragraph" w:styleId="Prrafodelista">
    <w:name w:val="List Paragraph"/>
    <w:basedOn w:val="Normal"/>
    <w:link w:val="PrrafodelistaCar"/>
    <w:uiPriority w:val="34"/>
    <w:qFormat/>
    <w:rsid w:val="00694AF9"/>
    <w:pPr>
      <w:ind w:left="720"/>
      <w:contextualSpacing/>
    </w:pPr>
  </w:style>
  <w:style w:type="paragraph" w:customStyle="1" w:styleId="Refdenotaalpie2">
    <w:name w:val="Ref. de nota al pie2"/>
    <w:aliases w:val="Nota de pie,Pie de pagina"/>
    <w:basedOn w:val="Normal"/>
    <w:link w:val="Refdenotaalpie"/>
    <w:rsid w:val="00EB675D"/>
    <w:pPr>
      <w:spacing w:after="160" w:line="240" w:lineRule="exact"/>
    </w:pPr>
    <w:rPr>
      <w:vertAlign w:val="superscript"/>
    </w:rPr>
  </w:style>
  <w:style w:type="character" w:customStyle="1" w:styleId="normaltextrun">
    <w:name w:val="normaltextrun"/>
    <w:basedOn w:val="Fuentedeprrafopredeter"/>
    <w:rsid w:val="00B54D9D"/>
  </w:style>
  <w:style w:type="character" w:customStyle="1" w:styleId="PrrafodelistaCar">
    <w:name w:val="Párrafo de lista Car"/>
    <w:link w:val="Prrafodelista"/>
    <w:uiPriority w:val="34"/>
    <w:rsid w:val="00B54D9D"/>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307EE5"/>
    <w:rPr>
      <w:b/>
      <w:bCs/>
    </w:rPr>
  </w:style>
  <w:style w:type="character" w:customStyle="1" w:styleId="AsuntodelcomentarioCar">
    <w:name w:val="Asunto del comentario Car"/>
    <w:basedOn w:val="TextocomentarioCar"/>
    <w:link w:val="Asuntodelcomentario"/>
    <w:uiPriority w:val="99"/>
    <w:semiHidden/>
    <w:rsid w:val="00307EE5"/>
    <w:rPr>
      <w:b/>
      <w:bCs/>
      <w:sz w:val="20"/>
      <w:szCs w:val="20"/>
    </w:rPr>
  </w:style>
  <w:style w:type="paragraph" w:styleId="Textodeglobo">
    <w:name w:val="Balloon Text"/>
    <w:basedOn w:val="Normal"/>
    <w:link w:val="TextodegloboCar"/>
    <w:uiPriority w:val="99"/>
    <w:semiHidden/>
    <w:unhideWhenUsed/>
    <w:rsid w:val="00653AF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3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ONrudJ4UINSugPdAA8xUAW+EFQ==">AMUW2mXZk8bArvE1PK7nXPf6+shrxAlO+ZbJDmLHZ1GXlwNQyoaX2gUc8z8XBfA/hn2pCalOGtFVgXpy60pA/wkCN+U+w3/mgSFnlgn+gcCPYpqdrBYwBqR2038zg4MRzWpqCdaGi0m3</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99EDB-32D9-46C5-AD90-401A4D94D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7E20F-C8F1-468F-8D2A-F0E15806A90C}">
  <ds:schemaRefs>
    <ds:schemaRef ds:uri="http://schemas.microsoft.com/sharepoint/v3/contenttype/forms"/>
  </ds:schemaRefs>
</ds:datastoreItem>
</file>

<file path=customXml/itemProps3.xml><?xml version="1.0" encoding="utf-8"?>
<ds:datastoreItem xmlns:ds="http://schemas.openxmlformats.org/officeDocument/2006/customXml" ds:itemID="{FB1E5153-6216-4C26-B4D5-B9163AD4DC2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91E13EA6-EDB2-40D6-B0AE-F1CE0B45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6192</Words>
  <Characters>35297</Characters>
  <Application>Microsoft Office Word</Application>
  <DocSecurity>0</DocSecurity>
  <Lines>294</Lines>
  <Paragraphs>82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jasana</dc:creator>
  <cp:lastModifiedBy>samsung</cp:lastModifiedBy>
  <cp:revision>5</cp:revision>
  <dcterms:created xsi:type="dcterms:W3CDTF">2023-06-16T16:25:00Z</dcterms:created>
  <dcterms:modified xsi:type="dcterms:W3CDTF">2023-09-15T14:21:00Z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