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ACC578" w14:textId="77777777" w:rsidR="003E0C90" w:rsidRPr="003E0C90" w:rsidRDefault="003E0C90" w:rsidP="003E0C9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93052694"/>
      <w:bookmarkStart w:id="3" w:name="_Hlk97791231"/>
      <w:bookmarkEnd w:id="0"/>
      <w:r w:rsidRPr="003E0C9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D206217" w14:textId="77777777" w:rsidR="003E0C90" w:rsidRPr="003E0C90" w:rsidRDefault="003E0C90" w:rsidP="003E0C90">
      <w:pPr>
        <w:jc w:val="both"/>
        <w:rPr>
          <w:rFonts w:ascii="Arial" w:hAnsi="Arial" w:cs="Arial"/>
          <w:sz w:val="20"/>
          <w:szCs w:val="20"/>
          <w:lang w:val="es-419"/>
        </w:rPr>
      </w:pPr>
    </w:p>
    <w:p w14:paraId="618F3A3B" w14:textId="4F311874" w:rsidR="003E0C90" w:rsidRPr="003E0C90" w:rsidRDefault="003E0C90" w:rsidP="003E0C90">
      <w:pPr>
        <w:jc w:val="both"/>
        <w:rPr>
          <w:rFonts w:ascii="Arial" w:eastAsia="Tahoma" w:hAnsi="Arial" w:cs="Arial"/>
          <w:sz w:val="20"/>
          <w:szCs w:val="20"/>
          <w:lang w:val="es-419" w:eastAsia="es-CO"/>
        </w:rPr>
      </w:pPr>
      <w:r w:rsidRPr="003E0C90">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3E0C90">
        <w:rPr>
          <w:rFonts w:ascii="Arial" w:eastAsia="Tahoma" w:hAnsi="Arial" w:cs="Arial"/>
          <w:sz w:val="20"/>
          <w:szCs w:val="20"/>
          <w:lang w:val="es-419" w:eastAsia="es-CO"/>
        </w:rPr>
        <w:tab/>
        <w:t>66001-31-05-003-2017-00525-02</w:t>
      </w:r>
    </w:p>
    <w:p w14:paraId="4EB9C2F9" w14:textId="29840C42" w:rsidR="003E0C90" w:rsidRPr="003E0C90" w:rsidRDefault="003E0C90" w:rsidP="003E0C90">
      <w:pPr>
        <w:jc w:val="both"/>
        <w:rPr>
          <w:rFonts w:ascii="Arial" w:eastAsia="Tahoma" w:hAnsi="Arial" w:cs="Arial"/>
          <w:sz w:val="20"/>
          <w:szCs w:val="20"/>
          <w:lang w:val="es-419" w:eastAsia="es-CO"/>
        </w:rPr>
      </w:pPr>
      <w:r w:rsidRPr="003E0C90">
        <w:rPr>
          <w:rFonts w:ascii="Arial" w:eastAsia="Tahoma" w:hAnsi="Arial" w:cs="Arial"/>
          <w:sz w:val="20"/>
          <w:szCs w:val="20"/>
          <w:lang w:val="es-419" w:eastAsia="es-CO"/>
        </w:rPr>
        <w:t>Proceso:</w:t>
      </w:r>
      <w:r w:rsidRPr="003E0C90">
        <w:rPr>
          <w:rFonts w:ascii="Arial" w:eastAsia="Tahoma" w:hAnsi="Arial" w:cs="Arial"/>
          <w:sz w:val="20"/>
          <w:szCs w:val="20"/>
          <w:lang w:val="es-419" w:eastAsia="es-CO"/>
        </w:rPr>
        <w:tab/>
      </w:r>
      <w:r w:rsidRPr="003E0C90">
        <w:rPr>
          <w:rFonts w:ascii="Arial" w:eastAsia="Tahoma" w:hAnsi="Arial" w:cs="Arial"/>
          <w:sz w:val="20"/>
          <w:szCs w:val="20"/>
          <w:lang w:val="es-419" w:eastAsia="es-CO"/>
        </w:rPr>
        <w:tab/>
        <w:t>Ordinario Laboral</w:t>
      </w:r>
    </w:p>
    <w:p w14:paraId="4779A69E" w14:textId="49D70BF4" w:rsidR="003E0C90" w:rsidRPr="003E0C90" w:rsidRDefault="003E0C90" w:rsidP="003E0C90">
      <w:pPr>
        <w:jc w:val="both"/>
        <w:rPr>
          <w:rFonts w:ascii="Arial" w:eastAsia="Tahoma" w:hAnsi="Arial" w:cs="Arial"/>
          <w:sz w:val="20"/>
          <w:szCs w:val="20"/>
          <w:lang w:val="es-419" w:eastAsia="es-CO"/>
        </w:rPr>
      </w:pPr>
      <w:r w:rsidRPr="003E0C90">
        <w:rPr>
          <w:rFonts w:ascii="Arial" w:eastAsia="Tahoma" w:hAnsi="Arial" w:cs="Arial"/>
          <w:sz w:val="20"/>
          <w:szCs w:val="20"/>
          <w:lang w:val="es-419" w:eastAsia="es-CO"/>
        </w:rPr>
        <w:t>Demandante:</w:t>
      </w:r>
      <w:r w:rsidRPr="003E0C90">
        <w:rPr>
          <w:rFonts w:ascii="Arial" w:eastAsia="Tahoma" w:hAnsi="Arial" w:cs="Arial"/>
          <w:sz w:val="20"/>
          <w:szCs w:val="20"/>
          <w:lang w:val="es-419" w:eastAsia="es-CO"/>
        </w:rPr>
        <w:tab/>
      </w:r>
      <w:r w:rsidRPr="003E0C90">
        <w:rPr>
          <w:rFonts w:ascii="Arial" w:eastAsia="Tahoma" w:hAnsi="Arial" w:cs="Arial"/>
          <w:sz w:val="20"/>
          <w:szCs w:val="20"/>
          <w:lang w:val="es-419" w:eastAsia="es-CO"/>
        </w:rPr>
        <w:tab/>
        <w:t>Julieta Henao Bonilla</w:t>
      </w:r>
    </w:p>
    <w:p w14:paraId="20F9E546" w14:textId="59F27086" w:rsidR="003E0C90" w:rsidRPr="003E0C90" w:rsidRDefault="003E0C90" w:rsidP="003E0C90">
      <w:pPr>
        <w:jc w:val="both"/>
        <w:rPr>
          <w:rFonts w:ascii="Arial" w:eastAsia="Tahoma" w:hAnsi="Arial" w:cs="Arial"/>
          <w:sz w:val="20"/>
          <w:szCs w:val="20"/>
          <w:lang w:val="es-419" w:eastAsia="es-CO"/>
        </w:rPr>
      </w:pPr>
      <w:r w:rsidRPr="003E0C90">
        <w:rPr>
          <w:rFonts w:ascii="Arial" w:eastAsia="Tahoma" w:hAnsi="Arial" w:cs="Arial"/>
          <w:sz w:val="20"/>
          <w:szCs w:val="20"/>
          <w:lang w:val="es-419" w:eastAsia="es-CO"/>
        </w:rPr>
        <w:t>Demandado:</w:t>
      </w:r>
      <w:r w:rsidRPr="003E0C90">
        <w:rPr>
          <w:rFonts w:ascii="Arial" w:eastAsia="Tahoma" w:hAnsi="Arial" w:cs="Arial"/>
          <w:sz w:val="20"/>
          <w:szCs w:val="20"/>
          <w:lang w:val="es-419" w:eastAsia="es-CO"/>
        </w:rPr>
        <w:tab/>
      </w:r>
      <w:r w:rsidRPr="003E0C90">
        <w:rPr>
          <w:rFonts w:ascii="Arial" w:eastAsia="Tahoma" w:hAnsi="Arial" w:cs="Arial"/>
          <w:sz w:val="20"/>
          <w:szCs w:val="20"/>
          <w:lang w:val="es-419" w:eastAsia="es-CO"/>
        </w:rPr>
        <w:tab/>
        <w:t xml:space="preserve">Porvenir S.A. y Colpensiones </w:t>
      </w:r>
    </w:p>
    <w:p w14:paraId="66CA0ADD" w14:textId="44D39933" w:rsidR="003E0C90" w:rsidRDefault="003E0C90" w:rsidP="003E0C90">
      <w:pPr>
        <w:jc w:val="both"/>
        <w:rPr>
          <w:rFonts w:ascii="Arial" w:eastAsia="Tahoma" w:hAnsi="Arial" w:cs="Arial"/>
          <w:sz w:val="20"/>
          <w:szCs w:val="20"/>
          <w:lang w:val="es-419" w:eastAsia="es-CO"/>
        </w:rPr>
      </w:pPr>
      <w:r w:rsidRPr="003E0C90">
        <w:rPr>
          <w:rFonts w:ascii="Arial" w:eastAsia="Tahoma" w:hAnsi="Arial" w:cs="Arial"/>
          <w:sz w:val="20"/>
          <w:szCs w:val="20"/>
          <w:lang w:val="es-419" w:eastAsia="es-CO"/>
        </w:rPr>
        <w:t>Juzgado de origen:</w:t>
      </w:r>
      <w:r w:rsidRPr="003E0C90">
        <w:rPr>
          <w:rFonts w:ascii="Arial" w:eastAsia="Tahoma" w:hAnsi="Arial" w:cs="Arial"/>
          <w:sz w:val="20"/>
          <w:szCs w:val="20"/>
          <w:lang w:val="es-419" w:eastAsia="es-CO"/>
        </w:rPr>
        <w:tab/>
        <w:t>Tercero Laboral del Circuito de Pereira</w:t>
      </w:r>
    </w:p>
    <w:p w14:paraId="08B81930" w14:textId="77777777" w:rsidR="003E0C90" w:rsidRPr="003E0C90" w:rsidRDefault="003E0C90" w:rsidP="003E0C90">
      <w:pPr>
        <w:jc w:val="both"/>
        <w:rPr>
          <w:rFonts w:ascii="Arial" w:eastAsia="Tahoma" w:hAnsi="Arial" w:cs="Arial"/>
          <w:color w:val="000000"/>
          <w:sz w:val="20"/>
          <w:szCs w:val="20"/>
          <w:lang w:eastAsia="es-CO"/>
        </w:rPr>
      </w:pPr>
    </w:p>
    <w:bookmarkEnd w:id="1"/>
    <w:p w14:paraId="1D62482F" w14:textId="77777777" w:rsidR="00144FE7" w:rsidRPr="00144FE7" w:rsidRDefault="00144FE7" w:rsidP="00144FE7">
      <w:pPr>
        <w:jc w:val="both"/>
        <w:rPr>
          <w:rFonts w:ascii="Arial" w:hAnsi="Arial" w:cs="Arial"/>
          <w:b/>
          <w:bCs/>
          <w:iCs/>
          <w:sz w:val="20"/>
          <w:szCs w:val="20"/>
          <w:lang w:val="es-419" w:eastAsia="fr-FR"/>
        </w:rPr>
      </w:pPr>
      <w:r w:rsidRPr="00144FE7">
        <w:rPr>
          <w:rFonts w:ascii="Arial" w:hAnsi="Arial" w:cs="Arial"/>
          <w:b/>
          <w:bCs/>
          <w:iCs/>
          <w:sz w:val="20"/>
          <w:szCs w:val="20"/>
          <w:u w:val="single"/>
          <w:lang w:val="es-419" w:eastAsia="fr-FR"/>
        </w:rPr>
        <w:t>TEMAS:</w:t>
      </w:r>
      <w:r w:rsidRPr="00144FE7">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5E77E919" w14:textId="77777777" w:rsidR="00144FE7" w:rsidRPr="00144FE7" w:rsidRDefault="00144FE7" w:rsidP="00144FE7">
      <w:pPr>
        <w:jc w:val="both"/>
        <w:rPr>
          <w:rFonts w:ascii="Arial" w:hAnsi="Arial" w:cs="Arial"/>
          <w:sz w:val="20"/>
          <w:szCs w:val="20"/>
          <w:lang w:val="es-419"/>
        </w:rPr>
      </w:pPr>
    </w:p>
    <w:p w14:paraId="39363C80" w14:textId="77777777" w:rsidR="00144FE7" w:rsidRPr="00144FE7" w:rsidRDefault="00144FE7" w:rsidP="00144FE7">
      <w:pPr>
        <w:jc w:val="both"/>
        <w:rPr>
          <w:rFonts w:ascii="Arial" w:hAnsi="Arial" w:cs="Arial"/>
          <w:sz w:val="20"/>
          <w:szCs w:val="20"/>
          <w:lang w:val="es-419"/>
        </w:rPr>
      </w:pPr>
      <w:r w:rsidRPr="00144FE7">
        <w:rPr>
          <w:rFonts w:ascii="Arial" w:hAnsi="Arial" w:cs="Arial"/>
          <w:sz w:val="20"/>
          <w:szCs w:val="20"/>
          <w:lang w:val="es-419"/>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w:t>
      </w:r>
    </w:p>
    <w:p w14:paraId="70BBBADC" w14:textId="77777777" w:rsidR="00144FE7" w:rsidRPr="00144FE7" w:rsidRDefault="00144FE7" w:rsidP="00144FE7">
      <w:pPr>
        <w:jc w:val="both"/>
        <w:rPr>
          <w:rFonts w:ascii="Arial" w:hAnsi="Arial" w:cs="Arial"/>
          <w:sz w:val="20"/>
          <w:szCs w:val="20"/>
          <w:lang w:val="es-419"/>
        </w:rPr>
      </w:pPr>
    </w:p>
    <w:p w14:paraId="6CFC8B3F" w14:textId="77777777" w:rsidR="00144FE7" w:rsidRPr="00144FE7" w:rsidRDefault="00144FE7" w:rsidP="00144FE7">
      <w:pPr>
        <w:jc w:val="both"/>
        <w:rPr>
          <w:rFonts w:ascii="Arial" w:hAnsi="Arial" w:cs="Arial"/>
          <w:sz w:val="20"/>
          <w:szCs w:val="20"/>
          <w:lang w:val="es-419"/>
        </w:rPr>
      </w:pPr>
      <w:r w:rsidRPr="00144FE7">
        <w:rPr>
          <w:rFonts w:ascii="Arial" w:hAnsi="Arial" w:cs="Arial"/>
          <w:sz w:val="20"/>
          <w:szCs w:val="20"/>
          <w:lang w:val="es-419"/>
        </w:rPr>
        <w:t>… en su tratado de derecho procesal, el profesor Hernán Fabio López Blanco frente a las agencias en derecho ha preceptuado:</w:t>
      </w:r>
    </w:p>
    <w:p w14:paraId="2F76DD82" w14:textId="77777777" w:rsidR="00144FE7" w:rsidRPr="00144FE7" w:rsidRDefault="00144FE7" w:rsidP="00144FE7">
      <w:pPr>
        <w:jc w:val="both"/>
        <w:rPr>
          <w:rFonts w:ascii="Arial" w:hAnsi="Arial" w:cs="Arial"/>
          <w:sz w:val="20"/>
          <w:szCs w:val="20"/>
          <w:lang w:val="es-419"/>
        </w:rPr>
      </w:pPr>
    </w:p>
    <w:p w14:paraId="7E1C942C" w14:textId="77777777" w:rsidR="00144FE7" w:rsidRPr="00144FE7" w:rsidRDefault="00144FE7" w:rsidP="00144FE7">
      <w:pPr>
        <w:jc w:val="both"/>
        <w:rPr>
          <w:rFonts w:ascii="Arial" w:hAnsi="Arial" w:cs="Arial"/>
          <w:sz w:val="20"/>
          <w:szCs w:val="20"/>
          <w:lang w:val="es-419"/>
        </w:rPr>
      </w:pPr>
      <w:r w:rsidRPr="00144FE7">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296D54EC" w14:textId="77777777" w:rsidR="00144FE7" w:rsidRPr="00144FE7" w:rsidRDefault="00144FE7" w:rsidP="00144FE7">
      <w:pPr>
        <w:jc w:val="both"/>
        <w:rPr>
          <w:rFonts w:ascii="Arial" w:hAnsi="Arial" w:cs="Arial"/>
          <w:sz w:val="20"/>
          <w:szCs w:val="20"/>
          <w:lang w:val="es-419"/>
        </w:rPr>
      </w:pPr>
    </w:p>
    <w:p w14:paraId="625F9BCD" w14:textId="77777777" w:rsidR="00144FE7" w:rsidRPr="00144FE7" w:rsidRDefault="00144FE7" w:rsidP="00144FE7">
      <w:pPr>
        <w:jc w:val="both"/>
        <w:rPr>
          <w:rFonts w:ascii="Arial" w:hAnsi="Arial" w:cs="Arial"/>
          <w:sz w:val="20"/>
          <w:szCs w:val="20"/>
          <w:lang w:val="es-419"/>
        </w:rPr>
      </w:pPr>
      <w:r w:rsidRPr="00144FE7">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08E8FEE9" w14:textId="77777777" w:rsidR="00144FE7" w:rsidRPr="00144FE7" w:rsidRDefault="00144FE7" w:rsidP="00144FE7">
      <w:pPr>
        <w:jc w:val="both"/>
        <w:rPr>
          <w:rFonts w:ascii="Arial" w:hAnsi="Arial" w:cs="Arial"/>
          <w:sz w:val="20"/>
          <w:szCs w:val="20"/>
          <w:lang w:val="es-419"/>
        </w:rPr>
      </w:pPr>
    </w:p>
    <w:p w14:paraId="6D87F8A6" w14:textId="15818F27" w:rsidR="00144FE7" w:rsidRPr="00144FE7" w:rsidRDefault="00144FE7" w:rsidP="00144FE7">
      <w:pPr>
        <w:jc w:val="both"/>
        <w:rPr>
          <w:rFonts w:ascii="Arial" w:hAnsi="Arial" w:cs="Arial"/>
          <w:sz w:val="20"/>
          <w:szCs w:val="20"/>
        </w:rPr>
      </w:pPr>
      <w:r w:rsidRPr="00144FE7">
        <w:rPr>
          <w:rFonts w:ascii="Arial" w:hAnsi="Arial" w:cs="Arial"/>
          <w:sz w:val="20"/>
          <w:szCs w:val="20"/>
        </w:rPr>
        <w:t xml:space="preserve">… </w:t>
      </w:r>
      <w:r w:rsidRPr="00144FE7">
        <w:rPr>
          <w:rFonts w:ascii="Arial" w:hAnsi="Arial" w:cs="Arial"/>
          <w:sz w:val="20"/>
          <w:szCs w:val="20"/>
        </w:rPr>
        <w:t>al tratarse de proceso declarativo, esto es, sin cuantía, las agencias en primera instancia debieron oscilar entre 1 y 10 salarios mínimos, de conformidad con el artículo 5º aludido en precedencia, por lo que para concretar el valor de las agencias se debieron analizar los criterios señalados en las normas aplicables, tales como la naturaleza, la calidad y la duración de la gestión realizada por el apoderado, la naturaleza de las pretensiones y demás circunstancias relacionadas.</w:t>
      </w:r>
    </w:p>
    <w:p w14:paraId="145AE780" w14:textId="77777777" w:rsidR="00144FE7" w:rsidRPr="00144FE7" w:rsidRDefault="00144FE7" w:rsidP="00144FE7">
      <w:pPr>
        <w:jc w:val="both"/>
        <w:rPr>
          <w:rFonts w:ascii="Arial" w:hAnsi="Arial" w:cs="Arial"/>
          <w:sz w:val="20"/>
          <w:szCs w:val="20"/>
        </w:rPr>
      </w:pPr>
    </w:p>
    <w:p w14:paraId="7E6FE240" w14:textId="77777777" w:rsidR="00144FE7" w:rsidRPr="00144FE7" w:rsidRDefault="00144FE7" w:rsidP="00144FE7">
      <w:pPr>
        <w:jc w:val="both"/>
        <w:rPr>
          <w:rFonts w:ascii="Arial" w:hAnsi="Arial" w:cs="Arial"/>
          <w:sz w:val="20"/>
          <w:szCs w:val="20"/>
        </w:rPr>
      </w:pPr>
    </w:p>
    <w:p w14:paraId="2547BFC4" w14:textId="77777777" w:rsidR="00144FE7" w:rsidRPr="00144FE7" w:rsidRDefault="00144FE7" w:rsidP="00144FE7">
      <w:pPr>
        <w:jc w:val="both"/>
        <w:rPr>
          <w:rFonts w:ascii="Arial" w:hAnsi="Arial" w:cs="Arial"/>
          <w:sz w:val="20"/>
          <w:szCs w:val="20"/>
        </w:rPr>
      </w:pPr>
    </w:p>
    <w:p w14:paraId="681CBD38" w14:textId="77777777" w:rsidR="003E0C90" w:rsidRPr="003E0C90" w:rsidRDefault="003E0C90" w:rsidP="003E0C90">
      <w:pPr>
        <w:spacing w:line="276" w:lineRule="auto"/>
        <w:jc w:val="center"/>
        <w:rPr>
          <w:rFonts w:ascii="Tahoma" w:eastAsiaTheme="minorHAnsi" w:hAnsi="Tahoma" w:cs="Tahoma"/>
          <w:b/>
          <w:bCs/>
          <w:lang w:val="es-CO" w:eastAsia="en-US"/>
        </w:rPr>
      </w:pPr>
      <w:r w:rsidRPr="003E0C90">
        <w:rPr>
          <w:rFonts w:ascii="Tahoma" w:eastAsiaTheme="minorHAnsi" w:hAnsi="Tahoma" w:cs="Tahoma"/>
          <w:b/>
          <w:bCs/>
          <w:lang w:val="es-CO" w:eastAsia="en-US"/>
        </w:rPr>
        <w:t>TRIBUNAL SUPERIOR DEL DISTRITO JUDICIAL DE PEREIRA</w:t>
      </w:r>
    </w:p>
    <w:p w14:paraId="3193F831" w14:textId="77777777" w:rsidR="003E0C90" w:rsidRPr="003E0C90" w:rsidRDefault="003E0C90" w:rsidP="003E0C90">
      <w:pPr>
        <w:spacing w:line="276" w:lineRule="auto"/>
        <w:jc w:val="center"/>
        <w:rPr>
          <w:rFonts w:ascii="Tahoma" w:eastAsiaTheme="minorHAnsi" w:hAnsi="Tahoma" w:cs="Tahoma"/>
          <w:b/>
          <w:bCs/>
          <w:lang w:val="es-CO" w:eastAsia="en-US"/>
        </w:rPr>
      </w:pPr>
      <w:r w:rsidRPr="003E0C90">
        <w:rPr>
          <w:rFonts w:ascii="Tahoma" w:eastAsiaTheme="minorHAnsi" w:hAnsi="Tahoma" w:cs="Tahoma"/>
          <w:b/>
          <w:bCs/>
          <w:lang w:val="es-CO" w:eastAsia="en-US"/>
        </w:rPr>
        <w:t>SALA DE DECISION LABORAL No. 1</w:t>
      </w:r>
    </w:p>
    <w:p w14:paraId="14A54A64" w14:textId="77777777" w:rsidR="003E0C90" w:rsidRPr="003E0C90" w:rsidRDefault="003E0C90" w:rsidP="003E0C90">
      <w:pPr>
        <w:spacing w:line="276" w:lineRule="auto"/>
        <w:rPr>
          <w:rFonts w:ascii="Tahoma" w:hAnsi="Tahoma" w:cs="Tahoma"/>
          <w:lang w:val="es-CO" w:eastAsia="en-US"/>
        </w:rPr>
      </w:pPr>
      <w:bookmarkStart w:id="4" w:name="_GoBack"/>
      <w:bookmarkEnd w:id="4"/>
    </w:p>
    <w:p w14:paraId="2423A8F5" w14:textId="77777777" w:rsidR="003E0C90" w:rsidRPr="003E0C90" w:rsidRDefault="003E0C90" w:rsidP="003E0C90">
      <w:pPr>
        <w:spacing w:line="276" w:lineRule="auto"/>
        <w:jc w:val="center"/>
        <w:textAlignment w:val="baseline"/>
        <w:rPr>
          <w:rFonts w:ascii="Tahoma" w:hAnsi="Tahoma" w:cs="Tahoma"/>
          <w:lang w:val="es-CO" w:eastAsia="es-CO"/>
        </w:rPr>
      </w:pPr>
      <w:r w:rsidRPr="003E0C90">
        <w:rPr>
          <w:rFonts w:ascii="Tahoma" w:hAnsi="Tahoma" w:cs="Tahoma"/>
          <w:lang w:val="es-CO" w:eastAsia="es-CO"/>
        </w:rPr>
        <w:t>Magistrada Ponente: </w:t>
      </w:r>
      <w:r w:rsidRPr="003E0C90">
        <w:rPr>
          <w:rFonts w:ascii="Tahoma" w:hAnsi="Tahoma" w:cs="Tahoma"/>
          <w:b/>
          <w:bCs/>
          <w:lang w:val="es-CO" w:eastAsia="es-CO"/>
        </w:rPr>
        <w:t>Ana Lucía Caicedo Calderón</w:t>
      </w:r>
      <w:r w:rsidRPr="003E0C90">
        <w:rPr>
          <w:rFonts w:ascii="Tahoma" w:hAnsi="Tahoma" w:cs="Tahoma"/>
          <w:lang w:val="es-CO" w:eastAsia="es-CO"/>
        </w:rPr>
        <w:t> </w:t>
      </w:r>
    </w:p>
    <w:p w14:paraId="0715958D" w14:textId="0965C078" w:rsidR="003E0C90" w:rsidRPr="003E0C90" w:rsidRDefault="003E0C90" w:rsidP="003E0C90">
      <w:pPr>
        <w:spacing w:line="276" w:lineRule="auto"/>
        <w:rPr>
          <w:rFonts w:ascii="Tahoma" w:hAnsi="Tahoma" w:cs="Tahoma"/>
          <w:lang w:val="es-CO" w:eastAsia="es-CO"/>
        </w:rPr>
      </w:pPr>
    </w:p>
    <w:bookmarkEnd w:id="2"/>
    <w:bookmarkEnd w:id="3"/>
    <w:p w14:paraId="7C8A5D9E" w14:textId="77777777" w:rsidR="000B39CC" w:rsidRPr="003E0C90" w:rsidRDefault="000B39CC" w:rsidP="003E0C90">
      <w:pPr>
        <w:pStyle w:val="paragraph"/>
        <w:spacing w:before="0" w:beforeAutospacing="0" w:after="0" w:afterAutospacing="0" w:line="276" w:lineRule="auto"/>
        <w:textAlignment w:val="baseline"/>
        <w:rPr>
          <w:rStyle w:val="normaltextrun"/>
          <w:rFonts w:ascii="Tahoma" w:hAnsi="Tahoma" w:cs="Tahoma"/>
        </w:rPr>
      </w:pPr>
    </w:p>
    <w:p w14:paraId="70174490" w14:textId="5F63A4FA" w:rsidR="00582D53" w:rsidRPr="003E0C90" w:rsidRDefault="00582D53" w:rsidP="003E0C90">
      <w:pPr>
        <w:spacing w:line="276" w:lineRule="auto"/>
        <w:mirrorIndents/>
        <w:jc w:val="center"/>
        <w:rPr>
          <w:rFonts w:ascii="Tahoma" w:hAnsi="Tahoma" w:cs="Tahoma"/>
          <w:lang w:val="es-CO"/>
        </w:rPr>
      </w:pPr>
      <w:r w:rsidRPr="003E0C90">
        <w:rPr>
          <w:rFonts w:ascii="Tahoma" w:hAnsi="Tahoma" w:cs="Tahoma"/>
        </w:rPr>
        <w:t>Pereira, Risaralda, diecinueve (19) de mayo de dos mil veintitrés (2023)  </w:t>
      </w:r>
    </w:p>
    <w:p w14:paraId="47AE497D" w14:textId="47BAAD0E" w:rsidR="00582D53" w:rsidRPr="003E0C90" w:rsidRDefault="00582D53" w:rsidP="003E0C90">
      <w:pPr>
        <w:spacing w:line="276" w:lineRule="auto"/>
        <w:mirrorIndents/>
        <w:jc w:val="center"/>
        <w:rPr>
          <w:rFonts w:ascii="Tahoma" w:hAnsi="Tahoma" w:cs="Tahoma"/>
        </w:rPr>
      </w:pPr>
      <w:r w:rsidRPr="003E0C90">
        <w:rPr>
          <w:rFonts w:ascii="Tahoma" w:hAnsi="Tahoma" w:cs="Tahoma"/>
        </w:rPr>
        <w:t> Acta No. </w:t>
      </w:r>
      <w:r w:rsidR="019C0D6C" w:rsidRPr="003E0C90">
        <w:rPr>
          <w:rFonts w:ascii="Tahoma" w:hAnsi="Tahoma" w:cs="Tahoma"/>
        </w:rPr>
        <w:t>80</w:t>
      </w:r>
      <w:r w:rsidRPr="003E0C90">
        <w:rPr>
          <w:rFonts w:ascii="Tahoma" w:hAnsi="Tahoma" w:cs="Tahoma"/>
        </w:rPr>
        <w:t xml:space="preserve"> del 1</w:t>
      </w:r>
      <w:r w:rsidR="00167718" w:rsidRPr="003E0C90">
        <w:rPr>
          <w:rFonts w:ascii="Tahoma" w:hAnsi="Tahoma" w:cs="Tahoma"/>
        </w:rPr>
        <w:t>9</w:t>
      </w:r>
      <w:r w:rsidRPr="003E0C90">
        <w:rPr>
          <w:rFonts w:ascii="Tahoma" w:hAnsi="Tahoma" w:cs="Tahoma"/>
        </w:rPr>
        <w:t xml:space="preserve"> de mayo de 2023 </w:t>
      </w:r>
    </w:p>
    <w:p w14:paraId="7EA20BBE" w14:textId="77777777" w:rsidR="00323254" w:rsidRPr="003E0C90" w:rsidRDefault="00323254" w:rsidP="003E0C90">
      <w:pPr>
        <w:spacing w:line="276" w:lineRule="auto"/>
        <w:ind w:firstLine="708"/>
        <w:jc w:val="both"/>
        <w:rPr>
          <w:rFonts w:ascii="Tahoma" w:eastAsiaTheme="minorHAnsi" w:hAnsi="Tahoma" w:cs="Tahoma"/>
          <w:lang w:val="es-ES_tradnl" w:eastAsia="en-US"/>
        </w:rPr>
      </w:pPr>
    </w:p>
    <w:p w14:paraId="16CE2BED" w14:textId="6DDB3DC1" w:rsidR="00C43F4A" w:rsidRPr="003E0C90" w:rsidRDefault="111E3E0C" w:rsidP="003E0C90">
      <w:pPr>
        <w:spacing w:line="276" w:lineRule="auto"/>
        <w:ind w:firstLine="708"/>
        <w:jc w:val="both"/>
        <w:rPr>
          <w:rFonts w:ascii="Tahoma" w:eastAsiaTheme="minorEastAsia" w:hAnsi="Tahoma" w:cs="Tahoma"/>
          <w:b/>
          <w:bCs/>
          <w:lang w:eastAsia="en-US"/>
        </w:rPr>
      </w:pPr>
      <w:r w:rsidRPr="003E0C90">
        <w:rPr>
          <w:rFonts w:ascii="Tahoma" w:eastAsia="Tahoma" w:hAnsi="Tahoma" w:cs="Tahoma"/>
          <w:color w:val="000000" w:themeColor="text1"/>
        </w:rPr>
        <w:t xml:space="preserve">Teniendo en cuenta que el artículo 15 del Decreto No. 806 del 4 de junio de 2020, expedido por el Ministerio de Justicia y del Derecho, adoptado como legislación permanente por medio de la Ley 2213 del 13 de junio de 2022, estableció que en la especialidad laboral se proferirán por escrito las providencias de segunda instancia en las que se surta el grado jurisdiccional de consulta o se resuelva el recurso de apelación de autos o sentencias, </w:t>
      </w:r>
      <w:r w:rsidRPr="003E0C90">
        <w:rPr>
          <w:rFonts w:ascii="Tahoma" w:eastAsia="Tahoma" w:hAnsi="Tahoma" w:cs="Tahoma"/>
          <w:color w:val="000000" w:themeColor="text1"/>
          <w:lang w:val="es"/>
        </w:rPr>
        <w:t xml:space="preserve">la Sala </w:t>
      </w:r>
      <w:r w:rsidR="0069711B" w:rsidRPr="003E0C90">
        <w:rPr>
          <w:rFonts w:ascii="Tahoma" w:eastAsia="Tahoma" w:hAnsi="Tahoma" w:cs="Tahoma"/>
          <w:color w:val="000000" w:themeColor="text1"/>
          <w:lang w:val="es"/>
        </w:rPr>
        <w:t xml:space="preserve">Primera </w:t>
      </w:r>
      <w:r w:rsidRPr="003E0C90">
        <w:rPr>
          <w:rFonts w:ascii="Tahoma" w:eastAsia="Tahoma" w:hAnsi="Tahoma" w:cs="Tahoma"/>
          <w:color w:val="000000" w:themeColor="text1"/>
          <w:lang w:val="es"/>
        </w:rPr>
        <w:t xml:space="preserve">de Decisión Laboral del Tribunal Superior de Pereira, integrada por las Magistradas ANA LUCÍA CAICEDO CALDERÓN como Ponente, OLGA LUCÍA HOYOS SEPÚLVEDA y el Magistrado GERMÁN DARÍO </w:t>
      </w:r>
      <w:r w:rsidRPr="003E0C90">
        <w:rPr>
          <w:rFonts w:ascii="Tahoma" w:eastAsia="Tahoma" w:hAnsi="Tahoma" w:cs="Tahoma"/>
          <w:i/>
          <w:iCs/>
          <w:color w:val="000000" w:themeColor="text1"/>
          <w:lang w:val="es"/>
        </w:rPr>
        <w:t>GOEZ</w:t>
      </w:r>
      <w:r w:rsidRPr="003E0C90">
        <w:rPr>
          <w:rFonts w:ascii="Tahoma" w:eastAsia="Tahoma" w:hAnsi="Tahoma" w:cs="Tahoma"/>
          <w:color w:val="000000" w:themeColor="text1"/>
          <w:lang w:val="es"/>
        </w:rPr>
        <w:t xml:space="preserve"> VINASCO,</w:t>
      </w:r>
      <w:r w:rsidR="1936E1C7" w:rsidRPr="003E0C90">
        <w:rPr>
          <w:rFonts w:ascii="Tahoma" w:eastAsia="Tahoma" w:hAnsi="Tahoma" w:cs="Tahoma"/>
          <w:color w:val="000000" w:themeColor="text1"/>
        </w:rPr>
        <w:t xml:space="preserve"> </w:t>
      </w:r>
      <w:r w:rsidR="1936E1C7" w:rsidRPr="003E0C90">
        <w:rPr>
          <w:rFonts w:ascii="Tahoma" w:eastAsia="Tahoma" w:hAnsi="Tahoma" w:cs="Tahoma"/>
          <w:color w:val="000000" w:themeColor="text1"/>
        </w:rPr>
        <w:lastRenderedPageBreak/>
        <w:t xml:space="preserve">procede a proferir el siguiente auto escrito dentro del proceso </w:t>
      </w:r>
      <w:r w:rsidR="1936E1C7" w:rsidRPr="001C09BF">
        <w:rPr>
          <w:rFonts w:ascii="Tahoma" w:eastAsia="Tahoma" w:hAnsi="Tahoma" w:cs="Tahoma"/>
          <w:b/>
          <w:color w:val="000000" w:themeColor="text1"/>
        </w:rPr>
        <w:t>ordinario laboral</w:t>
      </w:r>
      <w:r w:rsidR="1936E1C7" w:rsidRPr="003E0C90">
        <w:rPr>
          <w:rFonts w:ascii="Tahoma" w:eastAsia="Tahoma" w:hAnsi="Tahoma" w:cs="Tahoma"/>
          <w:color w:val="000000" w:themeColor="text1"/>
        </w:rPr>
        <w:t xml:space="preserve"> instaurado por</w:t>
      </w:r>
      <w:r w:rsidR="00C43F4A" w:rsidRPr="003E0C90">
        <w:rPr>
          <w:rFonts w:ascii="Tahoma" w:eastAsiaTheme="minorEastAsia" w:hAnsi="Tahoma" w:cs="Tahoma"/>
          <w:lang w:eastAsia="en-US"/>
        </w:rPr>
        <w:t xml:space="preserve"> </w:t>
      </w:r>
      <w:r w:rsidR="00582D53" w:rsidRPr="003E0C90">
        <w:rPr>
          <w:rFonts w:ascii="Tahoma" w:eastAsiaTheme="minorEastAsia" w:hAnsi="Tahoma" w:cs="Tahoma"/>
          <w:b/>
          <w:bCs/>
          <w:lang w:eastAsia="en-US"/>
        </w:rPr>
        <w:t xml:space="preserve">Julieta Henao Bonilla </w:t>
      </w:r>
      <w:r w:rsidR="000A730A" w:rsidRPr="003E0C90">
        <w:rPr>
          <w:rFonts w:ascii="Tahoma" w:eastAsiaTheme="minorEastAsia" w:hAnsi="Tahoma" w:cs="Tahoma"/>
          <w:lang w:eastAsia="en-US"/>
        </w:rPr>
        <w:t>e</w:t>
      </w:r>
      <w:r w:rsidR="00C43F4A" w:rsidRPr="003E0C90">
        <w:rPr>
          <w:rFonts w:ascii="Tahoma" w:eastAsiaTheme="minorEastAsia" w:hAnsi="Tahoma" w:cs="Tahoma"/>
          <w:lang w:eastAsia="en-US"/>
        </w:rPr>
        <w:t xml:space="preserve">n contra de </w:t>
      </w:r>
      <w:r w:rsidR="0069711B" w:rsidRPr="003E0C90">
        <w:rPr>
          <w:rFonts w:ascii="Tahoma" w:eastAsiaTheme="minorEastAsia" w:hAnsi="Tahoma" w:cs="Tahoma"/>
          <w:b/>
          <w:bCs/>
          <w:lang w:eastAsia="en-US"/>
        </w:rPr>
        <w:t>Porvenir S.A.</w:t>
      </w:r>
      <w:r w:rsidR="0064697B" w:rsidRPr="003E0C90">
        <w:rPr>
          <w:rFonts w:ascii="Tahoma" w:eastAsiaTheme="minorEastAsia" w:hAnsi="Tahoma" w:cs="Tahoma"/>
          <w:b/>
          <w:bCs/>
          <w:lang w:eastAsia="en-US"/>
        </w:rPr>
        <w:t xml:space="preserve"> y Colpensiones</w:t>
      </w:r>
      <w:r w:rsidR="00C43F4A" w:rsidRPr="00454EF3">
        <w:rPr>
          <w:rFonts w:ascii="Tahoma" w:eastAsiaTheme="minorEastAsia" w:hAnsi="Tahoma" w:cs="Tahoma"/>
          <w:bCs/>
          <w:lang w:eastAsia="en-US"/>
        </w:rPr>
        <w:t>.</w:t>
      </w:r>
    </w:p>
    <w:p w14:paraId="63A74FB6" w14:textId="77777777" w:rsidR="00323254" w:rsidRPr="003E0C90" w:rsidRDefault="00323254" w:rsidP="003E0C90">
      <w:pPr>
        <w:spacing w:line="276" w:lineRule="auto"/>
        <w:jc w:val="both"/>
        <w:rPr>
          <w:rFonts w:ascii="Tahoma" w:eastAsiaTheme="minorHAnsi" w:hAnsi="Tahoma" w:cs="Tahoma"/>
          <w:b/>
          <w:bCs/>
          <w:lang w:val="es-ES_tradnl" w:eastAsia="en-US"/>
        </w:rPr>
      </w:pPr>
    </w:p>
    <w:p w14:paraId="7E77E807" w14:textId="77777777" w:rsidR="00C43F4A" w:rsidRPr="003E0C90" w:rsidRDefault="00C43F4A" w:rsidP="003E0C90">
      <w:pPr>
        <w:spacing w:line="276" w:lineRule="auto"/>
        <w:jc w:val="center"/>
        <w:rPr>
          <w:rFonts w:ascii="Tahoma" w:eastAsiaTheme="minorHAnsi" w:hAnsi="Tahoma" w:cs="Tahoma"/>
          <w:b/>
          <w:bCs/>
          <w:lang w:val="es-CO" w:eastAsia="en-US"/>
        </w:rPr>
      </w:pPr>
      <w:r w:rsidRPr="003E0C90">
        <w:rPr>
          <w:rFonts w:ascii="Tahoma" w:eastAsiaTheme="minorHAnsi" w:hAnsi="Tahoma" w:cs="Tahoma"/>
          <w:b/>
          <w:bCs/>
          <w:lang w:val="es-CO" w:eastAsia="en-US"/>
        </w:rPr>
        <w:t>PUNTO A TRATAR</w:t>
      </w:r>
    </w:p>
    <w:p w14:paraId="78EAC090" w14:textId="77777777" w:rsidR="00366A12" w:rsidRPr="003E0C90" w:rsidRDefault="00366A12" w:rsidP="003E0C90">
      <w:pPr>
        <w:spacing w:line="276" w:lineRule="auto"/>
        <w:ind w:firstLine="708"/>
        <w:jc w:val="both"/>
        <w:rPr>
          <w:rFonts w:ascii="Tahoma" w:eastAsiaTheme="minorHAnsi" w:hAnsi="Tahoma" w:cs="Tahoma"/>
          <w:lang w:val="es-CO" w:eastAsia="en-US"/>
        </w:rPr>
      </w:pPr>
    </w:p>
    <w:p w14:paraId="7019EDE3" w14:textId="287FD620" w:rsidR="00C43F4A" w:rsidRPr="003E0C90" w:rsidRDefault="00C43F4A" w:rsidP="003E0C90">
      <w:pPr>
        <w:spacing w:line="276" w:lineRule="auto"/>
        <w:ind w:firstLine="708"/>
        <w:jc w:val="both"/>
        <w:rPr>
          <w:rFonts w:ascii="Tahoma" w:eastAsiaTheme="minorHAnsi" w:hAnsi="Tahoma" w:cs="Tahoma"/>
          <w:lang w:val="es-CO" w:eastAsia="en-US"/>
        </w:rPr>
      </w:pPr>
      <w:r w:rsidRPr="003E0C90">
        <w:rPr>
          <w:rFonts w:ascii="Tahoma" w:eastAsiaTheme="minorHAnsi" w:hAnsi="Tahoma" w:cs="Tahoma"/>
          <w:lang w:val="es-CO" w:eastAsia="en-US"/>
        </w:rPr>
        <w:t xml:space="preserve">Por medio de esta providencia procede la Sala a resolver el recurso de apelación promovido por </w:t>
      </w:r>
      <w:r w:rsidR="000A730A" w:rsidRPr="003E0C90">
        <w:rPr>
          <w:rFonts w:ascii="Tahoma" w:eastAsiaTheme="minorHAnsi" w:hAnsi="Tahoma" w:cs="Tahoma"/>
          <w:lang w:val="es-CO" w:eastAsia="en-US"/>
        </w:rPr>
        <w:t>e</w:t>
      </w:r>
      <w:r w:rsidR="0064697B" w:rsidRPr="003E0C90">
        <w:rPr>
          <w:rFonts w:ascii="Tahoma" w:eastAsiaTheme="minorHAnsi" w:hAnsi="Tahoma" w:cs="Tahoma"/>
          <w:lang w:val="es-CO" w:eastAsia="en-US"/>
        </w:rPr>
        <w:t>l apoderad</w:t>
      </w:r>
      <w:r w:rsidR="000A730A" w:rsidRPr="003E0C90">
        <w:rPr>
          <w:rFonts w:ascii="Tahoma" w:eastAsiaTheme="minorHAnsi" w:hAnsi="Tahoma" w:cs="Tahoma"/>
          <w:lang w:val="es-CO" w:eastAsia="en-US"/>
        </w:rPr>
        <w:t>o</w:t>
      </w:r>
      <w:r w:rsidR="0064697B" w:rsidRPr="003E0C90">
        <w:rPr>
          <w:rFonts w:ascii="Tahoma" w:eastAsiaTheme="minorHAnsi" w:hAnsi="Tahoma" w:cs="Tahoma"/>
          <w:lang w:val="es-CO" w:eastAsia="en-US"/>
        </w:rPr>
        <w:t xml:space="preserve"> judicial de</w:t>
      </w:r>
      <w:r w:rsidR="00881BBF" w:rsidRPr="003E0C90">
        <w:rPr>
          <w:rFonts w:ascii="Tahoma" w:eastAsiaTheme="minorHAnsi" w:hAnsi="Tahoma" w:cs="Tahoma"/>
          <w:lang w:val="es-CO" w:eastAsia="en-US"/>
        </w:rPr>
        <w:t xml:space="preserve"> </w:t>
      </w:r>
      <w:r w:rsidR="0069711B" w:rsidRPr="003E0C90">
        <w:rPr>
          <w:rFonts w:ascii="Tahoma" w:eastAsiaTheme="minorHAnsi" w:hAnsi="Tahoma" w:cs="Tahoma"/>
          <w:lang w:val="es-CO" w:eastAsia="en-US"/>
        </w:rPr>
        <w:t>l</w:t>
      </w:r>
      <w:r w:rsidR="00881BBF" w:rsidRPr="003E0C90">
        <w:rPr>
          <w:rFonts w:ascii="Tahoma" w:eastAsiaTheme="minorHAnsi" w:hAnsi="Tahoma" w:cs="Tahoma"/>
          <w:lang w:val="es-CO" w:eastAsia="en-US"/>
        </w:rPr>
        <w:t>a</w:t>
      </w:r>
      <w:r w:rsidR="0069711B" w:rsidRPr="003E0C90">
        <w:rPr>
          <w:rFonts w:ascii="Tahoma" w:eastAsiaTheme="minorHAnsi" w:hAnsi="Tahoma" w:cs="Tahoma"/>
          <w:lang w:val="es-CO" w:eastAsia="en-US"/>
        </w:rPr>
        <w:t xml:space="preserve"> demandante </w:t>
      </w:r>
      <w:r w:rsidRPr="003E0C90">
        <w:rPr>
          <w:rFonts w:ascii="Tahoma" w:eastAsiaTheme="minorHAnsi" w:hAnsi="Tahoma" w:cs="Tahoma"/>
          <w:lang w:val="es-CO" w:eastAsia="en-US"/>
        </w:rPr>
        <w:t xml:space="preserve">en contra del auto del </w:t>
      </w:r>
      <w:r w:rsidR="00D56CA8" w:rsidRPr="003E0C90">
        <w:rPr>
          <w:rFonts w:ascii="Tahoma" w:eastAsiaTheme="minorHAnsi" w:hAnsi="Tahoma" w:cs="Tahoma"/>
          <w:lang w:val="es-CO" w:eastAsia="en-US"/>
        </w:rPr>
        <w:t>02 de diciembre</w:t>
      </w:r>
      <w:r w:rsidR="00881BBF" w:rsidRPr="003E0C90">
        <w:rPr>
          <w:rFonts w:ascii="Tahoma" w:eastAsiaTheme="minorHAnsi" w:hAnsi="Tahoma" w:cs="Tahoma"/>
          <w:lang w:val="es-CO" w:eastAsia="en-US"/>
        </w:rPr>
        <w:t xml:space="preserve"> </w:t>
      </w:r>
      <w:r w:rsidR="000A730A" w:rsidRPr="003E0C90">
        <w:rPr>
          <w:rFonts w:ascii="Tahoma" w:eastAsiaTheme="minorHAnsi" w:hAnsi="Tahoma" w:cs="Tahoma"/>
          <w:lang w:val="es-CO" w:eastAsia="en-US"/>
        </w:rPr>
        <w:t xml:space="preserve">de </w:t>
      </w:r>
      <w:r w:rsidR="001E4DD4" w:rsidRPr="003E0C90">
        <w:rPr>
          <w:rFonts w:ascii="Tahoma" w:eastAsiaTheme="minorHAnsi" w:hAnsi="Tahoma" w:cs="Tahoma"/>
          <w:bCs/>
          <w:lang w:val="es-CO" w:eastAsia="en-US"/>
        </w:rPr>
        <w:t>2022</w:t>
      </w:r>
      <w:r w:rsidRPr="003E0C90">
        <w:rPr>
          <w:rFonts w:ascii="Tahoma" w:eastAsiaTheme="minorHAnsi" w:hAnsi="Tahoma" w:cs="Tahoma"/>
          <w:lang w:val="es-CO" w:eastAsia="en-US"/>
        </w:rPr>
        <w:t>, por medio del cual</w:t>
      </w:r>
      <w:r w:rsidR="00C04826" w:rsidRPr="003E0C90">
        <w:rPr>
          <w:rFonts w:ascii="Tahoma" w:eastAsiaTheme="minorHAnsi" w:hAnsi="Tahoma" w:cs="Tahoma"/>
          <w:lang w:val="es-CO" w:eastAsia="en-US"/>
        </w:rPr>
        <w:t xml:space="preserve"> se aprobó la liquidación de las costas realizada por la secretaría del juzgado </w:t>
      </w:r>
      <w:r w:rsidRPr="003E0C90">
        <w:rPr>
          <w:rFonts w:ascii="Tahoma" w:eastAsiaTheme="minorHAnsi" w:hAnsi="Tahoma" w:cs="Tahoma"/>
          <w:lang w:val="es-CO" w:eastAsia="en-US"/>
        </w:rPr>
        <w:t>de conocimiento. Para ello se tiene en cuenta lo siguiente: </w:t>
      </w:r>
    </w:p>
    <w:p w14:paraId="720A10B9" w14:textId="77777777" w:rsidR="0064697B" w:rsidRPr="003E0C90" w:rsidRDefault="0064697B" w:rsidP="003E0C90">
      <w:pPr>
        <w:pStyle w:val="Prrafodelista"/>
        <w:numPr>
          <w:ilvl w:val="0"/>
          <w:numId w:val="7"/>
        </w:numPr>
        <w:tabs>
          <w:tab w:val="left" w:pos="284"/>
        </w:tabs>
        <w:spacing w:line="276" w:lineRule="auto"/>
        <w:jc w:val="center"/>
        <w:rPr>
          <w:rFonts w:ascii="Tahoma" w:hAnsi="Tahoma" w:cs="Tahoma"/>
          <w:b/>
          <w:bCs/>
        </w:rPr>
      </w:pPr>
      <w:r w:rsidRPr="003E0C90">
        <w:rPr>
          <w:rFonts w:ascii="Tahoma" w:hAnsi="Tahoma" w:cs="Tahoma"/>
          <w:b/>
          <w:bCs/>
        </w:rPr>
        <w:t>Antecedentes Procesales</w:t>
      </w:r>
    </w:p>
    <w:p w14:paraId="0730843E" w14:textId="77777777" w:rsidR="0064697B" w:rsidRPr="003E0C90" w:rsidRDefault="0064697B" w:rsidP="003E0C90">
      <w:pPr>
        <w:pStyle w:val="Sinespaciado"/>
        <w:spacing w:line="276" w:lineRule="auto"/>
        <w:rPr>
          <w:rFonts w:ascii="Tahoma" w:hAnsi="Tahoma" w:cs="Tahoma"/>
        </w:rPr>
      </w:pPr>
      <w:r w:rsidRPr="003E0C90">
        <w:rPr>
          <w:rFonts w:ascii="Tahoma" w:hAnsi="Tahoma" w:cs="Tahoma"/>
        </w:rPr>
        <w:tab/>
      </w:r>
    </w:p>
    <w:p w14:paraId="08AC09DC" w14:textId="2DB5C14A" w:rsidR="00985727" w:rsidRPr="003E0C90" w:rsidRDefault="0064697B" w:rsidP="003E0C90">
      <w:pPr>
        <w:spacing w:line="276" w:lineRule="auto"/>
        <w:ind w:firstLine="708"/>
        <w:jc w:val="both"/>
        <w:rPr>
          <w:rFonts w:ascii="Tahoma" w:hAnsi="Tahoma" w:cs="Tahoma"/>
        </w:rPr>
      </w:pPr>
      <w:r w:rsidRPr="003E0C90">
        <w:rPr>
          <w:rFonts w:ascii="Tahoma" w:hAnsi="Tahoma" w:cs="Tahoma"/>
        </w:rPr>
        <w:t xml:space="preserve">Para mejor proveer conviene indicar que en sentencia de primera </w:t>
      </w:r>
      <w:r w:rsidR="00E725DA" w:rsidRPr="003E0C90">
        <w:rPr>
          <w:rFonts w:ascii="Tahoma" w:hAnsi="Tahoma" w:cs="Tahoma"/>
        </w:rPr>
        <w:t>instancia</w:t>
      </w:r>
      <w:r w:rsidR="00537904" w:rsidRPr="003E0C90">
        <w:rPr>
          <w:rFonts w:ascii="Tahoma" w:hAnsi="Tahoma" w:cs="Tahoma"/>
        </w:rPr>
        <w:t>,</w:t>
      </w:r>
      <w:r w:rsidR="00E725DA" w:rsidRPr="003E0C90">
        <w:rPr>
          <w:rFonts w:ascii="Tahoma" w:hAnsi="Tahoma" w:cs="Tahoma"/>
        </w:rPr>
        <w:t xml:space="preserve"> proferida el </w:t>
      </w:r>
      <w:r w:rsidR="00D56CA8" w:rsidRPr="003E0C90">
        <w:rPr>
          <w:rFonts w:ascii="Tahoma" w:hAnsi="Tahoma" w:cs="Tahoma"/>
        </w:rPr>
        <w:t>28 de noviembre</w:t>
      </w:r>
      <w:r w:rsidR="0095074F" w:rsidRPr="003E0C90">
        <w:rPr>
          <w:rFonts w:ascii="Tahoma" w:hAnsi="Tahoma" w:cs="Tahoma"/>
        </w:rPr>
        <w:t xml:space="preserve"> de 2018</w:t>
      </w:r>
      <w:r w:rsidR="00E725DA" w:rsidRPr="003E0C90">
        <w:rPr>
          <w:rFonts w:ascii="Tahoma" w:hAnsi="Tahoma" w:cs="Tahoma"/>
        </w:rPr>
        <w:t xml:space="preserve">, </w:t>
      </w:r>
      <w:r w:rsidR="000A7922" w:rsidRPr="003E0C90">
        <w:rPr>
          <w:rFonts w:ascii="Tahoma" w:hAnsi="Tahoma" w:cs="Tahoma"/>
        </w:rPr>
        <w:t xml:space="preserve">se declaró </w:t>
      </w:r>
      <w:r w:rsidR="0095074F" w:rsidRPr="003E0C90">
        <w:rPr>
          <w:rFonts w:ascii="Tahoma" w:hAnsi="Tahoma" w:cs="Tahoma"/>
        </w:rPr>
        <w:t xml:space="preserve">eficaz el traslado que realizó la demandante del régimen de prima media con prestación definida al régimen de ahorro individual el </w:t>
      </w:r>
      <w:r w:rsidR="00D56CA8" w:rsidRPr="003E0C90">
        <w:rPr>
          <w:rFonts w:ascii="Tahoma" w:hAnsi="Tahoma" w:cs="Tahoma"/>
        </w:rPr>
        <w:t>07 de abril de 1999</w:t>
      </w:r>
      <w:r w:rsidR="004A42A8" w:rsidRPr="003E0C90">
        <w:rPr>
          <w:rFonts w:ascii="Tahoma" w:hAnsi="Tahoma" w:cs="Tahoma"/>
        </w:rPr>
        <w:t>.</w:t>
      </w:r>
      <w:r w:rsidR="000A7922" w:rsidRPr="003E0C90">
        <w:rPr>
          <w:rFonts w:ascii="Tahoma" w:hAnsi="Tahoma" w:cs="Tahoma"/>
        </w:rPr>
        <w:t xml:space="preserve"> En consecuencia, </w:t>
      </w:r>
      <w:r w:rsidR="00D56CA8" w:rsidRPr="003E0C90">
        <w:rPr>
          <w:rFonts w:ascii="Tahoma" w:hAnsi="Tahoma" w:cs="Tahoma"/>
        </w:rPr>
        <w:t>se ordenó a Porvenir S.A. que remitiera a Colpensiones los saldos existentes en la cuenta de ahorro individual de la actora y se condenó en costas procesales en un 100% a Porvenir S.A.</w:t>
      </w:r>
    </w:p>
    <w:p w14:paraId="50E451EA" w14:textId="622761A9" w:rsidR="00537904" w:rsidRPr="003E0C90" w:rsidRDefault="00537904" w:rsidP="003E0C90">
      <w:pPr>
        <w:pStyle w:val="Sinespaciado"/>
        <w:spacing w:line="276" w:lineRule="auto"/>
        <w:rPr>
          <w:rFonts w:ascii="Tahoma" w:hAnsi="Tahoma" w:cs="Tahoma"/>
        </w:rPr>
      </w:pPr>
    </w:p>
    <w:p w14:paraId="3F203510" w14:textId="34A98D59" w:rsidR="00A93ED6" w:rsidRPr="003E0C90" w:rsidRDefault="00537904" w:rsidP="003E0C90">
      <w:pPr>
        <w:spacing w:line="276" w:lineRule="auto"/>
        <w:ind w:firstLine="708"/>
        <w:jc w:val="both"/>
        <w:rPr>
          <w:rFonts w:ascii="Tahoma" w:hAnsi="Tahoma" w:cs="Tahoma"/>
        </w:rPr>
      </w:pPr>
      <w:r w:rsidRPr="003E0C90">
        <w:rPr>
          <w:rFonts w:ascii="Tahoma" w:hAnsi="Tahoma" w:cs="Tahoma"/>
        </w:rPr>
        <w:t xml:space="preserve">En sentencia de segunda instancia, emitida </w:t>
      </w:r>
      <w:r w:rsidR="0064697B" w:rsidRPr="003E0C90">
        <w:rPr>
          <w:rFonts w:ascii="Tahoma" w:hAnsi="Tahoma" w:cs="Tahoma"/>
        </w:rPr>
        <w:t xml:space="preserve">el </w:t>
      </w:r>
      <w:r w:rsidR="00D56CA8" w:rsidRPr="003E0C90">
        <w:rPr>
          <w:rFonts w:ascii="Tahoma" w:hAnsi="Tahoma" w:cs="Tahoma"/>
        </w:rPr>
        <w:t>09 de diciembre de 2019</w:t>
      </w:r>
      <w:r w:rsidR="0064697B" w:rsidRPr="003E0C90">
        <w:rPr>
          <w:rFonts w:ascii="Tahoma" w:hAnsi="Tahoma" w:cs="Tahoma"/>
        </w:rPr>
        <w:t xml:space="preserve">, </w:t>
      </w:r>
      <w:r w:rsidR="0095074F" w:rsidRPr="003E0C90">
        <w:rPr>
          <w:rFonts w:ascii="Tahoma" w:hAnsi="Tahoma" w:cs="Tahoma"/>
        </w:rPr>
        <w:t xml:space="preserve">esta Corporación </w:t>
      </w:r>
      <w:r w:rsidR="00D56CA8" w:rsidRPr="003E0C90">
        <w:rPr>
          <w:rFonts w:ascii="Tahoma" w:hAnsi="Tahoma" w:cs="Tahoma"/>
        </w:rPr>
        <w:t>revocó la providencia de primera instancia y</w:t>
      </w:r>
      <w:r w:rsidR="0095074F" w:rsidRPr="003E0C90">
        <w:rPr>
          <w:rFonts w:ascii="Tahoma" w:hAnsi="Tahoma" w:cs="Tahoma"/>
        </w:rPr>
        <w:t xml:space="preserve"> condenó en costas</w:t>
      </w:r>
      <w:r w:rsidR="00D56CA8" w:rsidRPr="003E0C90">
        <w:rPr>
          <w:rFonts w:ascii="Tahoma" w:hAnsi="Tahoma" w:cs="Tahoma"/>
        </w:rPr>
        <w:t xml:space="preserve"> de ambas instancias</w:t>
      </w:r>
      <w:r w:rsidR="0095074F" w:rsidRPr="003E0C90">
        <w:rPr>
          <w:rFonts w:ascii="Tahoma" w:hAnsi="Tahoma" w:cs="Tahoma"/>
        </w:rPr>
        <w:t xml:space="preserve"> a la parte actora.</w:t>
      </w:r>
    </w:p>
    <w:p w14:paraId="68FBF4CA" w14:textId="5BAAA58A" w:rsidR="000A46A7" w:rsidRPr="003E0C90" w:rsidRDefault="000A46A7" w:rsidP="003E0C90">
      <w:pPr>
        <w:pStyle w:val="Sinespaciado"/>
        <w:spacing w:line="276" w:lineRule="auto"/>
        <w:rPr>
          <w:rFonts w:ascii="Tahoma" w:hAnsi="Tahoma" w:cs="Tahoma"/>
        </w:rPr>
      </w:pPr>
    </w:p>
    <w:p w14:paraId="30F3D985" w14:textId="4E74B24D" w:rsidR="00F12FE5" w:rsidRPr="003E0C90" w:rsidRDefault="00F85684" w:rsidP="003E0C90">
      <w:pPr>
        <w:spacing w:line="276" w:lineRule="auto"/>
        <w:jc w:val="both"/>
        <w:rPr>
          <w:rFonts w:ascii="Tahoma" w:hAnsi="Tahoma" w:cs="Tahoma"/>
        </w:rPr>
      </w:pPr>
      <w:r w:rsidRPr="003E0C90">
        <w:rPr>
          <w:rFonts w:ascii="Tahoma" w:hAnsi="Tahoma" w:cs="Tahoma"/>
        </w:rPr>
        <w:tab/>
      </w:r>
      <w:r w:rsidR="0095074F" w:rsidRPr="003E0C90">
        <w:rPr>
          <w:rFonts w:ascii="Tahoma" w:hAnsi="Tahoma" w:cs="Tahoma"/>
        </w:rPr>
        <w:t>La</w:t>
      </w:r>
      <w:r w:rsidR="00F12FE5" w:rsidRPr="003E0C90">
        <w:rPr>
          <w:rFonts w:ascii="Tahoma" w:hAnsi="Tahoma" w:cs="Tahoma"/>
        </w:rPr>
        <w:t xml:space="preserve"> promotor</w:t>
      </w:r>
      <w:r w:rsidR="0095074F" w:rsidRPr="003E0C90">
        <w:rPr>
          <w:rFonts w:ascii="Tahoma" w:hAnsi="Tahoma" w:cs="Tahoma"/>
        </w:rPr>
        <w:t>a</w:t>
      </w:r>
      <w:r w:rsidR="00F12FE5" w:rsidRPr="003E0C90">
        <w:rPr>
          <w:rFonts w:ascii="Tahoma" w:hAnsi="Tahoma" w:cs="Tahoma"/>
        </w:rPr>
        <w:t xml:space="preserve"> del litigio interpuso recurso de casación en contra de la </w:t>
      </w:r>
      <w:r w:rsidRPr="003E0C90">
        <w:rPr>
          <w:rFonts w:ascii="Tahoma" w:hAnsi="Tahoma" w:cs="Tahoma"/>
        </w:rPr>
        <w:t>sentencia de segunda instancia</w:t>
      </w:r>
      <w:r w:rsidR="00F12FE5" w:rsidRPr="003E0C90">
        <w:rPr>
          <w:rFonts w:ascii="Tahoma" w:hAnsi="Tahoma" w:cs="Tahoma"/>
        </w:rPr>
        <w:t xml:space="preserve">, la cual fue casada por la Sala de Casación de Justicia de la Corte Suprema de Justicia mediante fallo del </w:t>
      </w:r>
      <w:r w:rsidR="00D56CA8" w:rsidRPr="003E0C90">
        <w:rPr>
          <w:rFonts w:ascii="Tahoma" w:hAnsi="Tahoma" w:cs="Tahoma"/>
        </w:rPr>
        <w:t>07 de junio de 2022</w:t>
      </w:r>
      <w:r w:rsidR="00F12FE5" w:rsidRPr="003E0C90">
        <w:rPr>
          <w:rFonts w:ascii="Tahoma" w:hAnsi="Tahoma" w:cs="Tahoma"/>
        </w:rPr>
        <w:t xml:space="preserve"> (SL</w:t>
      </w:r>
      <w:r w:rsidR="00D56CA8" w:rsidRPr="003E0C90">
        <w:rPr>
          <w:rFonts w:ascii="Tahoma" w:hAnsi="Tahoma" w:cs="Tahoma"/>
        </w:rPr>
        <w:t>1933</w:t>
      </w:r>
      <w:r w:rsidR="00F12FE5" w:rsidRPr="003E0C90">
        <w:rPr>
          <w:rFonts w:ascii="Tahoma" w:hAnsi="Tahoma" w:cs="Tahoma"/>
        </w:rPr>
        <w:t xml:space="preserve">-2022), </w:t>
      </w:r>
      <w:r w:rsidR="0095074F" w:rsidRPr="003E0C90">
        <w:rPr>
          <w:rFonts w:ascii="Tahoma" w:hAnsi="Tahoma" w:cs="Tahoma"/>
        </w:rPr>
        <w:t>por medio</w:t>
      </w:r>
      <w:r w:rsidR="00F12FE5" w:rsidRPr="003E0C90">
        <w:rPr>
          <w:rFonts w:ascii="Tahoma" w:hAnsi="Tahoma" w:cs="Tahoma"/>
        </w:rPr>
        <w:t xml:space="preserve"> </w:t>
      </w:r>
      <w:r w:rsidR="0095074F" w:rsidRPr="003E0C90">
        <w:rPr>
          <w:rFonts w:ascii="Tahoma" w:hAnsi="Tahoma" w:cs="Tahoma"/>
        </w:rPr>
        <w:t>d</w:t>
      </w:r>
      <w:r w:rsidR="00F12FE5" w:rsidRPr="003E0C90">
        <w:rPr>
          <w:rFonts w:ascii="Tahoma" w:hAnsi="Tahoma" w:cs="Tahoma"/>
        </w:rPr>
        <w:t xml:space="preserve">el cual </w:t>
      </w:r>
      <w:r w:rsidR="00BB3D53" w:rsidRPr="003E0C90">
        <w:rPr>
          <w:rFonts w:ascii="Tahoma" w:hAnsi="Tahoma" w:cs="Tahoma"/>
        </w:rPr>
        <w:t xml:space="preserve">adicionó </w:t>
      </w:r>
      <w:r w:rsidR="00F12FE5" w:rsidRPr="003E0C90">
        <w:rPr>
          <w:rFonts w:ascii="Tahoma" w:hAnsi="Tahoma" w:cs="Tahoma"/>
        </w:rPr>
        <w:t xml:space="preserve">la providencia </w:t>
      </w:r>
      <w:r w:rsidR="0095074F" w:rsidRPr="003E0C90">
        <w:rPr>
          <w:rFonts w:ascii="Tahoma" w:hAnsi="Tahoma" w:cs="Tahoma"/>
        </w:rPr>
        <w:t>proferida por el Juzgado Tercero Laboral de este Circuito</w:t>
      </w:r>
      <w:r w:rsidR="00D94C5F" w:rsidRPr="003E0C90">
        <w:rPr>
          <w:rFonts w:ascii="Tahoma" w:hAnsi="Tahoma" w:cs="Tahoma"/>
        </w:rPr>
        <w:t xml:space="preserve"> </w:t>
      </w:r>
      <w:r w:rsidR="00BB3D53" w:rsidRPr="003E0C90">
        <w:rPr>
          <w:rFonts w:ascii="Tahoma" w:hAnsi="Tahoma" w:cs="Tahoma"/>
        </w:rPr>
        <w:t xml:space="preserve">en el sentido de condenar a Porvenir S.A. a devolver </w:t>
      </w:r>
      <w:r w:rsidR="00294158" w:rsidRPr="003E0C90">
        <w:rPr>
          <w:rFonts w:ascii="Tahoma" w:hAnsi="Tahoma" w:cs="Tahoma"/>
        </w:rPr>
        <w:t xml:space="preserve">a Colpensiones </w:t>
      </w:r>
      <w:r w:rsidR="00BB3D53" w:rsidRPr="003E0C90">
        <w:rPr>
          <w:rFonts w:ascii="Tahoma" w:hAnsi="Tahoma" w:cs="Tahoma"/>
        </w:rPr>
        <w:t xml:space="preserve">el porcentaje correspondiente a los gastos </w:t>
      </w:r>
      <w:r w:rsidR="00294158" w:rsidRPr="003E0C90">
        <w:rPr>
          <w:rFonts w:ascii="Tahoma" w:hAnsi="Tahoma" w:cs="Tahoma"/>
        </w:rPr>
        <w:t>de administración</w:t>
      </w:r>
      <w:r w:rsidR="00BB3D53" w:rsidRPr="003E0C90">
        <w:rPr>
          <w:rFonts w:ascii="Tahoma" w:hAnsi="Tahoma" w:cs="Tahoma"/>
        </w:rPr>
        <w:t xml:space="preserve"> y primas de seguros previsionales de invalidez y sobrevivencia, y el porcentaje destinado al fondo de garantía de pensión mínima, debidamente indexados, y comisiones con cargo a sus propios recursos</w:t>
      </w:r>
      <w:r w:rsidR="00294158" w:rsidRPr="003E0C90">
        <w:rPr>
          <w:rFonts w:ascii="Tahoma" w:hAnsi="Tahoma" w:cs="Tahoma"/>
        </w:rPr>
        <w:t xml:space="preserve">. </w:t>
      </w:r>
    </w:p>
    <w:p w14:paraId="146DBD1E" w14:textId="50FCE1D1" w:rsidR="0026644C" w:rsidRPr="003E0C90" w:rsidRDefault="0026644C" w:rsidP="003E0C90">
      <w:pPr>
        <w:pStyle w:val="Sinespaciado"/>
        <w:spacing w:line="276" w:lineRule="auto"/>
        <w:rPr>
          <w:rFonts w:ascii="Tahoma" w:hAnsi="Tahoma" w:cs="Tahoma"/>
        </w:rPr>
      </w:pPr>
    </w:p>
    <w:p w14:paraId="106FF86E" w14:textId="01E2CEFD" w:rsidR="0026644C" w:rsidRPr="003E0C90" w:rsidRDefault="0026644C" w:rsidP="003E0C90">
      <w:pPr>
        <w:spacing w:line="276" w:lineRule="auto"/>
        <w:jc w:val="both"/>
        <w:rPr>
          <w:rFonts w:ascii="Tahoma" w:hAnsi="Tahoma" w:cs="Tahoma"/>
        </w:rPr>
      </w:pPr>
      <w:r w:rsidRPr="003E0C90">
        <w:rPr>
          <w:rFonts w:ascii="Tahoma" w:hAnsi="Tahoma" w:cs="Tahoma"/>
        </w:rPr>
        <w:tab/>
      </w:r>
      <w:r w:rsidR="00045BAD" w:rsidRPr="003E0C90">
        <w:rPr>
          <w:rFonts w:ascii="Tahoma" w:hAnsi="Tahoma" w:cs="Tahoma"/>
        </w:rPr>
        <w:t xml:space="preserve">Por último, </w:t>
      </w:r>
      <w:r w:rsidR="00297CFD" w:rsidRPr="003E0C90">
        <w:rPr>
          <w:rFonts w:ascii="Tahoma" w:hAnsi="Tahoma" w:cs="Tahoma"/>
        </w:rPr>
        <w:t xml:space="preserve">confirmó en todo lo demás la sentencia de primera instancia y, </w:t>
      </w:r>
      <w:r w:rsidR="00045BAD" w:rsidRPr="003E0C90">
        <w:rPr>
          <w:rFonts w:ascii="Tahoma" w:hAnsi="Tahoma" w:cs="Tahoma"/>
        </w:rPr>
        <w:t>con relación a las costas procesales, dispuso que no se causaban en la alzada y en primera instancia</w:t>
      </w:r>
      <w:r w:rsidR="00297CFD" w:rsidRPr="003E0C90">
        <w:rPr>
          <w:rFonts w:ascii="Tahoma" w:hAnsi="Tahoma" w:cs="Tahoma"/>
        </w:rPr>
        <w:t xml:space="preserve"> a cargo de Porvenir S.A.</w:t>
      </w:r>
    </w:p>
    <w:p w14:paraId="2FE8C9A1" w14:textId="67000894" w:rsidR="00F12FE5" w:rsidRPr="003E0C90" w:rsidRDefault="00F12FE5" w:rsidP="003E0C90">
      <w:pPr>
        <w:spacing w:line="276" w:lineRule="auto"/>
        <w:jc w:val="both"/>
        <w:rPr>
          <w:rFonts w:ascii="Tahoma" w:hAnsi="Tahoma" w:cs="Tahoma"/>
        </w:rPr>
      </w:pPr>
    </w:p>
    <w:p w14:paraId="0C002898" w14:textId="77777777" w:rsidR="0064697B" w:rsidRPr="003E0C90" w:rsidRDefault="0064697B" w:rsidP="003E0C90">
      <w:pPr>
        <w:pStyle w:val="Prrafodelista"/>
        <w:numPr>
          <w:ilvl w:val="0"/>
          <w:numId w:val="7"/>
        </w:numPr>
        <w:tabs>
          <w:tab w:val="left" w:pos="284"/>
        </w:tabs>
        <w:spacing w:line="276" w:lineRule="auto"/>
        <w:jc w:val="center"/>
        <w:rPr>
          <w:rFonts w:ascii="Tahoma" w:hAnsi="Tahoma" w:cs="Tahoma"/>
          <w:b/>
          <w:bCs/>
        </w:rPr>
      </w:pPr>
      <w:r w:rsidRPr="003E0C90">
        <w:rPr>
          <w:rFonts w:ascii="Tahoma" w:hAnsi="Tahoma" w:cs="Tahoma"/>
          <w:b/>
          <w:bCs/>
        </w:rPr>
        <w:t>Auto objeto de apelación</w:t>
      </w:r>
    </w:p>
    <w:p w14:paraId="1CAD279B" w14:textId="77777777" w:rsidR="009D1521" w:rsidRPr="003E0C90" w:rsidRDefault="009D1521" w:rsidP="003E0C90">
      <w:pPr>
        <w:spacing w:line="276" w:lineRule="auto"/>
        <w:ind w:firstLine="708"/>
        <w:jc w:val="both"/>
        <w:rPr>
          <w:rFonts w:ascii="Tahoma" w:hAnsi="Tahoma" w:cs="Tahoma"/>
        </w:rPr>
      </w:pPr>
    </w:p>
    <w:p w14:paraId="1ED0C130" w14:textId="6DFAC1DB" w:rsidR="0064697B" w:rsidRPr="003E0C90" w:rsidRDefault="0064697B" w:rsidP="003E0C90">
      <w:pPr>
        <w:spacing w:line="276" w:lineRule="auto"/>
        <w:ind w:firstLine="708"/>
        <w:jc w:val="both"/>
        <w:rPr>
          <w:rFonts w:ascii="Tahoma" w:hAnsi="Tahoma" w:cs="Tahoma"/>
        </w:rPr>
      </w:pPr>
      <w:r w:rsidRPr="003E0C90">
        <w:rPr>
          <w:rFonts w:ascii="Tahoma" w:hAnsi="Tahoma" w:cs="Tahoma"/>
        </w:rPr>
        <w:t xml:space="preserve">Una vez allegado el expediente al juzgado de origen, mediante auto del </w:t>
      </w:r>
      <w:r w:rsidR="00D24AA3" w:rsidRPr="003E0C90">
        <w:rPr>
          <w:rFonts w:ascii="Tahoma" w:hAnsi="Tahoma" w:cs="Tahoma"/>
        </w:rPr>
        <w:t>02 de diciembre</w:t>
      </w:r>
      <w:r w:rsidR="000313E6" w:rsidRPr="003E0C90">
        <w:rPr>
          <w:rFonts w:ascii="Tahoma" w:hAnsi="Tahoma" w:cs="Tahoma"/>
        </w:rPr>
        <w:t xml:space="preserve"> de</w:t>
      </w:r>
      <w:r w:rsidR="002622FF" w:rsidRPr="003E0C90">
        <w:rPr>
          <w:rFonts w:ascii="Tahoma" w:hAnsi="Tahoma" w:cs="Tahoma"/>
        </w:rPr>
        <w:t xml:space="preserve"> 2022</w:t>
      </w:r>
      <w:r w:rsidRPr="003E0C90">
        <w:rPr>
          <w:rFonts w:ascii="Tahoma" w:hAnsi="Tahoma" w:cs="Tahoma"/>
        </w:rPr>
        <w:t xml:space="preserve"> se </w:t>
      </w:r>
      <w:r w:rsidR="00C04826" w:rsidRPr="003E0C90">
        <w:rPr>
          <w:rFonts w:ascii="Tahoma" w:hAnsi="Tahoma" w:cs="Tahoma"/>
        </w:rPr>
        <w:t xml:space="preserve">aprobó la liquidación de las costas efectuada por la secretaría del despacho de conocimiento </w:t>
      </w:r>
      <w:r w:rsidRPr="003E0C90">
        <w:rPr>
          <w:rFonts w:ascii="Tahoma" w:hAnsi="Tahoma" w:cs="Tahoma"/>
        </w:rPr>
        <w:t>en el siguiente sentido:</w:t>
      </w:r>
    </w:p>
    <w:p w14:paraId="109A6DFD" w14:textId="77777777" w:rsidR="001B73A5" w:rsidRPr="003E0C90" w:rsidRDefault="001B73A5" w:rsidP="003E0C90">
      <w:pPr>
        <w:spacing w:line="276" w:lineRule="auto"/>
        <w:ind w:firstLine="708"/>
        <w:jc w:val="both"/>
        <w:rPr>
          <w:rFonts w:ascii="Tahoma" w:hAnsi="Tahoma" w:cs="Tahoma"/>
        </w:rPr>
      </w:pPr>
    </w:p>
    <w:p w14:paraId="227539BF" w14:textId="06A96BA3" w:rsidR="00045BAD" w:rsidRPr="003E0C90" w:rsidRDefault="00D24AA3" w:rsidP="003E0C90">
      <w:pPr>
        <w:spacing w:line="276" w:lineRule="auto"/>
        <w:ind w:firstLine="708"/>
        <w:jc w:val="both"/>
        <w:rPr>
          <w:rFonts w:ascii="Tahoma" w:hAnsi="Tahoma" w:cs="Tahoma"/>
        </w:rPr>
      </w:pPr>
      <w:r w:rsidRPr="003E0C90">
        <w:rPr>
          <w:rFonts w:ascii="Tahoma" w:hAnsi="Tahoma" w:cs="Tahoma"/>
          <w:noProof/>
        </w:rPr>
        <w:lastRenderedPageBreak/>
        <w:drawing>
          <wp:inline distT="0" distB="0" distL="0" distR="0" wp14:anchorId="2C930A1B" wp14:editId="39296DA2">
            <wp:extent cx="4819650" cy="11308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4303" t="44405" r="35890" b="43162"/>
                    <a:stretch/>
                  </pic:blipFill>
                  <pic:spPr bwMode="auto">
                    <a:xfrm>
                      <a:off x="0" y="0"/>
                      <a:ext cx="4840335" cy="1135721"/>
                    </a:xfrm>
                    <a:prstGeom prst="rect">
                      <a:avLst/>
                    </a:prstGeom>
                    <a:ln>
                      <a:noFill/>
                    </a:ln>
                    <a:extLst>
                      <a:ext uri="{53640926-AAD7-44D8-BBD7-CCE9431645EC}">
                        <a14:shadowObscured xmlns:a14="http://schemas.microsoft.com/office/drawing/2010/main"/>
                      </a:ext>
                    </a:extLst>
                  </pic:spPr>
                </pic:pic>
              </a:graphicData>
            </a:graphic>
          </wp:inline>
        </w:drawing>
      </w:r>
    </w:p>
    <w:p w14:paraId="1C5FC959" w14:textId="77777777" w:rsidR="00F85684" w:rsidRPr="003E0C90" w:rsidRDefault="00F85684" w:rsidP="003E0C90">
      <w:pPr>
        <w:spacing w:line="276" w:lineRule="auto"/>
        <w:ind w:firstLine="708"/>
        <w:jc w:val="both"/>
        <w:rPr>
          <w:rFonts w:ascii="Tahoma" w:hAnsi="Tahoma" w:cs="Tahoma"/>
        </w:rPr>
      </w:pPr>
    </w:p>
    <w:p w14:paraId="266E0FC2" w14:textId="1D522D77" w:rsidR="00631813" w:rsidRPr="003E0C90" w:rsidRDefault="006B18ED" w:rsidP="003E0C90">
      <w:pPr>
        <w:spacing w:line="276" w:lineRule="auto"/>
        <w:ind w:firstLine="709"/>
        <w:jc w:val="both"/>
        <w:rPr>
          <w:rFonts w:ascii="Tahoma" w:hAnsi="Tahoma" w:cs="Tahoma"/>
        </w:rPr>
      </w:pPr>
      <w:r w:rsidRPr="003E0C90">
        <w:rPr>
          <w:rFonts w:ascii="Tahoma" w:hAnsi="Tahoma" w:cs="Tahoma"/>
        </w:rPr>
        <w:t xml:space="preserve">En contra de dicha providencia </w:t>
      </w:r>
      <w:r w:rsidR="00E67372" w:rsidRPr="003E0C90">
        <w:rPr>
          <w:rFonts w:ascii="Tahoma" w:hAnsi="Tahoma" w:cs="Tahoma"/>
        </w:rPr>
        <w:t>el</w:t>
      </w:r>
      <w:r w:rsidR="00D24AA3" w:rsidRPr="003E0C90">
        <w:rPr>
          <w:rFonts w:ascii="Tahoma" w:hAnsi="Tahoma" w:cs="Tahoma"/>
        </w:rPr>
        <w:t xml:space="preserve"> apoderado judicial de la</w:t>
      </w:r>
      <w:r w:rsidR="00E67372" w:rsidRPr="003E0C90">
        <w:rPr>
          <w:rFonts w:ascii="Tahoma" w:hAnsi="Tahoma" w:cs="Tahoma"/>
        </w:rPr>
        <w:t xml:space="preserve"> demandante </w:t>
      </w:r>
      <w:r w:rsidRPr="003E0C90">
        <w:rPr>
          <w:rFonts w:ascii="Tahoma" w:hAnsi="Tahoma" w:cs="Tahoma"/>
        </w:rPr>
        <w:t xml:space="preserve">interpuso recurso de reposición y en subsidio apelación, </w:t>
      </w:r>
      <w:r w:rsidR="004F44E1" w:rsidRPr="003E0C90">
        <w:rPr>
          <w:rFonts w:ascii="Tahoma" w:hAnsi="Tahoma" w:cs="Tahoma"/>
        </w:rPr>
        <w:t>accediendo parcialmente a la reposición la a-quo, por lo que aumentó las agencias en derecho a 3 salarios mínimos</w:t>
      </w:r>
      <w:r w:rsidR="0098140C" w:rsidRPr="003E0C90">
        <w:rPr>
          <w:rFonts w:ascii="Tahoma" w:hAnsi="Tahoma" w:cs="Tahoma"/>
        </w:rPr>
        <w:t xml:space="preserve">, </w:t>
      </w:r>
      <w:r w:rsidR="004F44E1" w:rsidRPr="003E0C90">
        <w:rPr>
          <w:rFonts w:ascii="Tahoma" w:hAnsi="Tahoma" w:cs="Tahoma"/>
        </w:rPr>
        <w:t>atendiendo los límites mínimos y máximos</w:t>
      </w:r>
      <w:r w:rsidR="0098140C" w:rsidRPr="003E0C90">
        <w:rPr>
          <w:rFonts w:ascii="Tahoma" w:hAnsi="Tahoma" w:cs="Tahoma"/>
        </w:rPr>
        <w:t xml:space="preserve"> </w:t>
      </w:r>
      <w:r w:rsidR="004F44E1" w:rsidRPr="003E0C90">
        <w:rPr>
          <w:rFonts w:ascii="Tahoma" w:hAnsi="Tahoma" w:cs="Tahoma"/>
        </w:rPr>
        <w:t>fijados</w:t>
      </w:r>
      <w:r w:rsidR="0098140C" w:rsidRPr="003E0C90">
        <w:rPr>
          <w:rFonts w:ascii="Tahoma" w:hAnsi="Tahoma" w:cs="Tahoma"/>
        </w:rPr>
        <w:t xml:space="preserve"> en el</w:t>
      </w:r>
      <w:r w:rsidR="00A27AE3" w:rsidRPr="003E0C90">
        <w:rPr>
          <w:rFonts w:ascii="Tahoma" w:hAnsi="Tahoma" w:cs="Tahoma"/>
        </w:rPr>
        <w:t xml:space="preserve"> Acuerdo</w:t>
      </w:r>
      <w:r w:rsidR="0098140C" w:rsidRPr="003E0C90">
        <w:rPr>
          <w:rFonts w:ascii="Tahoma" w:hAnsi="Tahoma" w:cs="Tahoma"/>
        </w:rPr>
        <w:t xml:space="preserve"> </w:t>
      </w:r>
      <w:r w:rsidR="00A27AE3" w:rsidRPr="003E0C90">
        <w:rPr>
          <w:rFonts w:ascii="Tahoma" w:hAnsi="Tahoma" w:cs="Tahoma"/>
        </w:rPr>
        <w:t>PSAA16-10554 de 2016</w:t>
      </w:r>
      <w:r w:rsidR="005A3C94" w:rsidRPr="003E0C90">
        <w:rPr>
          <w:rFonts w:ascii="Tahoma" w:hAnsi="Tahoma" w:cs="Tahoma"/>
        </w:rPr>
        <w:t>, para aquellos casos en los que se ordena el cumplimiento de una obligación de hacer.</w:t>
      </w:r>
    </w:p>
    <w:p w14:paraId="60934DF8" w14:textId="77777777" w:rsidR="001B73A5" w:rsidRPr="003E0C90" w:rsidRDefault="001B73A5" w:rsidP="003E0C90">
      <w:pPr>
        <w:pStyle w:val="Sinespaciado"/>
        <w:spacing w:line="276" w:lineRule="auto"/>
        <w:rPr>
          <w:rFonts w:ascii="Tahoma" w:hAnsi="Tahoma" w:cs="Tahoma"/>
        </w:rPr>
      </w:pPr>
    </w:p>
    <w:p w14:paraId="1D94E519" w14:textId="77777777" w:rsidR="0064697B" w:rsidRPr="003E0C90" w:rsidRDefault="0064697B" w:rsidP="003E0C90">
      <w:pPr>
        <w:pStyle w:val="Prrafodelista"/>
        <w:numPr>
          <w:ilvl w:val="0"/>
          <w:numId w:val="7"/>
        </w:numPr>
        <w:tabs>
          <w:tab w:val="left" w:pos="284"/>
        </w:tabs>
        <w:spacing w:line="276" w:lineRule="auto"/>
        <w:jc w:val="center"/>
        <w:rPr>
          <w:rFonts w:ascii="Tahoma" w:hAnsi="Tahoma" w:cs="Tahoma"/>
          <w:b/>
          <w:bCs/>
        </w:rPr>
      </w:pPr>
      <w:r w:rsidRPr="003E0C90">
        <w:rPr>
          <w:rFonts w:ascii="Tahoma" w:hAnsi="Tahoma" w:cs="Tahoma"/>
          <w:b/>
          <w:bCs/>
        </w:rPr>
        <w:t>Recurso de apelación</w:t>
      </w:r>
    </w:p>
    <w:p w14:paraId="7425B3E4" w14:textId="77777777" w:rsidR="0064697B" w:rsidRPr="003E0C90" w:rsidRDefault="0064697B" w:rsidP="003E0C90">
      <w:pPr>
        <w:pStyle w:val="Sinespaciado"/>
        <w:spacing w:line="276" w:lineRule="auto"/>
        <w:rPr>
          <w:rFonts w:ascii="Tahoma" w:hAnsi="Tahoma" w:cs="Tahoma"/>
          <w:lang w:val="es-419"/>
        </w:rPr>
      </w:pPr>
    </w:p>
    <w:p w14:paraId="02F4EC8A" w14:textId="059C6137" w:rsidR="005A3C94" w:rsidRPr="003E0C90" w:rsidRDefault="00A27AE3" w:rsidP="003E0C90">
      <w:pPr>
        <w:pStyle w:val="Prrafodelista"/>
        <w:tabs>
          <w:tab w:val="left" w:pos="284"/>
        </w:tabs>
        <w:spacing w:line="276" w:lineRule="auto"/>
        <w:ind w:left="0" w:firstLine="709"/>
        <w:rPr>
          <w:rFonts w:ascii="Tahoma" w:eastAsia="Times New Roman" w:hAnsi="Tahoma" w:cs="Tahoma"/>
          <w:lang w:val="es-419" w:eastAsia="es-ES"/>
        </w:rPr>
      </w:pPr>
      <w:r w:rsidRPr="003E0C90">
        <w:rPr>
          <w:rFonts w:ascii="Tahoma" w:eastAsia="Times New Roman" w:hAnsi="Tahoma" w:cs="Tahoma"/>
          <w:lang w:val="es-419" w:eastAsia="es-ES"/>
        </w:rPr>
        <w:t>El togado</w:t>
      </w:r>
      <w:r w:rsidR="00133CC4" w:rsidRPr="003E0C90">
        <w:rPr>
          <w:rFonts w:ascii="Tahoma" w:eastAsia="Times New Roman" w:hAnsi="Tahoma" w:cs="Tahoma"/>
          <w:lang w:val="es-419" w:eastAsia="es-ES"/>
        </w:rPr>
        <w:t xml:space="preserve"> que representa los intereses de l</w:t>
      </w:r>
      <w:r w:rsidR="006D1E64" w:rsidRPr="003E0C90">
        <w:rPr>
          <w:rFonts w:ascii="Tahoma" w:eastAsia="Times New Roman" w:hAnsi="Tahoma" w:cs="Tahoma"/>
          <w:lang w:val="es-419" w:eastAsia="es-ES"/>
        </w:rPr>
        <w:t>a parte actora</w:t>
      </w:r>
      <w:r w:rsidR="00133CC4" w:rsidRPr="003E0C90">
        <w:rPr>
          <w:rFonts w:ascii="Tahoma" w:eastAsia="Times New Roman" w:hAnsi="Tahoma" w:cs="Tahoma"/>
          <w:lang w:val="es-419" w:eastAsia="es-ES"/>
        </w:rPr>
        <w:t xml:space="preserve"> </w:t>
      </w:r>
      <w:r w:rsidR="006D1E64" w:rsidRPr="003E0C90">
        <w:rPr>
          <w:rFonts w:ascii="Tahoma" w:eastAsia="Times New Roman" w:hAnsi="Tahoma" w:cs="Tahoma"/>
          <w:lang w:val="es-419" w:eastAsia="es-ES"/>
        </w:rPr>
        <w:t>sustentó l</w:t>
      </w:r>
      <w:r w:rsidR="00133CC4" w:rsidRPr="003E0C90">
        <w:rPr>
          <w:rFonts w:ascii="Tahoma" w:eastAsia="Times New Roman" w:hAnsi="Tahoma" w:cs="Tahoma"/>
          <w:lang w:val="es-419" w:eastAsia="es-ES"/>
        </w:rPr>
        <w:t>a</w:t>
      </w:r>
      <w:r w:rsidR="006D1E64" w:rsidRPr="003E0C90">
        <w:rPr>
          <w:rFonts w:ascii="Tahoma" w:eastAsia="Times New Roman" w:hAnsi="Tahoma" w:cs="Tahoma"/>
          <w:lang w:val="es-419" w:eastAsia="es-ES"/>
        </w:rPr>
        <w:t xml:space="preserve"> </w:t>
      </w:r>
      <w:r w:rsidR="00133CC4" w:rsidRPr="003E0C90">
        <w:rPr>
          <w:rFonts w:ascii="Tahoma" w:eastAsia="Times New Roman" w:hAnsi="Tahoma" w:cs="Tahoma"/>
          <w:lang w:val="es-419" w:eastAsia="es-ES"/>
        </w:rPr>
        <w:t>a</w:t>
      </w:r>
      <w:r w:rsidR="006D1E64" w:rsidRPr="003E0C90">
        <w:rPr>
          <w:rFonts w:ascii="Tahoma" w:eastAsia="Times New Roman" w:hAnsi="Tahoma" w:cs="Tahoma"/>
          <w:lang w:val="es-419" w:eastAsia="es-ES"/>
        </w:rPr>
        <w:t>lzada a</w:t>
      </w:r>
      <w:r w:rsidR="00133CC4" w:rsidRPr="003E0C90">
        <w:rPr>
          <w:rFonts w:ascii="Tahoma" w:eastAsia="Times New Roman" w:hAnsi="Tahoma" w:cs="Tahoma"/>
          <w:lang w:val="es-419" w:eastAsia="es-ES"/>
        </w:rPr>
        <w:t xml:space="preserve">legando que no se tuvo en cuenta que el proceso duró </w:t>
      </w:r>
      <w:r w:rsidR="004F44E1" w:rsidRPr="003E0C90">
        <w:rPr>
          <w:rFonts w:ascii="Tahoma" w:eastAsia="Times New Roman" w:hAnsi="Tahoma" w:cs="Tahoma"/>
          <w:lang w:val="es-419" w:eastAsia="es-ES"/>
        </w:rPr>
        <w:t>5</w:t>
      </w:r>
      <w:r w:rsidR="00133CC4" w:rsidRPr="003E0C90">
        <w:rPr>
          <w:rFonts w:ascii="Tahoma" w:eastAsia="Times New Roman" w:hAnsi="Tahoma" w:cs="Tahoma"/>
          <w:lang w:val="es-419" w:eastAsia="es-ES"/>
        </w:rPr>
        <w:t xml:space="preserve"> años</w:t>
      </w:r>
      <w:r w:rsidR="004F44E1" w:rsidRPr="003E0C90">
        <w:rPr>
          <w:rFonts w:ascii="Tahoma" w:eastAsia="Times New Roman" w:hAnsi="Tahoma" w:cs="Tahoma"/>
          <w:lang w:val="es-419" w:eastAsia="es-ES"/>
        </w:rPr>
        <w:t xml:space="preserve">, </w:t>
      </w:r>
      <w:r w:rsidR="00F94CBA" w:rsidRPr="003E0C90">
        <w:rPr>
          <w:rFonts w:ascii="Tahoma" w:eastAsia="Times New Roman" w:hAnsi="Tahoma" w:cs="Tahoma"/>
          <w:lang w:val="es-419" w:eastAsia="es-ES"/>
        </w:rPr>
        <w:t>que la parte activa asumió la carga de notificar a la demandada y allegó todo el material probatorio suficiente para que el litigio fuese resuelvo, así como asistió a todas las audiencias, procurando la comparecencia de los testigos</w:t>
      </w:r>
      <w:r w:rsidR="004F44E1" w:rsidRPr="003E0C90">
        <w:rPr>
          <w:rFonts w:ascii="Tahoma" w:eastAsia="Times New Roman" w:hAnsi="Tahoma" w:cs="Tahoma"/>
          <w:lang w:val="es-419" w:eastAsia="es-ES"/>
        </w:rPr>
        <w:t xml:space="preserve">, </w:t>
      </w:r>
      <w:r w:rsidR="00F94CBA" w:rsidRPr="003E0C90">
        <w:rPr>
          <w:rFonts w:ascii="Tahoma" w:eastAsia="Times New Roman" w:hAnsi="Tahoma" w:cs="Tahoma"/>
          <w:lang w:val="es-419" w:eastAsia="es-ES"/>
        </w:rPr>
        <w:t xml:space="preserve">adicional a lo cual debió </w:t>
      </w:r>
      <w:r w:rsidR="004F44E1" w:rsidRPr="003E0C90">
        <w:rPr>
          <w:rFonts w:ascii="Tahoma" w:eastAsia="Times New Roman" w:hAnsi="Tahoma" w:cs="Tahoma"/>
          <w:lang w:val="es-419" w:eastAsia="es-ES"/>
        </w:rPr>
        <w:t>llegar a casación para que las pretensiones salieran airosas</w:t>
      </w:r>
      <w:r w:rsidR="00F94CBA" w:rsidRPr="003E0C90">
        <w:rPr>
          <w:rFonts w:ascii="Tahoma" w:eastAsia="Times New Roman" w:hAnsi="Tahoma" w:cs="Tahoma"/>
          <w:lang w:val="es-419" w:eastAsia="es-ES"/>
        </w:rPr>
        <w:t>, ante la revocatoria en segunda instancia</w:t>
      </w:r>
      <w:r w:rsidR="004F44E1" w:rsidRPr="003E0C90">
        <w:rPr>
          <w:rFonts w:ascii="Tahoma" w:eastAsia="Times New Roman" w:hAnsi="Tahoma" w:cs="Tahoma"/>
          <w:lang w:val="es-419" w:eastAsia="es-ES"/>
        </w:rPr>
        <w:t xml:space="preserve">, lo que implicó presentar una demanda cualificada, seria y profunda, en la medida que es mucho más desgastante un proceso cuando se surte el grado extraordinario de casación que solo las dos instancias. </w:t>
      </w:r>
    </w:p>
    <w:p w14:paraId="22AF814C" w14:textId="77777777" w:rsidR="005A3C94" w:rsidRPr="003E0C90" w:rsidRDefault="005A3C94" w:rsidP="003E0C90">
      <w:pPr>
        <w:pStyle w:val="Sinespaciado"/>
        <w:spacing w:line="276" w:lineRule="auto"/>
        <w:rPr>
          <w:rFonts w:ascii="Tahoma" w:hAnsi="Tahoma" w:cs="Tahoma"/>
          <w:lang w:val="es-419"/>
        </w:rPr>
      </w:pPr>
    </w:p>
    <w:p w14:paraId="54173B71" w14:textId="75775D0D" w:rsidR="006D1E64" w:rsidRPr="003E0C90" w:rsidRDefault="00133CC4" w:rsidP="003E0C90">
      <w:pPr>
        <w:pStyle w:val="Prrafodelista"/>
        <w:tabs>
          <w:tab w:val="left" w:pos="284"/>
        </w:tabs>
        <w:spacing w:line="276" w:lineRule="auto"/>
        <w:ind w:left="0" w:firstLine="709"/>
        <w:rPr>
          <w:rFonts w:ascii="Tahoma" w:eastAsia="Times New Roman" w:hAnsi="Tahoma" w:cs="Tahoma"/>
          <w:lang w:val="es-419" w:eastAsia="es-ES"/>
        </w:rPr>
      </w:pPr>
      <w:r w:rsidRPr="003E0C90">
        <w:rPr>
          <w:rFonts w:ascii="Tahoma" w:eastAsia="Times New Roman" w:hAnsi="Tahoma" w:cs="Tahoma"/>
          <w:lang w:val="es-419" w:eastAsia="es-ES"/>
        </w:rPr>
        <w:t xml:space="preserve">En virtud de lo anterior, pidió que las agencias </w:t>
      </w:r>
      <w:r w:rsidR="008B7CB3" w:rsidRPr="003E0C90">
        <w:rPr>
          <w:rFonts w:ascii="Tahoma" w:eastAsia="Times New Roman" w:hAnsi="Tahoma" w:cs="Tahoma"/>
          <w:lang w:val="es-419" w:eastAsia="es-ES"/>
        </w:rPr>
        <w:t xml:space="preserve">se tasaran </w:t>
      </w:r>
      <w:r w:rsidRPr="003E0C90">
        <w:rPr>
          <w:rFonts w:ascii="Tahoma" w:eastAsia="Times New Roman" w:hAnsi="Tahoma" w:cs="Tahoma"/>
          <w:lang w:val="es-419" w:eastAsia="es-ES"/>
        </w:rPr>
        <w:t xml:space="preserve">en </w:t>
      </w:r>
      <w:r w:rsidR="00F94CBA" w:rsidRPr="003E0C90">
        <w:rPr>
          <w:rFonts w:ascii="Tahoma" w:eastAsia="Times New Roman" w:hAnsi="Tahoma" w:cs="Tahoma"/>
          <w:lang w:val="es-419" w:eastAsia="es-ES"/>
        </w:rPr>
        <w:t>8 millones en primera instancia y 6 millones en segunda instancia</w:t>
      </w:r>
      <w:r w:rsidR="008B7CB3" w:rsidRPr="003E0C90">
        <w:rPr>
          <w:rFonts w:ascii="Tahoma" w:eastAsia="Times New Roman" w:hAnsi="Tahoma" w:cs="Tahoma"/>
          <w:lang w:val="es-419" w:eastAsia="es-ES"/>
        </w:rPr>
        <w:t>, atendiendo lo dispuesto en las normas que regentan la materia</w:t>
      </w:r>
      <w:r w:rsidRPr="003E0C90">
        <w:rPr>
          <w:rFonts w:ascii="Tahoma" w:eastAsia="Times New Roman" w:hAnsi="Tahoma" w:cs="Tahoma"/>
          <w:lang w:val="es-419" w:eastAsia="es-ES"/>
        </w:rPr>
        <w:t>.</w:t>
      </w:r>
    </w:p>
    <w:p w14:paraId="2ADFE3D3" w14:textId="77777777" w:rsidR="00692AFE" w:rsidRPr="003E0C90" w:rsidRDefault="00692AFE" w:rsidP="003E0C90">
      <w:pPr>
        <w:tabs>
          <w:tab w:val="left" w:pos="284"/>
        </w:tabs>
        <w:spacing w:line="276" w:lineRule="auto"/>
        <w:rPr>
          <w:rFonts w:ascii="Tahoma" w:hAnsi="Tahoma" w:cs="Tahoma"/>
          <w:b/>
        </w:rPr>
      </w:pPr>
    </w:p>
    <w:p w14:paraId="1858FA60" w14:textId="144DA174" w:rsidR="0064697B" w:rsidRPr="003E0C90" w:rsidRDefault="0064697B" w:rsidP="003E0C90">
      <w:pPr>
        <w:pStyle w:val="Prrafodelista"/>
        <w:numPr>
          <w:ilvl w:val="0"/>
          <w:numId w:val="7"/>
        </w:numPr>
        <w:tabs>
          <w:tab w:val="left" w:pos="284"/>
        </w:tabs>
        <w:spacing w:line="276" w:lineRule="auto"/>
        <w:jc w:val="center"/>
        <w:rPr>
          <w:rFonts w:ascii="Tahoma" w:hAnsi="Tahoma" w:cs="Tahoma"/>
          <w:b/>
        </w:rPr>
      </w:pPr>
      <w:r w:rsidRPr="003E0C90">
        <w:rPr>
          <w:rFonts w:ascii="Tahoma" w:hAnsi="Tahoma" w:cs="Tahoma"/>
          <w:b/>
          <w:bCs/>
        </w:rPr>
        <w:t>Alegatos</w:t>
      </w:r>
      <w:r w:rsidRPr="003E0C90">
        <w:rPr>
          <w:rStyle w:val="normaltextrun"/>
          <w:rFonts w:ascii="Tahoma" w:hAnsi="Tahoma" w:cs="Tahoma"/>
          <w:b/>
          <w:bCs/>
        </w:rPr>
        <w:t xml:space="preserve"> de Conclusión</w:t>
      </w:r>
    </w:p>
    <w:p w14:paraId="2889F949" w14:textId="77777777" w:rsidR="0064697B" w:rsidRPr="003E0C90" w:rsidRDefault="0064697B" w:rsidP="003E0C90">
      <w:pPr>
        <w:pStyle w:val="Sinespaciado"/>
        <w:spacing w:line="276" w:lineRule="auto"/>
        <w:rPr>
          <w:rFonts w:ascii="Tahoma" w:hAnsi="Tahoma" w:cs="Tahoma"/>
        </w:rPr>
      </w:pPr>
      <w:r w:rsidRPr="003E0C90">
        <w:rPr>
          <w:rStyle w:val="eop"/>
          <w:rFonts w:ascii="Tahoma" w:hAnsi="Tahoma" w:cs="Tahoma"/>
        </w:rPr>
        <w:t> </w:t>
      </w:r>
    </w:p>
    <w:p w14:paraId="6F568BD0" w14:textId="0D156E60" w:rsidR="00A2720A" w:rsidRPr="003E0C90" w:rsidRDefault="00A2720A" w:rsidP="003E0C90">
      <w:pPr>
        <w:spacing w:line="276" w:lineRule="auto"/>
        <w:ind w:firstLine="708"/>
        <w:jc w:val="both"/>
        <w:rPr>
          <w:rStyle w:val="normaltextrun"/>
          <w:rFonts w:ascii="Tahoma" w:hAnsi="Tahoma" w:cs="Tahoma"/>
          <w:color w:val="000000"/>
        </w:rPr>
      </w:pPr>
      <w:r w:rsidRPr="003E0C90">
        <w:rPr>
          <w:rStyle w:val="normaltextrun"/>
          <w:rFonts w:ascii="Tahoma" w:hAnsi="Tahoma" w:cs="Tahoma"/>
          <w:color w:val="000000"/>
        </w:rPr>
        <w:t xml:space="preserve">Analizados los alegatos presentados por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su parte, el Ministerio Público no emitió concepto en el presente asunto. </w:t>
      </w:r>
    </w:p>
    <w:p w14:paraId="2B43D4F5" w14:textId="77777777" w:rsidR="001B73A5" w:rsidRPr="003E0C90" w:rsidRDefault="001B73A5" w:rsidP="003E0C90">
      <w:pPr>
        <w:pStyle w:val="Sinespaciado"/>
        <w:spacing w:line="276" w:lineRule="auto"/>
        <w:rPr>
          <w:rFonts w:ascii="Tahoma" w:eastAsia="Tahoma" w:hAnsi="Tahoma" w:cs="Tahoma"/>
        </w:rPr>
      </w:pPr>
    </w:p>
    <w:p w14:paraId="57102D59" w14:textId="0E907CF0" w:rsidR="00E67372" w:rsidRPr="003E0C90" w:rsidRDefault="00E67372" w:rsidP="003E0C90">
      <w:pPr>
        <w:pStyle w:val="Prrafodelista"/>
        <w:numPr>
          <w:ilvl w:val="0"/>
          <w:numId w:val="7"/>
        </w:numPr>
        <w:tabs>
          <w:tab w:val="left" w:pos="284"/>
        </w:tabs>
        <w:spacing w:line="276" w:lineRule="auto"/>
        <w:jc w:val="center"/>
        <w:rPr>
          <w:rFonts w:ascii="Tahoma" w:eastAsia="Tahoma" w:hAnsi="Tahoma" w:cs="Tahoma"/>
          <w:b/>
          <w:bCs/>
        </w:rPr>
      </w:pPr>
      <w:r w:rsidRPr="003E0C90">
        <w:rPr>
          <w:rFonts w:ascii="Tahoma" w:eastAsia="Tahoma" w:hAnsi="Tahoma" w:cs="Tahoma"/>
          <w:b/>
          <w:bCs/>
        </w:rPr>
        <w:t>Problema jurídico</w:t>
      </w:r>
    </w:p>
    <w:p w14:paraId="70A35C57" w14:textId="77777777" w:rsidR="00E67372" w:rsidRPr="003E0C90" w:rsidRDefault="00E67372" w:rsidP="003E0C90">
      <w:pPr>
        <w:pStyle w:val="Sinespaciado"/>
        <w:spacing w:line="276" w:lineRule="auto"/>
        <w:rPr>
          <w:rFonts w:ascii="Tahoma" w:hAnsi="Tahoma" w:cs="Tahoma"/>
        </w:rPr>
      </w:pPr>
    </w:p>
    <w:p w14:paraId="120293FC" w14:textId="6EE56011" w:rsidR="00490E1F" w:rsidRPr="003E0C90" w:rsidRDefault="00490E1F" w:rsidP="003E0C90">
      <w:pPr>
        <w:spacing w:line="276" w:lineRule="auto"/>
        <w:ind w:firstLine="561"/>
        <w:jc w:val="both"/>
        <w:rPr>
          <w:rFonts w:ascii="Tahoma" w:hAnsi="Tahoma" w:cs="Tahoma"/>
          <w:color w:val="000000"/>
          <w:spacing w:val="2"/>
        </w:rPr>
      </w:pPr>
      <w:r w:rsidRPr="003E0C90">
        <w:rPr>
          <w:rFonts w:ascii="Tahoma" w:hAnsi="Tahoma" w:cs="Tahoma"/>
        </w:rPr>
        <w:t>El</w:t>
      </w:r>
      <w:r w:rsidRPr="003E0C90">
        <w:rPr>
          <w:rFonts w:ascii="Tahoma" w:hAnsi="Tahoma" w:cs="Tahoma"/>
          <w:color w:val="000000"/>
          <w:spacing w:val="2"/>
        </w:rPr>
        <w:t xml:space="preserve"> asunto bajo estudio plantea a la Sala el siguiente problema jurídico:</w:t>
      </w:r>
    </w:p>
    <w:p w14:paraId="4E1C5DFE" w14:textId="77777777" w:rsidR="00D37E46" w:rsidRPr="003E0C90" w:rsidRDefault="00D37E46" w:rsidP="003E0C90">
      <w:pPr>
        <w:pStyle w:val="Sinespaciado"/>
        <w:spacing w:line="276" w:lineRule="auto"/>
        <w:rPr>
          <w:rFonts w:ascii="Tahoma" w:hAnsi="Tahoma" w:cs="Tahoma"/>
        </w:rPr>
      </w:pPr>
    </w:p>
    <w:p w14:paraId="7F70571A" w14:textId="4A698B93" w:rsidR="00D37E46" w:rsidRPr="003E0C90" w:rsidRDefault="00D37E46" w:rsidP="003E0C90">
      <w:pPr>
        <w:spacing w:line="276" w:lineRule="auto"/>
        <w:ind w:firstLine="561"/>
        <w:jc w:val="both"/>
        <w:rPr>
          <w:rFonts w:ascii="Tahoma" w:hAnsi="Tahoma" w:cs="Tahoma"/>
          <w:color w:val="000000"/>
          <w:spacing w:val="2"/>
        </w:rPr>
      </w:pPr>
      <w:r w:rsidRPr="003E0C90">
        <w:rPr>
          <w:rFonts w:ascii="Tahoma" w:hAnsi="Tahoma" w:cs="Tahoma"/>
          <w:color w:val="000000"/>
          <w:spacing w:val="2"/>
        </w:rPr>
        <w:t>¿Las agencias en derecho fijadas en primera y segunda instancia, a favor de la parte demandante, se establecieron teniendo en cuenta los parámetros señalados por el Acuerdo PSAA16 –10554 de 2016?</w:t>
      </w:r>
    </w:p>
    <w:p w14:paraId="7FAD9D60" w14:textId="77777777" w:rsidR="00E67372" w:rsidRPr="003E0C90" w:rsidRDefault="00E67372" w:rsidP="003E0C90">
      <w:pPr>
        <w:pStyle w:val="Sinespaciado"/>
        <w:spacing w:line="276" w:lineRule="auto"/>
        <w:rPr>
          <w:rFonts w:ascii="Tahoma" w:hAnsi="Tahoma" w:cs="Tahoma"/>
        </w:rPr>
      </w:pPr>
    </w:p>
    <w:p w14:paraId="29FC5799" w14:textId="77777777" w:rsidR="00490E1F" w:rsidRPr="003E0C90" w:rsidRDefault="00490E1F" w:rsidP="003E0C90">
      <w:pPr>
        <w:pStyle w:val="Prrafodelista"/>
        <w:numPr>
          <w:ilvl w:val="0"/>
          <w:numId w:val="7"/>
        </w:numPr>
        <w:autoSpaceDE w:val="0"/>
        <w:autoSpaceDN w:val="0"/>
        <w:adjustRightInd w:val="0"/>
        <w:spacing w:line="276" w:lineRule="auto"/>
        <w:jc w:val="center"/>
        <w:rPr>
          <w:rFonts w:ascii="Tahoma" w:hAnsi="Tahoma" w:cs="Tahoma"/>
          <w:b/>
          <w:bCs/>
          <w:color w:val="000000"/>
        </w:rPr>
      </w:pPr>
      <w:r w:rsidRPr="003E0C90">
        <w:rPr>
          <w:rFonts w:ascii="Tahoma" w:hAnsi="Tahoma" w:cs="Tahoma"/>
          <w:b/>
          <w:bCs/>
          <w:color w:val="000000"/>
        </w:rPr>
        <w:lastRenderedPageBreak/>
        <w:t>Consideraciones</w:t>
      </w:r>
    </w:p>
    <w:p w14:paraId="50B9614C" w14:textId="77777777" w:rsidR="00490E1F" w:rsidRPr="003E0C90" w:rsidRDefault="00490E1F" w:rsidP="003E0C90">
      <w:pPr>
        <w:pStyle w:val="Sinespaciado"/>
        <w:spacing w:line="276" w:lineRule="auto"/>
        <w:rPr>
          <w:rFonts w:ascii="Tahoma" w:hAnsi="Tahoma" w:cs="Tahoma"/>
        </w:rPr>
      </w:pPr>
    </w:p>
    <w:p w14:paraId="72D67CD8" w14:textId="55BC9608" w:rsidR="00490E1F" w:rsidRPr="003E0C90" w:rsidRDefault="00490E1F" w:rsidP="003E0C90">
      <w:pPr>
        <w:pStyle w:val="Prrafodelista"/>
        <w:numPr>
          <w:ilvl w:val="1"/>
          <w:numId w:val="10"/>
        </w:numPr>
        <w:autoSpaceDE w:val="0"/>
        <w:autoSpaceDN w:val="0"/>
        <w:adjustRightInd w:val="0"/>
        <w:spacing w:line="276" w:lineRule="auto"/>
        <w:rPr>
          <w:rFonts w:ascii="Tahoma" w:hAnsi="Tahoma" w:cs="Tahoma"/>
          <w:b/>
          <w:bCs/>
          <w:color w:val="000000"/>
        </w:rPr>
      </w:pPr>
      <w:r w:rsidRPr="003E0C90">
        <w:rPr>
          <w:rFonts w:ascii="Tahoma" w:hAnsi="Tahoma" w:cs="Tahoma"/>
          <w:b/>
          <w:bCs/>
          <w:color w:val="000000"/>
        </w:rPr>
        <w:t xml:space="preserve">Las agencias en derecho en los procesos laborales </w:t>
      </w:r>
    </w:p>
    <w:p w14:paraId="29805B50" w14:textId="77777777" w:rsidR="00490E1F" w:rsidRPr="003E0C90" w:rsidRDefault="00490E1F" w:rsidP="003E0C90">
      <w:pPr>
        <w:pStyle w:val="Sinespaciado"/>
        <w:spacing w:line="276" w:lineRule="auto"/>
        <w:rPr>
          <w:rFonts w:ascii="Tahoma" w:hAnsi="Tahoma" w:cs="Tahoma"/>
        </w:rPr>
      </w:pPr>
    </w:p>
    <w:p w14:paraId="29A7EB58" w14:textId="77777777" w:rsidR="00783DD1" w:rsidRPr="003E0C90" w:rsidRDefault="00783DD1" w:rsidP="003E0C90">
      <w:pPr>
        <w:pStyle w:val="paragraph"/>
        <w:spacing w:before="0" w:beforeAutospacing="0" w:after="0" w:afterAutospacing="0" w:line="276" w:lineRule="auto"/>
        <w:ind w:firstLine="705"/>
        <w:jc w:val="both"/>
        <w:textAlignment w:val="baseline"/>
        <w:rPr>
          <w:rFonts w:ascii="Tahoma" w:hAnsi="Tahoma" w:cs="Tahoma"/>
          <w:lang w:eastAsia="es-CO"/>
        </w:rPr>
      </w:pPr>
      <w:r w:rsidRPr="003E0C90">
        <w:rPr>
          <w:rStyle w:val="normaltextrun"/>
          <w:rFonts w:ascii="Tahoma" w:hAnsi="Tahoma" w:cs="Tahoma"/>
          <w:lang w:val="es-ES"/>
        </w:rPr>
        <w:t>Frente a la tasación de las agencias en derecho, el doctrinante Azula Camacho</w:t>
      </w:r>
      <w:r w:rsidRPr="003E0C90">
        <w:rPr>
          <w:rStyle w:val="superscript"/>
          <w:rFonts w:ascii="Tahoma" w:hAnsi="Tahoma" w:cs="Tahoma"/>
          <w:vertAlign w:val="superscript"/>
          <w:lang w:val="es-ES"/>
        </w:rPr>
        <w:t>1</w:t>
      </w:r>
      <w:r w:rsidRPr="003E0C90">
        <w:rPr>
          <w:rStyle w:val="normaltextrun"/>
          <w:rFonts w:ascii="Tahoma" w:hAnsi="Tahoma" w:cs="Tahoma"/>
          <w:lang w:val="es-ES"/>
        </w:rPr>
        <w:t xml:space="preserve"> ha referido:</w:t>
      </w:r>
      <w:r w:rsidRPr="003E0C90">
        <w:rPr>
          <w:rStyle w:val="eop"/>
          <w:rFonts w:ascii="Tahoma" w:hAnsi="Tahoma" w:cs="Tahoma"/>
        </w:rPr>
        <w:t> </w:t>
      </w:r>
    </w:p>
    <w:p w14:paraId="29FC522E" w14:textId="77777777" w:rsidR="00783DD1" w:rsidRPr="003E0C90" w:rsidRDefault="00783DD1" w:rsidP="003E0C90">
      <w:pPr>
        <w:pStyle w:val="Sinespaciado"/>
        <w:spacing w:line="276" w:lineRule="auto"/>
        <w:rPr>
          <w:rFonts w:ascii="Tahoma" w:hAnsi="Tahoma" w:cs="Tahoma"/>
        </w:rPr>
      </w:pPr>
      <w:r w:rsidRPr="003E0C90">
        <w:rPr>
          <w:rStyle w:val="eop"/>
          <w:rFonts w:ascii="Tahoma" w:hAnsi="Tahoma" w:cs="Tahoma"/>
        </w:rPr>
        <w:t> </w:t>
      </w:r>
    </w:p>
    <w:p w14:paraId="4FE985ED" w14:textId="77777777" w:rsidR="00783DD1" w:rsidRPr="0082565D" w:rsidRDefault="00783DD1" w:rsidP="0082565D">
      <w:pPr>
        <w:pStyle w:val="paragraph"/>
        <w:spacing w:before="0" w:beforeAutospacing="0" w:after="0" w:afterAutospacing="0"/>
        <w:ind w:left="426" w:right="420"/>
        <w:jc w:val="both"/>
        <w:textAlignment w:val="baseline"/>
        <w:rPr>
          <w:rFonts w:ascii="Tahoma" w:hAnsi="Tahoma" w:cs="Tahoma"/>
          <w:i/>
          <w:sz w:val="22"/>
        </w:rPr>
      </w:pPr>
      <w:r w:rsidRPr="0082565D">
        <w:rPr>
          <w:rStyle w:val="normaltextrun"/>
          <w:rFonts w:ascii="Tahoma" w:hAnsi="Tahoma" w:cs="Tahoma"/>
          <w:i/>
          <w:sz w:val="22"/>
          <w:lang w:val="es-ES"/>
        </w:rPr>
        <w:t>“Para determinar el monto de las agencias en derecho, el artículo 366 (inc. 4</w:t>
      </w:r>
      <w:r w:rsidRPr="0082565D">
        <w:rPr>
          <w:rStyle w:val="normaltextrun"/>
          <w:rFonts w:ascii="Tahoma" w:hAnsi="Tahoma" w:cs="Tahoma"/>
          <w:i/>
          <w:sz w:val="22"/>
          <w:vertAlign w:val="superscript"/>
          <w:lang w:val="es-ES"/>
        </w:rPr>
        <w:t>o</w:t>
      </w:r>
      <w:r w:rsidRPr="0082565D">
        <w:rPr>
          <w:rStyle w:val="normaltextrun"/>
          <w:rFonts w:ascii="Tahoma" w:hAnsi="Tahoma" w:cs="Tahoma"/>
          <w:i/>
          <w:sz w:val="22"/>
          <w:lang w:val="es-ES"/>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r w:rsidRPr="0082565D">
        <w:rPr>
          <w:rStyle w:val="eop"/>
          <w:rFonts w:ascii="Tahoma" w:hAnsi="Tahoma" w:cs="Tahoma"/>
          <w:i/>
          <w:sz w:val="22"/>
        </w:rPr>
        <w:t> </w:t>
      </w:r>
    </w:p>
    <w:p w14:paraId="4CC3BF6C" w14:textId="77777777" w:rsidR="00783DD1" w:rsidRPr="003E0C90" w:rsidRDefault="00783DD1" w:rsidP="003E0C90">
      <w:pPr>
        <w:pStyle w:val="paragraph"/>
        <w:spacing w:before="0" w:beforeAutospacing="0" w:after="0" w:afterAutospacing="0" w:line="276" w:lineRule="auto"/>
        <w:ind w:firstLine="555"/>
        <w:jc w:val="both"/>
        <w:textAlignment w:val="baseline"/>
        <w:rPr>
          <w:rFonts w:ascii="Tahoma" w:hAnsi="Tahoma" w:cs="Tahoma"/>
        </w:rPr>
      </w:pPr>
      <w:r w:rsidRPr="003E0C90">
        <w:rPr>
          <w:rStyle w:val="eop"/>
          <w:rFonts w:ascii="Tahoma" w:hAnsi="Tahoma" w:cs="Tahoma"/>
        </w:rPr>
        <w:t> </w:t>
      </w:r>
    </w:p>
    <w:p w14:paraId="0C936269" w14:textId="3AF17795" w:rsidR="00783DD1" w:rsidRPr="003E0C90" w:rsidRDefault="00783DD1" w:rsidP="003E0C90">
      <w:pPr>
        <w:spacing w:line="276" w:lineRule="auto"/>
        <w:ind w:firstLine="709"/>
        <w:jc w:val="both"/>
        <w:rPr>
          <w:rFonts w:ascii="Tahoma" w:hAnsi="Tahoma" w:cs="Tahoma"/>
        </w:rPr>
      </w:pPr>
      <w:r w:rsidRPr="003E0C90">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 </w:t>
      </w:r>
    </w:p>
    <w:p w14:paraId="0D331743" w14:textId="77777777" w:rsidR="00783DD1" w:rsidRPr="003E0C90" w:rsidRDefault="00783DD1" w:rsidP="003E0C90">
      <w:pPr>
        <w:pStyle w:val="paragraph"/>
        <w:spacing w:before="0" w:beforeAutospacing="0" w:after="0" w:afterAutospacing="0" w:line="276" w:lineRule="auto"/>
        <w:ind w:firstLine="555"/>
        <w:jc w:val="both"/>
        <w:textAlignment w:val="baseline"/>
        <w:rPr>
          <w:rFonts w:ascii="Tahoma" w:hAnsi="Tahoma" w:cs="Tahoma"/>
        </w:rPr>
      </w:pPr>
      <w:r w:rsidRPr="003E0C90">
        <w:rPr>
          <w:rStyle w:val="eop"/>
          <w:rFonts w:ascii="Tahoma" w:hAnsi="Tahoma" w:cs="Tahoma"/>
        </w:rPr>
        <w:t> </w:t>
      </w:r>
    </w:p>
    <w:p w14:paraId="7C1012E5" w14:textId="77777777" w:rsidR="00783DD1" w:rsidRPr="003E0C90" w:rsidRDefault="00783DD1" w:rsidP="003E0C90">
      <w:pPr>
        <w:pStyle w:val="Prrafodelista"/>
        <w:numPr>
          <w:ilvl w:val="0"/>
          <w:numId w:val="12"/>
        </w:numPr>
        <w:autoSpaceDE w:val="0"/>
        <w:autoSpaceDN w:val="0"/>
        <w:adjustRightInd w:val="0"/>
        <w:spacing w:line="276" w:lineRule="auto"/>
        <w:rPr>
          <w:rFonts w:ascii="Tahoma" w:hAnsi="Tahoma" w:cs="Tahoma"/>
        </w:rPr>
      </w:pPr>
      <w:r w:rsidRPr="003E0C90">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FB1C5D1" w14:textId="77777777" w:rsidR="00783DD1" w:rsidRPr="003E0C90" w:rsidRDefault="00783DD1" w:rsidP="003E0C90">
      <w:pPr>
        <w:pStyle w:val="paragraph"/>
        <w:spacing w:before="0" w:beforeAutospacing="0" w:after="0" w:afterAutospacing="0" w:line="276" w:lineRule="auto"/>
        <w:ind w:left="1005"/>
        <w:jc w:val="both"/>
        <w:textAlignment w:val="baseline"/>
        <w:rPr>
          <w:rFonts w:ascii="Tahoma" w:hAnsi="Tahoma" w:cs="Tahoma"/>
        </w:rPr>
      </w:pPr>
      <w:r w:rsidRPr="003E0C90">
        <w:rPr>
          <w:rStyle w:val="eop"/>
          <w:rFonts w:ascii="Tahoma" w:hAnsi="Tahoma" w:cs="Tahoma"/>
        </w:rPr>
        <w:t> </w:t>
      </w:r>
    </w:p>
    <w:p w14:paraId="31FEA8AF" w14:textId="77777777" w:rsidR="00783DD1" w:rsidRPr="003E0C90" w:rsidRDefault="00783DD1" w:rsidP="003E0C90">
      <w:pPr>
        <w:pStyle w:val="Prrafodelista"/>
        <w:numPr>
          <w:ilvl w:val="0"/>
          <w:numId w:val="12"/>
        </w:numPr>
        <w:autoSpaceDE w:val="0"/>
        <w:autoSpaceDN w:val="0"/>
        <w:adjustRightInd w:val="0"/>
        <w:spacing w:line="276" w:lineRule="auto"/>
        <w:rPr>
          <w:rFonts w:ascii="Tahoma" w:hAnsi="Tahoma" w:cs="Tahoma"/>
        </w:rPr>
      </w:pPr>
      <w:r w:rsidRPr="003E0C90">
        <w:rPr>
          <w:rFonts w:ascii="Tahoma" w:hAnsi="Tahoma" w:cs="Tahoma"/>
        </w:rPr>
        <w:t>Clase de pretensión: dispone el artículo 3º de la norma en comento: </w:t>
      </w:r>
    </w:p>
    <w:p w14:paraId="119A1F8A" w14:textId="77777777" w:rsidR="00783DD1" w:rsidRPr="003E0C90" w:rsidRDefault="00783DD1" w:rsidP="003E0C90">
      <w:pPr>
        <w:autoSpaceDE w:val="0"/>
        <w:autoSpaceDN w:val="0"/>
        <w:adjustRightInd w:val="0"/>
        <w:spacing w:line="276" w:lineRule="auto"/>
        <w:ind w:left="561"/>
        <w:rPr>
          <w:rFonts w:ascii="Tahoma" w:hAnsi="Tahoma" w:cs="Tahoma"/>
          <w:i/>
        </w:rPr>
      </w:pPr>
    </w:p>
    <w:p w14:paraId="60B89C11"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rFonts w:ascii="Tahoma" w:hAnsi="Tahoma" w:cs="Tahoma"/>
          <w:i/>
          <w:sz w:val="22"/>
          <w:lang w:val="es-ES"/>
        </w:rPr>
        <w:t>“ARTÍCULO 3º. Clases de límites. Cuando las agencias en derecho correspondan a procesos en los que se formularon pretensiones de índole pecuniario, o en los que en la determinación de la competencia se tuvo en cuenta la cuantía, las tarifas se establecen en porcentajes sobre el valor de aquellas o de ésta.</w:t>
      </w:r>
      <w:r w:rsidRPr="0082565D">
        <w:rPr>
          <w:rStyle w:val="normaltextrun"/>
          <w:sz w:val="22"/>
          <w:lang w:val="es-ES"/>
        </w:rPr>
        <w:t> </w:t>
      </w:r>
    </w:p>
    <w:p w14:paraId="25481517"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sz w:val="22"/>
          <w:lang w:val="es-ES"/>
        </w:rPr>
        <w:t> </w:t>
      </w:r>
    </w:p>
    <w:p w14:paraId="595DCFD2"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rFonts w:ascii="Tahoma" w:hAnsi="Tahoma" w:cs="Tahoma"/>
          <w:i/>
          <w:sz w:val="22"/>
          <w:lang w:val="es-ES"/>
        </w:rPr>
        <w:t>(…)</w:t>
      </w:r>
      <w:r w:rsidRPr="0082565D">
        <w:rPr>
          <w:rStyle w:val="normaltextrun"/>
          <w:sz w:val="22"/>
          <w:lang w:val="es-ES"/>
        </w:rPr>
        <w:t> </w:t>
      </w:r>
    </w:p>
    <w:p w14:paraId="6F2D8DFD" w14:textId="145FF065"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sz w:val="22"/>
          <w:lang w:val="es-ES"/>
        </w:rPr>
        <w:t> </w:t>
      </w:r>
      <w:r w:rsidRPr="0082565D">
        <w:rPr>
          <w:rStyle w:val="normaltextrun"/>
          <w:rFonts w:ascii="Tahoma" w:hAnsi="Tahoma" w:cs="Tahoma"/>
          <w:i/>
          <w:sz w:val="22"/>
          <w:lang w:val="es-ES"/>
        </w:rPr>
        <w:t xml:space="preserve">PARÁGRAFO 3º. Cuando las tarifas correspondan a porcentajes, en procesos con pretensiones de índole pecuniario, la fijación de las agencias en derecho se hará mediante una ponderación inversa entre los límites mínimo y máximo y los valores pedidos. </w:t>
      </w:r>
      <w:r w:rsidRPr="0082565D">
        <w:rPr>
          <w:rStyle w:val="normaltextrun"/>
          <w:rFonts w:ascii="Tahoma" w:hAnsi="Tahoma" w:cs="Tahoma"/>
          <w:b/>
          <w:i/>
          <w:sz w:val="22"/>
          <w:lang w:val="es-ES"/>
        </w:rPr>
        <w:t>Esto es, a mayor valor menor porcentaje, a menor valor mayor porcentaje, pero en todo caso atendiendo a los criterios del artículo anterior</w:t>
      </w:r>
      <w:r w:rsidRPr="0082565D">
        <w:rPr>
          <w:rStyle w:val="normaltextrun"/>
          <w:rFonts w:ascii="Tahoma" w:hAnsi="Tahoma" w:cs="Tahoma"/>
          <w:i/>
          <w:sz w:val="22"/>
          <w:lang w:val="es-ES"/>
        </w:rPr>
        <w:t>.” (Negrilla por fuera del texto original)</w:t>
      </w:r>
      <w:r w:rsidRPr="0082565D">
        <w:rPr>
          <w:rStyle w:val="normaltextrun"/>
          <w:sz w:val="22"/>
          <w:lang w:val="es-ES"/>
        </w:rPr>
        <w:t> </w:t>
      </w:r>
    </w:p>
    <w:p w14:paraId="41AD1E2B" w14:textId="77777777" w:rsidR="00783DD1" w:rsidRPr="003E0C90" w:rsidRDefault="00783DD1" w:rsidP="003E0C90">
      <w:pPr>
        <w:pStyle w:val="Sinespaciado"/>
        <w:spacing w:line="276" w:lineRule="auto"/>
        <w:rPr>
          <w:rFonts w:ascii="Tahoma" w:hAnsi="Tahoma" w:cs="Tahoma"/>
        </w:rPr>
      </w:pPr>
      <w:r w:rsidRPr="003E0C90">
        <w:rPr>
          <w:rStyle w:val="eop"/>
          <w:rFonts w:ascii="Tahoma" w:hAnsi="Tahoma" w:cs="Tahoma"/>
        </w:rPr>
        <w:t> </w:t>
      </w:r>
    </w:p>
    <w:p w14:paraId="296B29D2" w14:textId="77777777" w:rsidR="00783DD1" w:rsidRPr="003E0C90" w:rsidRDefault="00783DD1" w:rsidP="003E0C90">
      <w:pPr>
        <w:pStyle w:val="Prrafodelista"/>
        <w:numPr>
          <w:ilvl w:val="0"/>
          <w:numId w:val="12"/>
        </w:numPr>
        <w:autoSpaceDE w:val="0"/>
        <w:autoSpaceDN w:val="0"/>
        <w:adjustRightInd w:val="0"/>
        <w:spacing w:line="276" w:lineRule="auto"/>
        <w:rPr>
          <w:rFonts w:ascii="Tahoma" w:hAnsi="Tahoma" w:cs="Tahoma"/>
        </w:rPr>
      </w:pPr>
      <w:r w:rsidRPr="003E0C90">
        <w:rPr>
          <w:rFonts w:ascii="Tahoma" w:hAnsi="Tahoma" w:cs="Tahoma"/>
        </w:rPr>
        <w:t>Los criterios en particular de la actuación de la parte favorecida con la condena en costas, que permita valorar la labor jurídica desarrollada, estos últimos coinciden con los mencionados en el numeral 4º del artículo 366 del CGP, esto es, la naturaleza, la calidad y la duración de la gestión realizada por el apoderado, la cuantía del proceso y demás circunstancias relacionadas con dicha actividad. </w:t>
      </w:r>
    </w:p>
    <w:p w14:paraId="0F301ABC" w14:textId="77777777" w:rsidR="00783DD1" w:rsidRPr="003E0C90" w:rsidRDefault="00783DD1" w:rsidP="003E0C90">
      <w:pPr>
        <w:pStyle w:val="paragraph"/>
        <w:spacing w:before="0" w:beforeAutospacing="0" w:after="0" w:afterAutospacing="0" w:line="276" w:lineRule="auto"/>
        <w:ind w:left="1005"/>
        <w:jc w:val="both"/>
        <w:textAlignment w:val="baseline"/>
        <w:rPr>
          <w:rFonts w:ascii="Tahoma" w:hAnsi="Tahoma" w:cs="Tahoma"/>
        </w:rPr>
      </w:pPr>
      <w:r w:rsidRPr="003E0C90">
        <w:rPr>
          <w:rStyle w:val="eop"/>
          <w:rFonts w:ascii="Tahoma" w:hAnsi="Tahoma" w:cs="Tahoma"/>
        </w:rPr>
        <w:t> </w:t>
      </w:r>
    </w:p>
    <w:p w14:paraId="437E4FAD" w14:textId="4C948843" w:rsidR="00783DD1" w:rsidRPr="003E0C90" w:rsidRDefault="00783DD1" w:rsidP="003E0C90">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E0C90">
        <w:rPr>
          <w:rStyle w:val="normaltextrun"/>
          <w:rFonts w:ascii="Tahoma" w:hAnsi="Tahoma" w:cs="Tahoma"/>
          <w:lang w:val="es-ES"/>
        </w:rPr>
        <w:lastRenderedPageBreak/>
        <w:t>Asimismo, en su Tratado de Derecho Procesal, el profesor Hernán Fabio López Blanco frente a las agencias en derecho ha preceptuado: </w:t>
      </w:r>
    </w:p>
    <w:p w14:paraId="5FC36E39" w14:textId="77777777" w:rsidR="00783DD1" w:rsidRPr="003E0C90" w:rsidRDefault="00783DD1" w:rsidP="003E0C90">
      <w:pPr>
        <w:pStyle w:val="paragraph"/>
        <w:spacing w:before="0" w:beforeAutospacing="0" w:after="0" w:afterAutospacing="0" w:line="276" w:lineRule="auto"/>
        <w:jc w:val="both"/>
        <w:textAlignment w:val="baseline"/>
        <w:rPr>
          <w:rFonts w:ascii="Tahoma" w:hAnsi="Tahoma" w:cs="Tahoma"/>
        </w:rPr>
      </w:pPr>
      <w:r w:rsidRPr="003E0C90">
        <w:rPr>
          <w:rStyle w:val="eop"/>
          <w:rFonts w:ascii="Tahoma" w:hAnsi="Tahoma" w:cs="Tahoma"/>
        </w:rPr>
        <w:t> </w:t>
      </w:r>
    </w:p>
    <w:p w14:paraId="7F842D03" w14:textId="22412E79" w:rsidR="00783DD1"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rFonts w:ascii="Tahoma" w:hAnsi="Tahoma" w:cs="Tahoma"/>
          <w:i/>
          <w:sz w:val="22"/>
          <w:lang w:val="es-ES"/>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r w:rsidRPr="0082565D">
        <w:rPr>
          <w:rStyle w:val="normaltextrun"/>
          <w:sz w:val="22"/>
          <w:lang w:val="es-ES"/>
        </w:rPr>
        <w:t> </w:t>
      </w:r>
      <w:r w:rsidRPr="0082565D">
        <w:rPr>
          <w:rStyle w:val="normaltextrun"/>
          <w:rFonts w:ascii="Tahoma" w:hAnsi="Tahoma" w:cs="Tahoma"/>
          <w:i/>
          <w:sz w:val="22"/>
          <w:lang w:val="es-ES"/>
        </w:rPr>
        <w:t>(…)</w:t>
      </w:r>
      <w:r w:rsidRPr="0082565D">
        <w:rPr>
          <w:rStyle w:val="normaltextrun"/>
          <w:sz w:val="22"/>
          <w:lang w:val="es-ES"/>
        </w:rPr>
        <w:t> </w:t>
      </w:r>
    </w:p>
    <w:p w14:paraId="39A09A32" w14:textId="77777777" w:rsidR="0082565D" w:rsidRPr="0082565D" w:rsidRDefault="0082565D" w:rsidP="0082565D">
      <w:pPr>
        <w:pStyle w:val="paragraph"/>
        <w:spacing w:before="0" w:beforeAutospacing="0" w:after="0" w:afterAutospacing="0"/>
        <w:ind w:left="426" w:right="420"/>
        <w:jc w:val="both"/>
        <w:textAlignment w:val="baseline"/>
        <w:rPr>
          <w:rStyle w:val="normaltextrun"/>
          <w:sz w:val="22"/>
          <w:lang w:val="es-ES"/>
        </w:rPr>
      </w:pPr>
    </w:p>
    <w:p w14:paraId="0CBFBFEF"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rFonts w:ascii="Tahoma" w:hAnsi="Tahoma" w:cs="Tahoma"/>
          <w:i/>
          <w:sz w:val="22"/>
          <w:lang w:val="es-ES"/>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r w:rsidRPr="0082565D">
        <w:rPr>
          <w:rStyle w:val="normaltextrun"/>
          <w:sz w:val="22"/>
          <w:lang w:val="es-ES"/>
        </w:rPr>
        <w:t> </w:t>
      </w:r>
    </w:p>
    <w:p w14:paraId="3332E068"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sz w:val="22"/>
          <w:lang w:val="es-ES"/>
        </w:rPr>
        <w:t> </w:t>
      </w:r>
    </w:p>
    <w:p w14:paraId="41D7D28B"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rFonts w:ascii="Tahoma" w:hAnsi="Tahoma" w:cs="Tahoma"/>
          <w:i/>
          <w:sz w:val="22"/>
          <w:lang w:val="es-ES"/>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r w:rsidRPr="0082565D">
        <w:rPr>
          <w:rStyle w:val="normaltextrun"/>
          <w:sz w:val="22"/>
          <w:lang w:val="es-ES"/>
        </w:rPr>
        <w:t> </w:t>
      </w:r>
    </w:p>
    <w:p w14:paraId="0FB4F365"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sz w:val="22"/>
          <w:lang w:val="es-ES"/>
        </w:rPr>
        <w:t> </w:t>
      </w:r>
    </w:p>
    <w:p w14:paraId="2BEA1573"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rFonts w:ascii="Tahoma" w:hAnsi="Tahoma" w:cs="Tahoma"/>
          <w:i/>
          <w:sz w:val="22"/>
          <w:lang w:val="es-ES"/>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r w:rsidRPr="0082565D">
        <w:rPr>
          <w:rStyle w:val="normaltextrun"/>
          <w:sz w:val="22"/>
          <w:lang w:val="es-ES"/>
        </w:rPr>
        <w:t> </w:t>
      </w:r>
    </w:p>
    <w:p w14:paraId="4E45B99D" w14:textId="77777777" w:rsidR="00783DD1" w:rsidRPr="0082565D" w:rsidRDefault="00783DD1" w:rsidP="0082565D">
      <w:pPr>
        <w:pStyle w:val="paragraph"/>
        <w:spacing w:before="0" w:beforeAutospacing="0" w:after="0" w:afterAutospacing="0"/>
        <w:ind w:left="426" w:right="420"/>
        <w:jc w:val="both"/>
        <w:textAlignment w:val="baseline"/>
        <w:rPr>
          <w:rStyle w:val="normaltextrun"/>
          <w:sz w:val="22"/>
          <w:lang w:val="es-ES"/>
        </w:rPr>
      </w:pPr>
      <w:r w:rsidRPr="0082565D">
        <w:rPr>
          <w:rStyle w:val="normaltextrun"/>
          <w:sz w:val="22"/>
          <w:lang w:val="es-ES"/>
        </w:rPr>
        <w:t> </w:t>
      </w:r>
    </w:p>
    <w:p w14:paraId="779DC065" w14:textId="669E668E" w:rsidR="00E67372" w:rsidRPr="0082565D" w:rsidRDefault="00783DD1" w:rsidP="0082565D">
      <w:pPr>
        <w:pStyle w:val="paragraph"/>
        <w:spacing w:before="0" w:beforeAutospacing="0" w:after="0" w:afterAutospacing="0"/>
        <w:ind w:left="426" w:right="420"/>
        <w:jc w:val="both"/>
        <w:textAlignment w:val="baseline"/>
        <w:rPr>
          <w:rStyle w:val="normaltextrun"/>
          <w:i/>
          <w:sz w:val="22"/>
          <w:lang w:val="es-ES"/>
        </w:rPr>
      </w:pPr>
      <w:r w:rsidRPr="0082565D">
        <w:rPr>
          <w:rStyle w:val="normaltextrun"/>
          <w:rFonts w:ascii="Tahoma" w:hAnsi="Tahoma" w:cs="Tahoma"/>
          <w:i/>
          <w:sz w:val="22"/>
          <w:lang w:val="es-ES"/>
        </w:rPr>
        <w:t xml:space="preserve">Y de manera especial reitero el llamado de atención a los funcionarios de segunda instancia y casación, quienes por el trámite correspondiente a tales etapas del proceso fijan sumas ciertamente irrisorias que sólo constituyen un acicate para abusar del empleo de esos recursos.” </w:t>
      </w:r>
    </w:p>
    <w:p w14:paraId="32A1C8D2" w14:textId="77777777" w:rsidR="001B73A5" w:rsidRPr="003E0C90" w:rsidRDefault="001B73A5" w:rsidP="003E0C90">
      <w:pPr>
        <w:pStyle w:val="Sinespaciado"/>
        <w:spacing w:line="276" w:lineRule="auto"/>
        <w:rPr>
          <w:rFonts w:ascii="Tahoma" w:hAnsi="Tahoma" w:cs="Tahoma"/>
        </w:rPr>
      </w:pPr>
    </w:p>
    <w:p w14:paraId="75875F32" w14:textId="77777777" w:rsidR="00490E1F" w:rsidRPr="003E0C90" w:rsidRDefault="00490E1F" w:rsidP="003E0C90">
      <w:pPr>
        <w:pStyle w:val="Prrafodelista"/>
        <w:numPr>
          <w:ilvl w:val="1"/>
          <w:numId w:val="10"/>
        </w:numPr>
        <w:autoSpaceDE w:val="0"/>
        <w:autoSpaceDN w:val="0"/>
        <w:adjustRightInd w:val="0"/>
        <w:spacing w:line="276" w:lineRule="auto"/>
        <w:rPr>
          <w:rFonts w:ascii="Tahoma" w:hAnsi="Tahoma" w:cs="Tahoma"/>
          <w:b/>
        </w:rPr>
      </w:pPr>
      <w:r w:rsidRPr="003E0C90">
        <w:rPr>
          <w:rFonts w:ascii="Tahoma" w:hAnsi="Tahoma" w:cs="Tahoma"/>
          <w:b/>
        </w:rPr>
        <w:t>Caso concreto</w:t>
      </w:r>
    </w:p>
    <w:p w14:paraId="655C09AE" w14:textId="77777777" w:rsidR="00490E1F" w:rsidRPr="003E0C90" w:rsidRDefault="00490E1F" w:rsidP="003E0C90">
      <w:pPr>
        <w:pStyle w:val="Sinespaciado"/>
        <w:spacing w:line="276" w:lineRule="auto"/>
        <w:rPr>
          <w:rFonts w:ascii="Tahoma" w:hAnsi="Tahoma" w:cs="Tahoma"/>
        </w:rPr>
      </w:pPr>
    </w:p>
    <w:p w14:paraId="34926C84" w14:textId="77777777" w:rsidR="00D37E46" w:rsidRPr="003E0C90" w:rsidRDefault="00D37E46" w:rsidP="003E0C90">
      <w:pPr>
        <w:autoSpaceDE w:val="0"/>
        <w:autoSpaceDN w:val="0"/>
        <w:adjustRightInd w:val="0"/>
        <w:spacing w:line="276" w:lineRule="auto"/>
        <w:ind w:firstLine="709"/>
        <w:jc w:val="both"/>
        <w:rPr>
          <w:rFonts w:ascii="Tahoma" w:hAnsi="Tahoma" w:cs="Tahoma"/>
        </w:rPr>
      </w:pPr>
      <w:r w:rsidRPr="003E0C90">
        <w:rPr>
          <w:rFonts w:ascii="Tahoma" w:hAnsi="Tahoma" w:cs="Tahoma"/>
        </w:rPr>
        <w:t>Tal como fuera planteado en el problema jurídico, esta Colegiatura se centrará en determinar si el monto establecido por el despacho de conocimiento por concepto de agencias se ajusta a los parámetros trazados por el Acuerdo PSAA16 –10554 de 2016.</w:t>
      </w:r>
    </w:p>
    <w:p w14:paraId="03C3AF4A" w14:textId="77777777" w:rsidR="00490E1F" w:rsidRPr="003E0C90" w:rsidRDefault="00490E1F" w:rsidP="003E0C90">
      <w:pPr>
        <w:pStyle w:val="Sinespaciado"/>
        <w:spacing w:line="276" w:lineRule="auto"/>
        <w:rPr>
          <w:rFonts w:ascii="Tahoma" w:hAnsi="Tahoma" w:cs="Tahoma"/>
        </w:rPr>
      </w:pPr>
    </w:p>
    <w:p w14:paraId="0206F263" w14:textId="5A734B4D" w:rsidR="00490E1F" w:rsidRPr="003E0C90" w:rsidRDefault="00490E1F" w:rsidP="003E0C90">
      <w:pPr>
        <w:autoSpaceDE w:val="0"/>
        <w:autoSpaceDN w:val="0"/>
        <w:adjustRightInd w:val="0"/>
        <w:spacing w:line="276" w:lineRule="auto"/>
        <w:ind w:firstLine="709"/>
        <w:jc w:val="both"/>
        <w:rPr>
          <w:rFonts w:ascii="Tahoma" w:hAnsi="Tahoma" w:cs="Tahoma"/>
          <w:lang w:val="es-CO"/>
        </w:rPr>
      </w:pPr>
      <w:r w:rsidRPr="003E0C90">
        <w:rPr>
          <w:rFonts w:ascii="Tahoma" w:hAnsi="Tahoma" w:cs="Tahoma"/>
        </w:rPr>
        <w:t>Para tal efecto, es menester remembrar que las agencias en derecho constituyen la cantidad monetaria que se debe ordenar para el favorecido con la condena en costas, con el fin de resarcirle los gastos que tuvo que afrontar para pagar los honorarios de un abogado. En sub lite, lo pretendido por la parte actora</w:t>
      </w:r>
      <w:r w:rsidR="00E368A4" w:rsidRPr="003E0C90">
        <w:rPr>
          <w:rFonts w:ascii="Tahoma" w:hAnsi="Tahoma" w:cs="Tahoma"/>
        </w:rPr>
        <w:t xml:space="preserve"> si bien fue alcanzado en primera instancia, debió surtir el </w:t>
      </w:r>
      <w:r w:rsidR="00783DD1" w:rsidRPr="003E0C90">
        <w:rPr>
          <w:rFonts w:ascii="Tahoma" w:hAnsi="Tahoma" w:cs="Tahoma"/>
        </w:rPr>
        <w:t>recurso extraordinario de</w:t>
      </w:r>
      <w:r w:rsidR="009C684D" w:rsidRPr="003E0C90">
        <w:rPr>
          <w:rFonts w:ascii="Tahoma" w:hAnsi="Tahoma" w:cs="Tahoma"/>
        </w:rPr>
        <w:t xml:space="preserve"> casación por la Sala de Casación Laboral de la Corte Suprema de Justicia</w:t>
      </w:r>
      <w:r w:rsidRPr="003E0C90">
        <w:rPr>
          <w:rFonts w:ascii="Tahoma" w:hAnsi="Tahoma" w:cs="Tahoma"/>
        </w:rPr>
        <w:t xml:space="preserve">, </w:t>
      </w:r>
      <w:r w:rsidR="00E368A4" w:rsidRPr="003E0C90">
        <w:rPr>
          <w:rFonts w:ascii="Tahoma" w:hAnsi="Tahoma" w:cs="Tahoma"/>
        </w:rPr>
        <w:t>ante la revocatoria por parte de esta Corporación de la declaratoria de</w:t>
      </w:r>
      <w:r w:rsidR="00783DD1" w:rsidRPr="003E0C90">
        <w:rPr>
          <w:rFonts w:ascii="Tahoma" w:hAnsi="Tahoma" w:cs="Tahoma"/>
        </w:rPr>
        <w:t xml:space="preserve"> ineficacia del </w:t>
      </w:r>
      <w:r w:rsidR="009C684D" w:rsidRPr="003E0C90">
        <w:rPr>
          <w:rFonts w:ascii="Tahoma" w:hAnsi="Tahoma" w:cs="Tahoma"/>
        </w:rPr>
        <w:t xml:space="preserve">traslado </w:t>
      </w:r>
      <w:r w:rsidR="00783DD1" w:rsidRPr="003E0C90">
        <w:rPr>
          <w:rFonts w:ascii="Tahoma" w:hAnsi="Tahoma" w:cs="Tahoma"/>
        </w:rPr>
        <w:t xml:space="preserve">de la señora </w:t>
      </w:r>
      <w:r w:rsidR="00E368A4" w:rsidRPr="003E0C90">
        <w:rPr>
          <w:rFonts w:ascii="Tahoma" w:hAnsi="Tahoma" w:cs="Tahoma"/>
        </w:rPr>
        <w:t>Henao Bonilla</w:t>
      </w:r>
      <w:r w:rsidRPr="003E0C90">
        <w:rPr>
          <w:rFonts w:ascii="Tahoma" w:hAnsi="Tahoma" w:cs="Tahoma"/>
        </w:rPr>
        <w:t xml:space="preserve">. </w:t>
      </w:r>
    </w:p>
    <w:p w14:paraId="5F8D6175" w14:textId="77777777" w:rsidR="00490E1F" w:rsidRPr="003E0C90" w:rsidRDefault="00490E1F" w:rsidP="003E0C90">
      <w:pPr>
        <w:pStyle w:val="Sinespaciado"/>
        <w:spacing w:line="276" w:lineRule="auto"/>
        <w:rPr>
          <w:rFonts w:ascii="Tahoma" w:hAnsi="Tahoma" w:cs="Tahoma"/>
        </w:rPr>
      </w:pPr>
    </w:p>
    <w:p w14:paraId="0E924D9F" w14:textId="77777777" w:rsidR="00783DD1" w:rsidRPr="003E0C90" w:rsidRDefault="00783DD1" w:rsidP="003E0C90">
      <w:pPr>
        <w:autoSpaceDE w:val="0"/>
        <w:autoSpaceDN w:val="0"/>
        <w:adjustRightInd w:val="0"/>
        <w:spacing w:line="276" w:lineRule="auto"/>
        <w:ind w:firstLine="709"/>
        <w:jc w:val="both"/>
        <w:rPr>
          <w:rFonts w:ascii="Tahoma" w:hAnsi="Tahoma" w:cs="Tahoma"/>
        </w:rPr>
      </w:pPr>
      <w:r w:rsidRPr="003E0C90">
        <w:rPr>
          <w:rFonts w:ascii="Tahoma" w:hAnsi="Tahoma" w:cs="Tahoma"/>
        </w:rPr>
        <w:lastRenderedPageBreak/>
        <w:t xml:space="preserve">En ese sentido, </w:t>
      </w:r>
      <w:bookmarkStart w:id="5" w:name="_Hlk139872708"/>
      <w:r w:rsidRPr="003E0C90">
        <w:rPr>
          <w:rFonts w:ascii="Tahoma" w:hAnsi="Tahoma" w:cs="Tahoma"/>
        </w:rPr>
        <w:t xml:space="preserve">al tratarse de proceso declarativo, esto es, sin cuantía, las agencias en primera instancia debieron oscilar entre 1 y 10 salarios mínimos, de conformidad con el artículo 5º aludido en precedencia, por lo que para concretar el valor de las agencias se debieron analizar los criterios señalados en las normas aplicables, tales como la naturaleza, la calidad y la duración de la gestión realizada por el apoderado, la naturaleza de las pretensiones y demás circunstancias relacionadas. </w:t>
      </w:r>
      <w:bookmarkEnd w:id="5"/>
    </w:p>
    <w:p w14:paraId="1DB87F91" w14:textId="77777777" w:rsidR="00783DD1" w:rsidRPr="003E0C90" w:rsidRDefault="00783DD1" w:rsidP="003E0C90">
      <w:pPr>
        <w:pStyle w:val="Sinespaciado"/>
        <w:spacing w:line="276" w:lineRule="auto"/>
        <w:rPr>
          <w:rFonts w:ascii="Tahoma" w:hAnsi="Tahoma" w:cs="Tahoma"/>
        </w:rPr>
      </w:pPr>
    </w:p>
    <w:p w14:paraId="4A0296FF" w14:textId="749E48D7" w:rsidR="00783DD1" w:rsidRPr="003E0C90" w:rsidRDefault="00783DD1" w:rsidP="003E0C90">
      <w:pPr>
        <w:autoSpaceDE w:val="0"/>
        <w:autoSpaceDN w:val="0"/>
        <w:adjustRightInd w:val="0"/>
        <w:spacing w:line="276" w:lineRule="auto"/>
        <w:ind w:firstLine="709"/>
        <w:jc w:val="both"/>
        <w:rPr>
          <w:rFonts w:ascii="Tahoma" w:hAnsi="Tahoma" w:cs="Tahoma"/>
        </w:rPr>
      </w:pPr>
      <w:r w:rsidRPr="003E0C90">
        <w:rPr>
          <w:rFonts w:ascii="Tahoma" w:hAnsi="Tahoma" w:cs="Tahoma"/>
        </w:rPr>
        <w:t xml:space="preserve">En el caso concreto la pretensión perseguida era de carácter declarativa </w:t>
      </w:r>
      <w:r w:rsidRPr="003E0C90">
        <w:rPr>
          <w:rFonts w:ascii="Tahoma" w:hAnsi="Tahoma" w:cs="Tahoma"/>
          <w:i/>
          <w:iCs/>
        </w:rPr>
        <w:t>-no pecuniaria como tal-</w:t>
      </w:r>
      <w:r w:rsidRPr="003E0C90">
        <w:rPr>
          <w:rFonts w:ascii="Tahoma" w:hAnsi="Tahoma" w:cs="Tahoma"/>
        </w:rPr>
        <w:t xml:space="preserve">, practicándose pruebas como el interrogatorio a la parte actora; además, el proceso de primera instancia y segunda instancia se extendió por más de </w:t>
      </w:r>
      <w:r w:rsidR="0042742D" w:rsidRPr="003E0C90">
        <w:rPr>
          <w:rFonts w:ascii="Tahoma" w:hAnsi="Tahoma" w:cs="Tahoma"/>
        </w:rPr>
        <w:t>dos</w:t>
      </w:r>
      <w:r w:rsidRPr="003E0C90">
        <w:rPr>
          <w:rFonts w:ascii="Tahoma" w:hAnsi="Tahoma" w:cs="Tahoma"/>
        </w:rPr>
        <w:t xml:space="preserve"> años, como quiera que la demanda se presentó el </w:t>
      </w:r>
      <w:r w:rsidR="00E368A4" w:rsidRPr="003E0C90">
        <w:rPr>
          <w:rFonts w:ascii="Tahoma" w:hAnsi="Tahoma" w:cs="Tahoma"/>
        </w:rPr>
        <w:t>16 de noviembre</w:t>
      </w:r>
      <w:r w:rsidR="007138F7" w:rsidRPr="003E0C90">
        <w:rPr>
          <w:rFonts w:ascii="Tahoma" w:hAnsi="Tahoma" w:cs="Tahoma"/>
        </w:rPr>
        <w:t xml:space="preserve"> de 2017</w:t>
      </w:r>
      <w:r w:rsidRPr="003E0C90">
        <w:rPr>
          <w:rFonts w:ascii="Tahoma" w:hAnsi="Tahoma" w:cs="Tahoma"/>
        </w:rPr>
        <w:t xml:space="preserve">, el fallo de primer grado se emitió el </w:t>
      </w:r>
      <w:r w:rsidR="00E368A4" w:rsidRPr="003E0C90">
        <w:rPr>
          <w:rFonts w:ascii="Tahoma" w:hAnsi="Tahoma" w:cs="Tahoma"/>
        </w:rPr>
        <w:t>28 de noviembre</w:t>
      </w:r>
      <w:r w:rsidR="007138F7" w:rsidRPr="003E0C90">
        <w:rPr>
          <w:rFonts w:ascii="Tahoma" w:hAnsi="Tahoma" w:cs="Tahoma"/>
        </w:rPr>
        <w:t xml:space="preserve"> de 2018</w:t>
      </w:r>
      <w:r w:rsidRPr="003E0C90">
        <w:rPr>
          <w:rFonts w:ascii="Tahoma" w:hAnsi="Tahoma" w:cs="Tahoma"/>
        </w:rPr>
        <w:t xml:space="preserve">, mismo que fue apelado por </w:t>
      </w:r>
      <w:r w:rsidR="007138F7" w:rsidRPr="003E0C90">
        <w:rPr>
          <w:rFonts w:ascii="Tahoma" w:hAnsi="Tahoma" w:cs="Tahoma"/>
        </w:rPr>
        <w:t xml:space="preserve">la parte </w:t>
      </w:r>
      <w:r w:rsidR="0042742D" w:rsidRPr="003E0C90">
        <w:rPr>
          <w:rFonts w:ascii="Tahoma" w:hAnsi="Tahoma" w:cs="Tahoma"/>
        </w:rPr>
        <w:t>demandada</w:t>
      </w:r>
      <w:r w:rsidRPr="003E0C90">
        <w:rPr>
          <w:rFonts w:ascii="Tahoma" w:hAnsi="Tahoma" w:cs="Tahoma"/>
        </w:rPr>
        <w:t xml:space="preserve"> y </w:t>
      </w:r>
      <w:r w:rsidR="0042742D" w:rsidRPr="003E0C90">
        <w:rPr>
          <w:rFonts w:ascii="Tahoma" w:hAnsi="Tahoma" w:cs="Tahoma"/>
        </w:rPr>
        <w:t>revocado</w:t>
      </w:r>
      <w:r w:rsidRPr="003E0C90">
        <w:rPr>
          <w:rFonts w:ascii="Tahoma" w:hAnsi="Tahoma" w:cs="Tahoma"/>
        </w:rPr>
        <w:t xml:space="preserve"> en segunda instancia mediante sentencia del </w:t>
      </w:r>
      <w:r w:rsidR="0042742D" w:rsidRPr="003E0C90">
        <w:rPr>
          <w:rFonts w:ascii="Tahoma" w:hAnsi="Tahoma" w:cs="Tahoma"/>
        </w:rPr>
        <w:t>09 de diciembre</w:t>
      </w:r>
      <w:r w:rsidR="007138F7" w:rsidRPr="003E0C90">
        <w:rPr>
          <w:rFonts w:ascii="Tahoma" w:hAnsi="Tahoma" w:cs="Tahoma"/>
        </w:rPr>
        <w:t xml:space="preserve"> de 2019.</w:t>
      </w:r>
    </w:p>
    <w:p w14:paraId="60678CC0" w14:textId="77777777" w:rsidR="00783DD1" w:rsidRPr="003E0C90" w:rsidRDefault="00783DD1" w:rsidP="003E0C90">
      <w:pPr>
        <w:pStyle w:val="Sinespaciado"/>
        <w:spacing w:line="276" w:lineRule="auto"/>
        <w:rPr>
          <w:rFonts w:ascii="Tahoma" w:hAnsi="Tahoma" w:cs="Tahoma"/>
        </w:rPr>
      </w:pPr>
    </w:p>
    <w:p w14:paraId="7F8F92F7" w14:textId="37F54B22" w:rsidR="00783DD1" w:rsidRPr="003E0C90" w:rsidRDefault="00783DD1" w:rsidP="003E0C90">
      <w:pPr>
        <w:autoSpaceDE w:val="0"/>
        <w:autoSpaceDN w:val="0"/>
        <w:adjustRightInd w:val="0"/>
        <w:spacing w:line="276" w:lineRule="auto"/>
        <w:ind w:firstLine="709"/>
        <w:jc w:val="both"/>
        <w:rPr>
          <w:rFonts w:ascii="Tahoma" w:hAnsi="Tahoma" w:cs="Tahoma"/>
        </w:rPr>
      </w:pPr>
      <w:r w:rsidRPr="003E0C90">
        <w:rPr>
          <w:rFonts w:ascii="Tahoma" w:hAnsi="Tahoma" w:cs="Tahoma"/>
        </w:rPr>
        <w:t>Por otra parte, l</w:t>
      </w:r>
      <w:r w:rsidR="007138F7" w:rsidRPr="003E0C90">
        <w:rPr>
          <w:rFonts w:ascii="Tahoma" w:hAnsi="Tahoma" w:cs="Tahoma"/>
        </w:rPr>
        <w:t>a</w:t>
      </w:r>
      <w:r w:rsidRPr="003E0C90">
        <w:rPr>
          <w:rFonts w:ascii="Tahoma" w:hAnsi="Tahoma" w:cs="Tahoma"/>
        </w:rPr>
        <w:t xml:space="preserve"> demandante se vio en la necesidad de interponer y sustentar el recurso de casación, el cual fue decidido favorablemente por la Sala de Casación Laboral de la Corte Suprema de Justicia el </w:t>
      </w:r>
      <w:r w:rsidR="0042742D" w:rsidRPr="003E0C90">
        <w:rPr>
          <w:rFonts w:ascii="Tahoma" w:hAnsi="Tahoma" w:cs="Tahoma"/>
        </w:rPr>
        <w:t>07 de junio de 2022</w:t>
      </w:r>
      <w:r w:rsidR="007138F7" w:rsidRPr="003E0C90">
        <w:rPr>
          <w:rFonts w:ascii="Tahoma" w:hAnsi="Tahoma" w:cs="Tahoma"/>
        </w:rPr>
        <w:t xml:space="preserve">, </w:t>
      </w:r>
      <w:r w:rsidR="007138F7" w:rsidRPr="003E0C90">
        <w:rPr>
          <w:rStyle w:val="normaltextrun"/>
          <w:rFonts w:ascii="Tahoma" w:hAnsi="Tahoma" w:cs="Tahoma"/>
          <w:color w:val="000000"/>
          <w:shd w:val="clear" w:color="auto" w:fill="FFFFFF"/>
        </w:rPr>
        <w:t xml:space="preserve">de todo lo cual se infiere que el proceso transitó durante </w:t>
      </w:r>
      <w:r w:rsidR="0042742D" w:rsidRPr="003E0C90">
        <w:rPr>
          <w:rStyle w:val="normaltextrun"/>
          <w:rFonts w:ascii="Tahoma" w:hAnsi="Tahoma" w:cs="Tahoma"/>
          <w:color w:val="000000"/>
          <w:shd w:val="clear" w:color="auto" w:fill="FFFFFF"/>
        </w:rPr>
        <w:t xml:space="preserve">casi </w:t>
      </w:r>
      <w:r w:rsidR="007138F7" w:rsidRPr="003E0C90">
        <w:rPr>
          <w:rStyle w:val="normaltextrun"/>
          <w:rFonts w:ascii="Tahoma" w:hAnsi="Tahoma" w:cs="Tahoma"/>
          <w:color w:val="000000"/>
          <w:shd w:val="clear" w:color="auto" w:fill="FFFFFF"/>
        </w:rPr>
        <w:t>cinco años hasta la decisión final.</w:t>
      </w:r>
    </w:p>
    <w:p w14:paraId="737BB66D" w14:textId="694B9C66" w:rsidR="00490E1F" w:rsidRPr="003E0C90" w:rsidRDefault="00490E1F" w:rsidP="003E0C90">
      <w:pPr>
        <w:autoSpaceDE w:val="0"/>
        <w:autoSpaceDN w:val="0"/>
        <w:adjustRightInd w:val="0"/>
        <w:spacing w:line="276" w:lineRule="auto"/>
        <w:ind w:firstLine="709"/>
        <w:jc w:val="both"/>
        <w:rPr>
          <w:rFonts w:ascii="Tahoma" w:hAnsi="Tahoma" w:cs="Tahoma"/>
        </w:rPr>
      </w:pPr>
    </w:p>
    <w:p w14:paraId="471BD45A" w14:textId="664EB39B" w:rsidR="007138F7" w:rsidRPr="003E0C90" w:rsidRDefault="007138F7" w:rsidP="003E0C90">
      <w:pPr>
        <w:autoSpaceDE w:val="0"/>
        <w:autoSpaceDN w:val="0"/>
        <w:adjustRightInd w:val="0"/>
        <w:spacing w:line="276" w:lineRule="auto"/>
        <w:ind w:firstLine="709"/>
        <w:jc w:val="both"/>
        <w:rPr>
          <w:rFonts w:ascii="Tahoma" w:hAnsi="Tahoma" w:cs="Tahoma"/>
        </w:rPr>
      </w:pPr>
      <w:r w:rsidRPr="003E0C90">
        <w:rPr>
          <w:rFonts w:ascii="Tahoma" w:hAnsi="Tahoma" w:cs="Tahoma"/>
        </w:rPr>
        <w:t xml:space="preserve">En consecuencia, a pesar de que las agencias en derecho fijadas en primera instancia se encuentran dentro del rango establecido en el </w:t>
      </w:r>
      <w:r w:rsidR="00853BBB" w:rsidRPr="003E0C90">
        <w:rPr>
          <w:rFonts w:ascii="Tahoma" w:hAnsi="Tahoma" w:cs="Tahoma"/>
        </w:rPr>
        <w:t>Acuerdo PSAA16-10554 de 2016</w:t>
      </w:r>
      <w:r w:rsidRPr="003E0C90">
        <w:rPr>
          <w:rFonts w:ascii="Tahoma" w:hAnsi="Tahoma" w:cs="Tahoma"/>
        </w:rPr>
        <w:t xml:space="preserve">, no se estiman acordes al esfuerzo desplegado por </w:t>
      </w:r>
      <w:r w:rsidR="00853BBB" w:rsidRPr="003E0C90">
        <w:rPr>
          <w:rFonts w:ascii="Tahoma" w:hAnsi="Tahoma" w:cs="Tahoma"/>
        </w:rPr>
        <w:t>e</w:t>
      </w:r>
      <w:r w:rsidR="001B73A5" w:rsidRPr="003E0C90">
        <w:rPr>
          <w:rFonts w:ascii="Tahoma" w:hAnsi="Tahoma" w:cs="Tahoma"/>
        </w:rPr>
        <w:t>l</w:t>
      </w:r>
      <w:r w:rsidRPr="003E0C90">
        <w:rPr>
          <w:rFonts w:ascii="Tahoma" w:hAnsi="Tahoma" w:cs="Tahoma"/>
        </w:rPr>
        <w:t xml:space="preserve"> profesional del derecho que representa a</w:t>
      </w:r>
      <w:r w:rsidR="00853BBB" w:rsidRPr="003E0C90">
        <w:rPr>
          <w:rFonts w:ascii="Tahoma" w:hAnsi="Tahoma" w:cs="Tahoma"/>
        </w:rPr>
        <w:t xml:space="preserve"> </w:t>
      </w:r>
      <w:r w:rsidRPr="003E0C90">
        <w:rPr>
          <w:rFonts w:ascii="Tahoma" w:hAnsi="Tahoma" w:cs="Tahoma"/>
        </w:rPr>
        <w:t>l</w:t>
      </w:r>
      <w:r w:rsidR="00853BBB" w:rsidRPr="003E0C90">
        <w:rPr>
          <w:rFonts w:ascii="Tahoma" w:hAnsi="Tahoma" w:cs="Tahoma"/>
        </w:rPr>
        <w:t>a</w:t>
      </w:r>
      <w:r w:rsidRPr="003E0C90">
        <w:rPr>
          <w:rFonts w:ascii="Tahoma" w:hAnsi="Tahoma" w:cs="Tahoma"/>
        </w:rPr>
        <w:t xml:space="preserve"> gestor</w:t>
      </w:r>
      <w:r w:rsidR="00853BBB" w:rsidRPr="003E0C90">
        <w:rPr>
          <w:rFonts w:ascii="Tahoma" w:hAnsi="Tahoma" w:cs="Tahoma"/>
        </w:rPr>
        <w:t>a</w:t>
      </w:r>
      <w:r w:rsidRPr="003E0C90">
        <w:rPr>
          <w:rFonts w:ascii="Tahoma" w:hAnsi="Tahoma" w:cs="Tahoma"/>
        </w:rPr>
        <w:t xml:space="preserve"> d</w:t>
      </w:r>
      <w:r w:rsidR="00853BBB" w:rsidRPr="003E0C90">
        <w:rPr>
          <w:rFonts w:ascii="Tahoma" w:hAnsi="Tahoma" w:cs="Tahoma"/>
        </w:rPr>
        <w:t>el pleito</w:t>
      </w:r>
      <w:r w:rsidRPr="003E0C90">
        <w:rPr>
          <w:rFonts w:ascii="Tahoma" w:hAnsi="Tahoma" w:cs="Tahoma"/>
        </w:rPr>
        <w:t xml:space="preserve">, frente a los gastos en los que tuvo que incurrir la parte actora para que sus pretensiones salieran avante en un proceso tan importante para su vida, en el que además no resulta posible acordar con </w:t>
      </w:r>
      <w:r w:rsidR="00853BBB" w:rsidRPr="003E0C90">
        <w:rPr>
          <w:rFonts w:ascii="Tahoma" w:hAnsi="Tahoma" w:cs="Tahoma"/>
        </w:rPr>
        <w:t>e</w:t>
      </w:r>
      <w:r w:rsidRPr="003E0C90">
        <w:rPr>
          <w:rFonts w:ascii="Tahoma" w:hAnsi="Tahoma" w:cs="Tahoma"/>
        </w:rPr>
        <w:t>l apoderad</w:t>
      </w:r>
      <w:r w:rsidR="00853BBB" w:rsidRPr="003E0C90">
        <w:rPr>
          <w:rFonts w:ascii="Tahoma" w:hAnsi="Tahoma" w:cs="Tahoma"/>
        </w:rPr>
        <w:t>o</w:t>
      </w:r>
      <w:r w:rsidRPr="003E0C90">
        <w:rPr>
          <w:rFonts w:ascii="Tahoma" w:hAnsi="Tahoma" w:cs="Tahoma"/>
        </w:rPr>
        <w:t xml:space="preserve"> judicial un pago a cuota Litis, como se acostumbra, por cuanto el proceso es meramente declarativo (sin cuantía),  </w:t>
      </w:r>
    </w:p>
    <w:p w14:paraId="11AE6AA6" w14:textId="77777777" w:rsidR="007138F7" w:rsidRPr="003E0C90" w:rsidRDefault="007138F7" w:rsidP="003E0C90">
      <w:pPr>
        <w:pStyle w:val="Sinespaciado"/>
        <w:spacing w:line="276" w:lineRule="auto"/>
        <w:rPr>
          <w:rFonts w:ascii="Tahoma" w:hAnsi="Tahoma" w:cs="Tahoma"/>
        </w:rPr>
      </w:pPr>
      <w:r w:rsidRPr="003E0C90">
        <w:rPr>
          <w:rFonts w:ascii="Tahoma" w:hAnsi="Tahoma" w:cs="Tahoma"/>
        </w:rPr>
        <w:t> </w:t>
      </w:r>
    </w:p>
    <w:p w14:paraId="38FDDC64" w14:textId="0F941406" w:rsidR="007138F7" w:rsidRPr="003E0C90" w:rsidRDefault="007138F7" w:rsidP="003E0C90">
      <w:pPr>
        <w:autoSpaceDE w:val="0"/>
        <w:autoSpaceDN w:val="0"/>
        <w:adjustRightInd w:val="0"/>
        <w:spacing w:line="276" w:lineRule="auto"/>
        <w:ind w:firstLine="709"/>
        <w:jc w:val="both"/>
        <w:rPr>
          <w:rFonts w:ascii="Tahoma" w:hAnsi="Tahoma" w:cs="Tahoma"/>
        </w:rPr>
      </w:pPr>
      <w:r w:rsidRPr="003E0C90">
        <w:rPr>
          <w:rFonts w:ascii="Tahoma" w:hAnsi="Tahoma" w:cs="Tahoma"/>
        </w:rPr>
        <w:t xml:space="preserve">En el expediente digital se advierte que </w:t>
      </w:r>
      <w:r w:rsidR="00853BBB" w:rsidRPr="003E0C90">
        <w:rPr>
          <w:rFonts w:ascii="Tahoma" w:hAnsi="Tahoma" w:cs="Tahoma"/>
        </w:rPr>
        <w:t>e</w:t>
      </w:r>
      <w:r w:rsidRPr="003E0C90">
        <w:rPr>
          <w:rFonts w:ascii="Tahoma" w:hAnsi="Tahoma" w:cs="Tahoma"/>
        </w:rPr>
        <w:t>l profesional que representa los intereses de la actora procuró la comparecencia oportuna de la parte pasiva de la litis, actuó en todas las audiencias y en todo el trámite procesal,</w:t>
      </w:r>
      <w:r w:rsidR="00D37E46" w:rsidRPr="003E0C90">
        <w:rPr>
          <w:rFonts w:ascii="Tahoma" w:hAnsi="Tahoma" w:cs="Tahoma"/>
        </w:rPr>
        <w:t xml:space="preserve"> además que gestionó la asistencia de testigos a la audiencia de trámite y juzgamiento,</w:t>
      </w:r>
      <w:r w:rsidRPr="003E0C90">
        <w:rPr>
          <w:rFonts w:ascii="Tahoma" w:hAnsi="Tahoma" w:cs="Tahoma"/>
        </w:rPr>
        <w:t xml:space="preserve"> lo cual permitía establecer 5 salarios mínimos</w:t>
      </w:r>
      <w:r w:rsidR="00342478" w:rsidRPr="003E0C90">
        <w:rPr>
          <w:rFonts w:ascii="Tahoma" w:hAnsi="Tahoma" w:cs="Tahoma"/>
        </w:rPr>
        <w:t>,</w:t>
      </w:r>
      <w:r w:rsidRPr="003E0C90">
        <w:rPr>
          <w:rFonts w:ascii="Tahoma" w:hAnsi="Tahoma" w:cs="Tahoma"/>
        </w:rPr>
        <w:t xml:space="preserve"> </w:t>
      </w:r>
      <w:r w:rsidR="00342478" w:rsidRPr="003E0C90">
        <w:rPr>
          <w:rFonts w:ascii="Tahoma" w:hAnsi="Tahoma" w:cs="Tahoma"/>
        </w:rPr>
        <w:t xml:space="preserve">del año 2022, </w:t>
      </w:r>
      <w:r w:rsidRPr="003E0C90">
        <w:rPr>
          <w:rFonts w:ascii="Tahoma" w:hAnsi="Tahoma" w:cs="Tahoma"/>
        </w:rPr>
        <w:t xml:space="preserve">como agencias en derecho en primera instancia, esto es, $5.000.000 en un 100% a cargo de Porvenir S.A. </w:t>
      </w:r>
    </w:p>
    <w:p w14:paraId="7DFCC875" w14:textId="77777777" w:rsidR="007138F7" w:rsidRPr="003E0C90" w:rsidRDefault="007138F7" w:rsidP="003E0C90">
      <w:pPr>
        <w:pStyle w:val="Sinespaciado"/>
        <w:spacing w:line="276" w:lineRule="auto"/>
        <w:rPr>
          <w:rFonts w:ascii="Tahoma" w:hAnsi="Tahoma" w:cs="Tahoma"/>
        </w:rPr>
      </w:pPr>
    </w:p>
    <w:p w14:paraId="65A3326D" w14:textId="4D40EDEA" w:rsidR="007138F7" w:rsidRPr="003E0C90" w:rsidRDefault="007138F7" w:rsidP="003E0C90">
      <w:pPr>
        <w:autoSpaceDE w:val="0"/>
        <w:autoSpaceDN w:val="0"/>
        <w:adjustRightInd w:val="0"/>
        <w:spacing w:line="276" w:lineRule="auto"/>
        <w:ind w:firstLine="709"/>
        <w:jc w:val="both"/>
        <w:rPr>
          <w:rFonts w:ascii="Tahoma" w:hAnsi="Tahoma" w:cs="Tahoma"/>
        </w:rPr>
      </w:pPr>
      <w:r w:rsidRPr="003E0C90">
        <w:rPr>
          <w:rFonts w:ascii="Tahoma" w:hAnsi="Tahoma" w:cs="Tahoma"/>
        </w:rPr>
        <w:t>En consecuencia, para la Sala mayoritaria las agencias en derecho fijadas en primera instancia no se ajustan a derecho</w:t>
      </w:r>
      <w:r w:rsidRPr="003E0C90">
        <w:rPr>
          <w:rFonts w:ascii="Tahoma" w:hAnsi="Tahoma" w:cs="Tahoma"/>
          <w:shd w:val="clear" w:color="auto" w:fill="FAF9F8"/>
        </w:rPr>
        <w:t xml:space="preserve"> por lo que se debieron tasar en 5 SMLMV</w:t>
      </w:r>
      <w:r w:rsidRPr="003E0C90">
        <w:rPr>
          <w:rFonts w:ascii="Tahoma" w:hAnsi="Tahoma" w:cs="Tahoma"/>
        </w:rPr>
        <w:t>, pues el hecho de que el proceso carezca de cuantía en modo alguno implica pauperizar los honorarios del abogado, ni mucho menos castigar su labor por el solo hecho de acompasarse a los precedentes de la Sala de Casación Laboral de la Corte Suprema de Justicia o, disminuirse el porcentaje porque la tardanza del proceso se hubiera dado por causas externas, como la emergencia sanitaria y la implementación de la virtualidad, antes bien, al ser ajenas al apoderado de la parte, demuestra su diligencia, considerándose además el mayor esfuerzo que implicó adelantar el recurso extraordinario de casación.</w:t>
      </w:r>
    </w:p>
    <w:p w14:paraId="40D27E9A" w14:textId="77777777" w:rsidR="007138F7" w:rsidRPr="003E0C90" w:rsidRDefault="007138F7" w:rsidP="003E0C90">
      <w:pPr>
        <w:pStyle w:val="Sinespaciado"/>
        <w:spacing w:line="276" w:lineRule="auto"/>
        <w:rPr>
          <w:rFonts w:ascii="Tahoma" w:hAnsi="Tahoma" w:cs="Tahoma"/>
        </w:rPr>
      </w:pPr>
    </w:p>
    <w:p w14:paraId="664FAF36" w14:textId="33D3BF70" w:rsidR="007138F7" w:rsidRPr="003E0C90" w:rsidRDefault="007138F7" w:rsidP="003E0C90">
      <w:pPr>
        <w:autoSpaceDE w:val="0"/>
        <w:autoSpaceDN w:val="0"/>
        <w:adjustRightInd w:val="0"/>
        <w:spacing w:line="276" w:lineRule="auto"/>
        <w:ind w:firstLine="709"/>
        <w:jc w:val="both"/>
        <w:rPr>
          <w:rFonts w:ascii="Tahoma" w:hAnsi="Tahoma" w:cs="Tahoma"/>
        </w:rPr>
      </w:pPr>
      <w:r w:rsidRPr="003E0C90">
        <w:rPr>
          <w:rFonts w:ascii="Tahoma" w:hAnsi="Tahoma" w:cs="Tahoma"/>
        </w:rPr>
        <w:t>En atención a lo hasta aquí dispuesto, se revocará para modificar la decisión de primera instancia, para en su lugar disponer que las agencias en derecho de primer grado corresponden a la suma de $5.000.000 (5 SMLMV), de los cuales Porvenir S.A. debe reconocer el 100%.</w:t>
      </w:r>
    </w:p>
    <w:p w14:paraId="5D64005B" w14:textId="606E86A3" w:rsidR="00853BBB" w:rsidRPr="003E0C90" w:rsidRDefault="00853BBB" w:rsidP="003E0C90">
      <w:pPr>
        <w:autoSpaceDE w:val="0"/>
        <w:autoSpaceDN w:val="0"/>
        <w:adjustRightInd w:val="0"/>
        <w:spacing w:line="276" w:lineRule="auto"/>
        <w:ind w:firstLine="709"/>
        <w:jc w:val="both"/>
        <w:rPr>
          <w:rFonts w:ascii="Tahoma" w:hAnsi="Tahoma" w:cs="Tahoma"/>
          <w:shd w:val="clear" w:color="auto" w:fill="FAF9F8"/>
        </w:rPr>
      </w:pPr>
    </w:p>
    <w:p w14:paraId="0B30046B" w14:textId="55466947" w:rsidR="00853BBB" w:rsidRPr="003E0C90" w:rsidRDefault="00853BBB" w:rsidP="003E0C90">
      <w:pPr>
        <w:autoSpaceDE w:val="0"/>
        <w:autoSpaceDN w:val="0"/>
        <w:adjustRightInd w:val="0"/>
        <w:spacing w:line="276" w:lineRule="auto"/>
        <w:ind w:firstLine="709"/>
        <w:jc w:val="both"/>
        <w:rPr>
          <w:rFonts w:ascii="Tahoma" w:hAnsi="Tahoma" w:cs="Tahoma"/>
          <w:shd w:val="clear" w:color="auto" w:fill="FAF9F8"/>
        </w:rPr>
      </w:pPr>
      <w:r w:rsidRPr="003E0C90">
        <w:rPr>
          <w:rFonts w:ascii="Tahoma" w:hAnsi="Tahoma" w:cs="Tahoma"/>
          <w:shd w:val="clear" w:color="auto" w:fill="FAF9F8"/>
        </w:rPr>
        <w:t xml:space="preserve">Finalmente, aunque la parte actora solicita la liquidación de agencias en derecho en segunda instancia, lo cierto es que la Sala de Casación Laboral, al decidir el recurso extraordinario de casación dispuso que no se causaron costas en segunda instancia, por lo cual no resulta procedente cuantificar suma alguna por este concepto. </w:t>
      </w:r>
    </w:p>
    <w:p w14:paraId="1A019F95" w14:textId="77777777" w:rsidR="007138F7" w:rsidRPr="003E0C90" w:rsidRDefault="007138F7" w:rsidP="003E0C90">
      <w:pPr>
        <w:pStyle w:val="Sinespaciado"/>
        <w:spacing w:line="276" w:lineRule="auto"/>
        <w:rPr>
          <w:rFonts w:ascii="Tahoma" w:hAnsi="Tahoma" w:cs="Tahoma"/>
        </w:rPr>
      </w:pPr>
    </w:p>
    <w:p w14:paraId="4B53DF5C" w14:textId="52CAEE9A" w:rsidR="007138F7" w:rsidRDefault="007138F7" w:rsidP="003E0C90">
      <w:pPr>
        <w:autoSpaceDE w:val="0"/>
        <w:autoSpaceDN w:val="0"/>
        <w:adjustRightInd w:val="0"/>
        <w:spacing w:line="276" w:lineRule="auto"/>
        <w:ind w:firstLine="708"/>
        <w:jc w:val="both"/>
        <w:rPr>
          <w:rFonts w:ascii="Tahoma" w:hAnsi="Tahoma" w:cs="Tahoma"/>
          <w:color w:val="000000"/>
        </w:rPr>
      </w:pPr>
      <w:r w:rsidRPr="003E0C90">
        <w:rPr>
          <w:rFonts w:ascii="Tahoma" w:hAnsi="Tahoma" w:cs="Tahoma"/>
          <w:color w:val="000000"/>
        </w:rPr>
        <w:t>Al haber prosperado</w:t>
      </w:r>
      <w:r w:rsidR="00853BBB" w:rsidRPr="003E0C90">
        <w:rPr>
          <w:rFonts w:ascii="Tahoma" w:hAnsi="Tahoma" w:cs="Tahoma"/>
          <w:color w:val="000000"/>
        </w:rPr>
        <w:t xml:space="preserve"> parcialmente</w:t>
      </w:r>
      <w:r w:rsidRPr="003E0C90">
        <w:rPr>
          <w:rFonts w:ascii="Tahoma" w:hAnsi="Tahoma" w:cs="Tahoma"/>
          <w:color w:val="000000"/>
        </w:rPr>
        <w:t xml:space="preserve"> el recurso</w:t>
      </w:r>
      <w:r w:rsidR="00853BBB" w:rsidRPr="003E0C90">
        <w:rPr>
          <w:rFonts w:ascii="Tahoma" w:hAnsi="Tahoma" w:cs="Tahoma"/>
          <w:color w:val="000000"/>
        </w:rPr>
        <w:t xml:space="preserve">, </w:t>
      </w:r>
      <w:r w:rsidRPr="003E0C90">
        <w:rPr>
          <w:rFonts w:ascii="Tahoma" w:hAnsi="Tahoma" w:cs="Tahoma"/>
          <w:color w:val="000000"/>
        </w:rPr>
        <w:t>no habrá condena en costas procesales de segunda instancia.</w:t>
      </w:r>
    </w:p>
    <w:p w14:paraId="4E306BF3" w14:textId="77777777" w:rsidR="00185AEF" w:rsidRPr="003E0C90" w:rsidRDefault="00185AEF" w:rsidP="003E0C90">
      <w:pPr>
        <w:autoSpaceDE w:val="0"/>
        <w:autoSpaceDN w:val="0"/>
        <w:adjustRightInd w:val="0"/>
        <w:spacing w:line="276" w:lineRule="auto"/>
        <w:ind w:firstLine="708"/>
        <w:jc w:val="both"/>
        <w:rPr>
          <w:rFonts w:ascii="Tahoma" w:hAnsi="Tahoma" w:cs="Tahoma"/>
          <w:color w:val="000000"/>
        </w:rPr>
      </w:pPr>
    </w:p>
    <w:p w14:paraId="188C1C21" w14:textId="77777777" w:rsidR="00490E1F" w:rsidRPr="003E0C90" w:rsidRDefault="00490E1F" w:rsidP="003E0C90">
      <w:pPr>
        <w:spacing w:line="276" w:lineRule="auto"/>
        <w:ind w:firstLine="708"/>
        <w:jc w:val="both"/>
        <w:rPr>
          <w:rFonts w:ascii="Tahoma" w:hAnsi="Tahoma" w:cs="Tahoma"/>
          <w:b/>
        </w:rPr>
      </w:pPr>
      <w:r w:rsidRPr="003E0C90">
        <w:rPr>
          <w:rFonts w:ascii="Tahoma" w:hAnsi="Tahoma" w:cs="Tahoma"/>
          <w:spacing w:val="2"/>
        </w:rPr>
        <w:t xml:space="preserve">En mérito de lo expuesto, </w:t>
      </w:r>
      <w:r w:rsidRPr="003E0C90">
        <w:rPr>
          <w:rFonts w:ascii="Tahoma" w:hAnsi="Tahoma" w:cs="Tahoma"/>
        </w:rPr>
        <w:t xml:space="preserve">el </w:t>
      </w:r>
      <w:r w:rsidRPr="003E0C90">
        <w:rPr>
          <w:rFonts w:ascii="Tahoma" w:hAnsi="Tahoma" w:cs="Tahoma"/>
          <w:b/>
        </w:rPr>
        <w:t xml:space="preserve">Tribunal Superior del Distrito Judicial de Pereira, Sala Primera de Decisión Laboral, </w:t>
      </w:r>
    </w:p>
    <w:p w14:paraId="2AEA05F0" w14:textId="77777777" w:rsidR="00490E1F" w:rsidRPr="003E0C90" w:rsidRDefault="00490E1F" w:rsidP="003E0C90">
      <w:pPr>
        <w:spacing w:line="276" w:lineRule="auto"/>
        <w:ind w:firstLine="708"/>
        <w:jc w:val="both"/>
        <w:rPr>
          <w:rFonts w:ascii="Tahoma" w:hAnsi="Tahoma" w:cs="Tahoma"/>
          <w:b/>
        </w:rPr>
      </w:pPr>
    </w:p>
    <w:p w14:paraId="6EF28A7F" w14:textId="77777777" w:rsidR="00490E1F" w:rsidRPr="003E0C90" w:rsidRDefault="00490E1F" w:rsidP="003E0C90">
      <w:pPr>
        <w:spacing w:line="276" w:lineRule="auto"/>
        <w:ind w:firstLine="708"/>
        <w:jc w:val="center"/>
        <w:rPr>
          <w:rFonts w:ascii="Tahoma" w:hAnsi="Tahoma" w:cs="Tahoma"/>
          <w:b/>
        </w:rPr>
      </w:pPr>
      <w:r w:rsidRPr="003E0C90">
        <w:rPr>
          <w:rFonts w:ascii="Tahoma" w:hAnsi="Tahoma" w:cs="Tahoma"/>
          <w:b/>
        </w:rPr>
        <w:t>R E S U E L V E:</w:t>
      </w:r>
    </w:p>
    <w:p w14:paraId="69B820D2" w14:textId="77777777" w:rsidR="00490E1F" w:rsidRPr="003E0C90" w:rsidRDefault="00490E1F" w:rsidP="0082565D">
      <w:pPr>
        <w:spacing w:line="276" w:lineRule="auto"/>
        <w:ind w:firstLine="708"/>
        <w:rPr>
          <w:rFonts w:ascii="Tahoma" w:hAnsi="Tahoma" w:cs="Tahoma"/>
          <w:b/>
        </w:rPr>
      </w:pPr>
    </w:p>
    <w:p w14:paraId="57D00DB3" w14:textId="39EFE156" w:rsidR="00490E1F" w:rsidRPr="003E0C90" w:rsidRDefault="00490E1F" w:rsidP="003E0C90">
      <w:pPr>
        <w:spacing w:line="276" w:lineRule="auto"/>
        <w:ind w:firstLine="708"/>
        <w:jc w:val="both"/>
        <w:rPr>
          <w:rFonts w:ascii="Tahoma" w:hAnsi="Tahoma" w:cs="Tahoma"/>
        </w:rPr>
      </w:pPr>
      <w:r w:rsidRPr="003E0C90">
        <w:rPr>
          <w:rFonts w:ascii="Tahoma" w:hAnsi="Tahoma" w:cs="Tahoma"/>
          <w:b/>
        </w:rPr>
        <w:t xml:space="preserve">Primero. </w:t>
      </w:r>
      <w:r w:rsidR="00627751" w:rsidRPr="003E0C90">
        <w:rPr>
          <w:rFonts w:ascii="Tahoma" w:hAnsi="Tahoma" w:cs="Tahoma"/>
          <w:b/>
        </w:rPr>
        <w:t>REVOCAR</w:t>
      </w:r>
      <w:r w:rsidRPr="003E0C90">
        <w:rPr>
          <w:rFonts w:ascii="Tahoma" w:hAnsi="Tahoma" w:cs="Tahoma"/>
          <w:b/>
        </w:rPr>
        <w:t xml:space="preserve"> </w:t>
      </w:r>
      <w:r w:rsidRPr="003E0C90">
        <w:rPr>
          <w:rFonts w:ascii="Tahoma" w:hAnsi="Tahoma" w:cs="Tahoma"/>
        </w:rPr>
        <w:t xml:space="preserve">el auto proferido el </w:t>
      </w:r>
      <w:r w:rsidR="00853BBB" w:rsidRPr="003E0C90">
        <w:rPr>
          <w:rFonts w:ascii="Tahoma" w:hAnsi="Tahoma" w:cs="Tahoma"/>
        </w:rPr>
        <w:t>15 de diciembre</w:t>
      </w:r>
      <w:r w:rsidR="007138F7" w:rsidRPr="003E0C90">
        <w:rPr>
          <w:rFonts w:ascii="Tahoma" w:hAnsi="Tahoma" w:cs="Tahoma"/>
        </w:rPr>
        <w:t xml:space="preserve"> de 2022</w:t>
      </w:r>
      <w:r w:rsidR="00627751" w:rsidRPr="003E0C90">
        <w:rPr>
          <w:rFonts w:ascii="Tahoma" w:hAnsi="Tahoma" w:cs="Tahoma"/>
        </w:rPr>
        <w:t xml:space="preserve"> </w:t>
      </w:r>
      <w:r w:rsidRPr="003E0C90">
        <w:rPr>
          <w:rFonts w:ascii="Tahoma" w:hAnsi="Tahoma" w:cs="Tahoma"/>
        </w:rPr>
        <w:t xml:space="preserve">por el Juzgado </w:t>
      </w:r>
      <w:r w:rsidR="007138F7" w:rsidRPr="003E0C90">
        <w:rPr>
          <w:rFonts w:ascii="Tahoma" w:hAnsi="Tahoma" w:cs="Tahoma"/>
        </w:rPr>
        <w:t>Tercero</w:t>
      </w:r>
      <w:r w:rsidRPr="003E0C90">
        <w:rPr>
          <w:rFonts w:ascii="Tahoma" w:hAnsi="Tahoma" w:cs="Tahoma"/>
        </w:rPr>
        <w:t xml:space="preserve"> Laboral del Circuito de Pereira, </w:t>
      </w:r>
      <w:r w:rsidR="00627751" w:rsidRPr="003E0C90">
        <w:rPr>
          <w:rFonts w:ascii="Tahoma" w:hAnsi="Tahoma" w:cs="Tahoma"/>
        </w:rPr>
        <w:t>para en su lugar, disponer que las agencias en derecho de primer grado corresponden a la suma de $</w:t>
      </w:r>
      <w:r w:rsidR="007138F7" w:rsidRPr="003E0C90">
        <w:rPr>
          <w:rFonts w:ascii="Tahoma" w:hAnsi="Tahoma" w:cs="Tahoma"/>
        </w:rPr>
        <w:t>5</w:t>
      </w:r>
      <w:r w:rsidR="00E67372" w:rsidRPr="003E0C90">
        <w:rPr>
          <w:rFonts w:ascii="Tahoma" w:hAnsi="Tahoma" w:cs="Tahoma"/>
        </w:rPr>
        <w:t>.0</w:t>
      </w:r>
      <w:r w:rsidR="00627751" w:rsidRPr="003E0C90">
        <w:rPr>
          <w:rFonts w:ascii="Tahoma" w:hAnsi="Tahoma" w:cs="Tahoma"/>
        </w:rPr>
        <w:t>00.000 (</w:t>
      </w:r>
      <w:r w:rsidR="007138F7" w:rsidRPr="003E0C90">
        <w:rPr>
          <w:rFonts w:ascii="Tahoma" w:hAnsi="Tahoma" w:cs="Tahoma"/>
        </w:rPr>
        <w:t>5</w:t>
      </w:r>
      <w:r w:rsidR="00627751" w:rsidRPr="003E0C90">
        <w:rPr>
          <w:rFonts w:ascii="Tahoma" w:hAnsi="Tahoma" w:cs="Tahoma"/>
        </w:rPr>
        <w:t xml:space="preserve"> SMLMV</w:t>
      </w:r>
      <w:r w:rsidR="00342478" w:rsidRPr="003E0C90">
        <w:rPr>
          <w:rFonts w:ascii="Tahoma" w:hAnsi="Tahoma" w:cs="Tahoma"/>
        </w:rPr>
        <w:t xml:space="preserve"> del año 2022</w:t>
      </w:r>
      <w:r w:rsidR="00627751" w:rsidRPr="003E0C90">
        <w:rPr>
          <w:rFonts w:ascii="Tahoma" w:hAnsi="Tahoma" w:cs="Tahoma"/>
        </w:rPr>
        <w:t xml:space="preserve">), de los cuales Porvenir S.A. debe reconocer el </w:t>
      </w:r>
      <w:r w:rsidR="007138F7" w:rsidRPr="003E0C90">
        <w:rPr>
          <w:rFonts w:ascii="Tahoma" w:hAnsi="Tahoma" w:cs="Tahoma"/>
        </w:rPr>
        <w:t>10</w:t>
      </w:r>
      <w:r w:rsidR="00627751" w:rsidRPr="003E0C90">
        <w:rPr>
          <w:rFonts w:ascii="Tahoma" w:hAnsi="Tahoma" w:cs="Tahoma"/>
        </w:rPr>
        <w:t>0%.</w:t>
      </w:r>
    </w:p>
    <w:p w14:paraId="63AA7E11" w14:textId="77777777" w:rsidR="00490E1F" w:rsidRPr="003E0C90" w:rsidRDefault="00490E1F" w:rsidP="003E0C90">
      <w:pPr>
        <w:spacing w:line="276" w:lineRule="auto"/>
        <w:ind w:firstLine="708"/>
        <w:jc w:val="both"/>
        <w:rPr>
          <w:rFonts w:ascii="Tahoma" w:hAnsi="Tahoma" w:cs="Tahoma"/>
        </w:rPr>
      </w:pPr>
    </w:p>
    <w:p w14:paraId="1EB33D8D" w14:textId="5897283F" w:rsidR="00490E1F" w:rsidRPr="003E0C90" w:rsidRDefault="00490E1F" w:rsidP="003E0C90">
      <w:pPr>
        <w:spacing w:line="276" w:lineRule="auto"/>
        <w:ind w:firstLine="708"/>
        <w:jc w:val="both"/>
        <w:rPr>
          <w:rFonts w:ascii="Tahoma" w:hAnsi="Tahoma" w:cs="Tahoma"/>
        </w:rPr>
      </w:pPr>
      <w:r w:rsidRPr="003E0C90">
        <w:rPr>
          <w:rFonts w:ascii="Tahoma" w:hAnsi="Tahoma" w:cs="Tahoma"/>
          <w:b/>
        </w:rPr>
        <w:t>Segundo.</w:t>
      </w:r>
      <w:r w:rsidRPr="003E0C90">
        <w:rPr>
          <w:rFonts w:ascii="Tahoma" w:hAnsi="Tahoma" w:cs="Tahoma"/>
        </w:rPr>
        <w:t xml:space="preserve"> </w:t>
      </w:r>
      <w:r w:rsidR="00592B29" w:rsidRPr="003E0C90">
        <w:rPr>
          <w:rFonts w:ascii="Tahoma" w:hAnsi="Tahoma" w:cs="Tahoma"/>
        </w:rPr>
        <w:t>Sin costas en segunda instancia.</w:t>
      </w:r>
    </w:p>
    <w:p w14:paraId="48C77263" w14:textId="77777777" w:rsidR="0082565D" w:rsidRPr="0082565D" w:rsidRDefault="0082565D" w:rsidP="0082565D">
      <w:pPr>
        <w:spacing w:line="276" w:lineRule="auto"/>
        <w:jc w:val="both"/>
        <w:rPr>
          <w:rFonts w:ascii="Tahoma" w:eastAsia="Calibri" w:hAnsi="Tahoma" w:cs="Tahoma"/>
          <w:lang w:val="es-CO" w:eastAsia="en-US"/>
        </w:rPr>
      </w:pPr>
      <w:bookmarkStart w:id="6" w:name="_Hlk126574973"/>
    </w:p>
    <w:p w14:paraId="267C25AF" w14:textId="77777777" w:rsidR="0082565D" w:rsidRPr="0082565D" w:rsidRDefault="0082565D" w:rsidP="0082565D">
      <w:pPr>
        <w:spacing w:line="276" w:lineRule="auto"/>
        <w:jc w:val="center"/>
        <w:rPr>
          <w:rFonts w:ascii="Tahoma" w:eastAsia="Tahoma" w:hAnsi="Tahoma" w:cs="Tahoma"/>
          <w:b/>
          <w:bCs/>
          <w:lang w:val="es-CO" w:eastAsia="en-US"/>
        </w:rPr>
      </w:pPr>
      <w:r w:rsidRPr="0082565D">
        <w:rPr>
          <w:rFonts w:ascii="Tahoma" w:eastAsia="Tahoma" w:hAnsi="Tahoma" w:cs="Tahoma"/>
          <w:b/>
          <w:bCs/>
          <w:lang w:val="es-CO" w:eastAsia="en-US"/>
        </w:rPr>
        <w:t>NOTIFÍQUESE Y CÚMPLASE</w:t>
      </w:r>
    </w:p>
    <w:p w14:paraId="03BE60FA" w14:textId="77777777" w:rsidR="0082565D" w:rsidRPr="0082565D" w:rsidRDefault="0082565D" w:rsidP="0082565D">
      <w:pPr>
        <w:spacing w:line="276" w:lineRule="auto"/>
        <w:jc w:val="both"/>
        <w:rPr>
          <w:rFonts w:ascii="Tahoma" w:eastAsia="Calibri" w:hAnsi="Tahoma" w:cs="Tahoma"/>
          <w:lang w:val="es-CO" w:eastAsia="en-US"/>
        </w:rPr>
      </w:pPr>
      <w:r w:rsidRPr="0082565D">
        <w:rPr>
          <w:rFonts w:ascii="Tahoma" w:eastAsia="Calibri" w:hAnsi="Tahoma" w:cs="Tahoma"/>
          <w:lang w:val="es-CO" w:eastAsia="en-US"/>
        </w:rPr>
        <w:t xml:space="preserve"> </w:t>
      </w:r>
    </w:p>
    <w:p w14:paraId="399B055A" w14:textId="77777777" w:rsidR="0082565D" w:rsidRPr="0082565D" w:rsidRDefault="0082565D" w:rsidP="0082565D">
      <w:pPr>
        <w:widowControl w:val="0"/>
        <w:autoSpaceDE w:val="0"/>
        <w:autoSpaceDN w:val="0"/>
        <w:adjustRightInd w:val="0"/>
        <w:spacing w:line="276" w:lineRule="auto"/>
        <w:jc w:val="both"/>
        <w:rPr>
          <w:rFonts w:ascii="Tahoma" w:hAnsi="Tahoma" w:cs="Tahoma"/>
        </w:rPr>
      </w:pPr>
      <w:r w:rsidRPr="0082565D">
        <w:rPr>
          <w:rFonts w:ascii="Tahoma" w:hAnsi="Tahoma" w:cs="Tahoma"/>
        </w:rPr>
        <w:tab/>
        <w:t>La Magistrada ponente,</w:t>
      </w:r>
    </w:p>
    <w:p w14:paraId="0B291FD2" w14:textId="77777777" w:rsidR="0082565D" w:rsidRPr="0082565D" w:rsidRDefault="0082565D" w:rsidP="0082565D">
      <w:pPr>
        <w:spacing w:line="276" w:lineRule="auto"/>
        <w:rPr>
          <w:rFonts w:ascii="Tahoma" w:hAnsi="Tahoma" w:cs="Tahoma"/>
        </w:rPr>
      </w:pPr>
    </w:p>
    <w:p w14:paraId="43B671C3" w14:textId="77777777" w:rsidR="0082565D" w:rsidRPr="0082565D" w:rsidRDefault="0082565D" w:rsidP="0082565D">
      <w:pPr>
        <w:spacing w:line="276" w:lineRule="auto"/>
        <w:rPr>
          <w:rFonts w:ascii="Tahoma" w:hAnsi="Tahoma" w:cs="Tahoma"/>
        </w:rPr>
      </w:pPr>
    </w:p>
    <w:p w14:paraId="493721B4" w14:textId="77777777" w:rsidR="0082565D" w:rsidRPr="0082565D" w:rsidRDefault="0082565D" w:rsidP="0082565D">
      <w:pPr>
        <w:spacing w:line="276" w:lineRule="auto"/>
        <w:rPr>
          <w:rFonts w:ascii="Tahoma" w:hAnsi="Tahoma" w:cs="Tahoma"/>
        </w:rPr>
      </w:pPr>
    </w:p>
    <w:p w14:paraId="6314C464" w14:textId="77777777" w:rsidR="0082565D" w:rsidRPr="0082565D" w:rsidRDefault="0082565D" w:rsidP="0082565D">
      <w:pPr>
        <w:keepNext/>
        <w:spacing w:line="276" w:lineRule="auto"/>
        <w:jc w:val="center"/>
        <w:outlineLvl w:val="2"/>
        <w:rPr>
          <w:rFonts w:ascii="Tahoma" w:hAnsi="Tahoma" w:cs="Tahoma"/>
          <w:b/>
          <w:bCs/>
        </w:rPr>
      </w:pPr>
      <w:r w:rsidRPr="0082565D">
        <w:rPr>
          <w:rFonts w:ascii="Tahoma" w:hAnsi="Tahoma" w:cs="Tahoma"/>
          <w:b/>
          <w:bCs/>
        </w:rPr>
        <w:t>ANA LUCÍA CAICEDO CALDERÓN</w:t>
      </w:r>
    </w:p>
    <w:p w14:paraId="2EBF0D8A" w14:textId="77777777" w:rsidR="0082565D" w:rsidRPr="0082565D" w:rsidRDefault="0082565D" w:rsidP="0082565D">
      <w:pPr>
        <w:spacing w:line="276" w:lineRule="auto"/>
        <w:rPr>
          <w:rFonts w:ascii="Tahoma" w:hAnsi="Tahoma" w:cs="Tahoma"/>
        </w:rPr>
      </w:pPr>
    </w:p>
    <w:p w14:paraId="72773F78" w14:textId="77777777" w:rsidR="0082565D" w:rsidRPr="0082565D" w:rsidRDefault="0082565D" w:rsidP="0082565D">
      <w:pPr>
        <w:spacing w:line="276" w:lineRule="auto"/>
        <w:ind w:firstLine="708"/>
        <w:rPr>
          <w:rFonts w:ascii="Tahoma" w:hAnsi="Tahoma" w:cs="Tahoma"/>
        </w:rPr>
      </w:pPr>
      <w:bookmarkStart w:id="7" w:name="_Hlk62478330"/>
      <w:r w:rsidRPr="0082565D">
        <w:rPr>
          <w:rFonts w:ascii="Tahoma" w:hAnsi="Tahoma" w:cs="Tahoma"/>
        </w:rPr>
        <w:t>La Magistrada y el Magistrado,</w:t>
      </w:r>
    </w:p>
    <w:p w14:paraId="63CAE4B7" w14:textId="77777777" w:rsidR="0082565D" w:rsidRPr="0082565D" w:rsidRDefault="0082565D" w:rsidP="0082565D">
      <w:pPr>
        <w:spacing w:line="276" w:lineRule="auto"/>
        <w:rPr>
          <w:rFonts w:ascii="Tahoma" w:hAnsi="Tahoma" w:cs="Tahoma"/>
        </w:rPr>
      </w:pPr>
    </w:p>
    <w:p w14:paraId="79B51FB6" w14:textId="77777777" w:rsidR="0082565D" w:rsidRPr="0082565D" w:rsidRDefault="0082565D" w:rsidP="0082565D">
      <w:pPr>
        <w:spacing w:line="276" w:lineRule="auto"/>
        <w:rPr>
          <w:rFonts w:ascii="Tahoma" w:hAnsi="Tahoma" w:cs="Tahoma"/>
        </w:rPr>
      </w:pPr>
    </w:p>
    <w:p w14:paraId="348E8427" w14:textId="77777777" w:rsidR="0082565D" w:rsidRPr="0082565D" w:rsidRDefault="0082565D" w:rsidP="0082565D">
      <w:pPr>
        <w:spacing w:line="276" w:lineRule="auto"/>
        <w:rPr>
          <w:rFonts w:ascii="Tahoma" w:hAnsi="Tahoma" w:cs="Tahoma"/>
        </w:rPr>
      </w:pPr>
    </w:p>
    <w:p w14:paraId="5A708988" w14:textId="77777777" w:rsidR="0082565D" w:rsidRPr="0082565D" w:rsidRDefault="0082565D" w:rsidP="0082565D">
      <w:pPr>
        <w:spacing w:line="276" w:lineRule="auto"/>
        <w:jc w:val="both"/>
        <w:rPr>
          <w:rFonts w:ascii="Tahoma" w:eastAsia="Calibri" w:hAnsi="Tahoma" w:cs="Tahoma"/>
          <w:lang w:eastAsia="en-US"/>
        </w:rPr>
      </w:pPr>
      <w:r w:rsidRPr="0082565D">
        <w:rPr>
          <w:rFonts w:ascii="Tahoma" w:hAnsi="Tahoma" w:cs="Tahoma"/>
          <w:b/>
          <w:bCs/>
        </w:rPr>
        <w:t>OLGA LUCÍA HOYOS SEPÚLVEDA</w:t>
      </w:r>
      <w:r w:rsidRPr="0082565D">
        <w:rPr>
          <w:rFonts w:ascii="Tahoma" w:hAnsi="Tahoma" w:cs="Tahoma"/>
          <w:b/>
          <w:bCs/>
        </w:rPr>
        <w:tab/>
      </w:r>
      <w:r w:rsidRPr="0082565D">
        <w:rPr>
          <w:rFonts w:ascii="Tahoma" w:hAnsi="Tahoma" w:cs="Tahoma"/>
          <w:b/>
          <w:bCs/>
        </w:rPr>
        <w:tab/>
        <w:t>GERMÁN DARÍO GÓEZ VINASCO</w:t>
      </w:r>
      <w:bookmarkEnd w:id="6"/>
      <w:bookmarkEnd w:id="7"/>
    </w:p>
    <w:p w14:paraId="37A557B8" w14:textId="2E42ED52" w:rsidR="0064697B" w:rsidRPr="0082565D" w:rsidRDefault="0082565D" w:rsidP="0082565D">
      <w:pPr>
        <w:spacing w:line="276" w:lineRule="auto"/>
        <w:jc w:val="both"/>
        <w:rPr>
          <w:rFonts w:ascii="Tahoma" w:hAnsi="Tahoma" w:cs="Tahoma"/>
          <w:bCs/>
        </w:rPr>
      </w:pPr>
      <w:r>
        <w:rPr>
          <w:rFonts w:ascii="Tahoma" w:hAnsi="Tahoma" w:cs="Tahoma"/>
          <w:bCs/>
        </w:rPr>
        <w:t>Con ausencia justificada</w:t>
      </w:r>
    </w:p>
    <w:sectPr w:rsidR="0064697B" w:rsidRPr="0082565D" w:rsidSect="00386384">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C765EB" w16cex:dateUtc="2023-05-17T12:10:21.813Z"/>
  <w16cex:commentExtensible w16cex:durableId="667A6095" w16cex:dateUtc="2023-05-18T15:17:59.70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EF731" w14:textId="77777777" w:rsidR="004B0844" w:rsidRDefault="004B0844">
      <w:r>
        <w:separator/>
      </w:r>
    </w:p>
  </w:endnote>
  <w:endnote w:type="continuationSeparator" w:id="0">
    <w:p w14:paraId="31094BC8" w14:textId="77777777" w:rsidR="004B0844" w:rsidRDefault="004B0844">
      <w:r>
        <w:continuationSeparator/>
      </w:r>
    </w:p>
  </w:endnote>
  <w:endnote w:type="continuationNotice" w:id="1">
    <w:p w14:paraId="276AFC77" w14:textId="77777777" w:rsidR="004B0844" w:rsidRDefault="004B0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rPr>
        <w:rFonts w:ascii="Arial" w:hAnsi="Arial" w:cs="Arial"/>
        <w:sz w:val="18"/>
      </w:rPr>
    </w:sdtEndPr>
    <w:sdtContent>
      <w:p w14:paraId="3644C7F9" w14:textId="77777777" w:rsidR="007E2F85" w:rsidRPr="00185AEF" w:rsidRDefault="007E2F85">
        <w:pPr>
          <w:pStyle w:val="Piedepgina"/>
          <w:jc w:val="right"/>
          <w:rPr>
            <w:rFonts w:ascii="Arial" w:hAnsi="Arial" w:cs="Arial"/>
            <w:sz w:val="18"/>
          </w:rPr>
        </w:pPr>
        <w:r w:rsidRPr="00185AEF">
          <w:rPr>
            <w:rFonts w:ascii="Arial" w:hAnsi="Arial" w:cs="Arial"/>
            <w:sz w:val="18"/>
          </w:rPr>
          <w:fldChar w:fldCharType="begin"/>
        </w:r>
        <w:r w:rsidRPr="00185AEF">
          <w:rPr>
            <w:rFonts w:ascii="Arial" w:hAnsi="Arial" w:cs="Arial"/>
            <w:sz w:val="18"/>
          </w:rPr>
          <w:instrText>PAGE   \* MERGEFORMAT</w:instrText>
        </w:r>
        <w:r w:rsidRPr="00185AEF">
          <w:rPr>
            <w:rFonts w:ascii="Arial" w:hAnsi="Arial" w:cs="Arial"/>
            <w:sz w:val="18"/>
          </w:rPr>
          <w:fldChar w:fldCharType="separate"/>
        </w:r>
        <w:r w:rsidRPr="00185AEF">
          <w:rPr>
            <w:rFonts w:ascii="Arial" w:hAnsi="Arial" w:cs="Arial"/>
            <w:sz w:val="18"/>
          </w:rPr>
          <w:t>2</w:t>
        </w:r>
        <w:r w:rsidRPr="00185AEF">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A7A3" w14:textId="77777777" w:rsidR="004B0844" w:rsidRDefault="004B0844">
      <w:r>
        <w:separator/>
      </w:r>
    </w:p>
  </w:footnote>
  <w:footnote w:type="continuationSeparator" w:id="0">
    <w:p w14:paraId="4F85E447" w14:textId="77777777" w:rsidR="004B0844" w:rsidRDefault="004B0844">
      <w:r>
        <w:continuationSeparator/>
      </w:r>
    </w:p>
  </w:footnote>
  <w:footnote w:type="continuationNotice" w:id="1">
    <w:p w14:paraId="53FD4D8A" w14:textId="77777777" w:rsidR="004B0844" w:rsidRDefault="004B0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7E2F85" w:rsidRDefault="007E2F8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7E2F85" w:rsidRDefault="007E2F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84C9" w14:textId="77777777" w:rsidR="00185AEF" w:rsidRPr="00185AEF" w:rsidRDefault="00185AEF" w:rsidP="00185AEF">
    <w:pPr>
      <w:pStyle w:val="Encabezado"/>
      <w:rPr>
        <w:rFonts w:ascii="Arial" w:hAnsi="Arial" w:cs="Arial"/>
        <w:sz w:val="18"/>
      </w:rPr>
    </w:pPr>
    <w:r w:rsidRPr="00185AEF">
      <w:rPr>
        <w:rFonts w:ascii="Arial" w:hAnsi="Arial" w:cs="Arial"/>
        <w:sz w:val="18"/>
      </w:rPr>
      <w:t>Radicación No.: 66001-31-05-003-2017-00525-02</w:t>
    </w:r>
  </w:p>
  <w:p w14:paraId="68430D00" w14:textId="77777777" w:rsidR="00185AEF" w:rsidRPr="00185AEF" w:rsidRDefault="00185AEF" w:rsidP="00185AEF">
    <w:pPr>
      <w:pStyle w:val="Encabezado"/>
      <w:rPr>
        <w:rFonts w:ascii="Arial" w:hAnsi="Arial" w:cs="Arial"/>
        <w:sz w:val="18"/>
      </w:rPr>
    </w:pPr>
    <w:r w:rsidRPr="00185AEF">
      <w:rPr>
        <w:rFonts w:ascii="Arial" w:hAnsi="Arial" w:cs="Arial"/>
        <w:sz w:val="18"/>
      </w:rPr>
      <w:t>Demandante: Julieta Henao Bonilla</w:t>
    </w:r>
  </w:p>
  <w:p w14:paraId="48E11AE9" w14:textId="6F56AE1C" w:rsidR="000A730A" w:rsidRPr="00185AEF" w:rsidRDefault="00185AEF" w:rsidP="00185AEF">
    <w:pPr>
      <w:pStyle w:val="Encabezado"/>
      <w:rPr>
        <w:rFonts w:ascii="Arial" w:hAnsi="Arial" w:cs="Arial"/>
        <w:sz w:val="18"/>
      </w:rPr>
    </w:pPr>
    <w:r w:rsidRPr="00185AEF">
      <w:rPr>
        <w:rFonts w:ascii="Arial" w:hAnsi="Arial" w:cs="Arial"/>
        <w:sz w:val="18"/>
      </w:rPr>
      <w:t>Demandado: Porvenir S.A.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7064B53"/>
    <w:multiLevelType w:val="hybridMultilevel"/>
    <w:tmpl w:val="168AF722"/>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4"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5"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9"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0"/>
  </w:num>
  <w:num w:numId="3">
    <w:abstractNumId w:val="5"/>
  </w:num>
  <w:num w:numId="4">
    <w:abstractNumId w:val="9"/>
  </w:num>
  <w:num w:numId="5">
    <w:abstractNumId w:val="8"/>
  </w:num>
  <w:num w:numId="6">
    <w:abstractNumId w:val="1"/>
  </w:num>
  <w:num w:numId="7">
    <w:abstractNumId w:val="0"/>
  </w:num>
  <w:num w:numId="8">
    <w:abstractNumId w:val="6"/>
  </w:num>
  <w:num w:numId="9">
    <w:abstractNumId w:val="4"/>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21B2"/>
    <w:rsid w:val="0002261E"/>
    <w:rsid w:val="0002486D"/>
    <w:rsid w:val="000311B6"/>
    <w:rsid w:val="000313E6"/>
    <w:rsid w:val="00033A2D"/>
    <w:rsid w:val="00037BE9"/>
    <w:rsid w:val="000423FA"/>
    <w:rsid w:val="00045363"/>
    <w:rsid w:val="00045BAD"/>
    <w:rsid w:val="00047455"/>
    <w:rsid w:val="000707E1"/>
    <w:rsid w:val="000725EA"/>
    <w:rsid w:val="0007279E"/>
    <w:rsid w:val="00080AD8"/>
    <w:rsid w:val="00080C0B"/>
    <w:rsid w:val="0008578D"/>
    <w:rsid w:val="0008744D"/>
    <w:rsid w:val="000A1103"/>
    <w:rsid w:val="000A46A7"/>
    <w:rsid w:val="000A730A"/>
    <w:rsid w:val="000A7922"/>
    <w:rsid w:val="000B39CC"/>
    <w:rsid w:val="000B661F"/>
    <w:rsid w:val="000D337F"/>
    <w:rsid w:val="000E338B"/>
    <w:rsid w:val="000E5B40"/>
    <w:rsid w:val="000E7932"/>
    <w:rsid w:val="000F0B02"/>
    <w:rsid w:val="000F3040"/>
    <w:rsid w:val="000F51B5"/>
    <w:rsid w:val="00105A4E"/>
    <w:rsid w:val="0011793D"/>
    <w:rsid w:val="00120571"/>
    <w:rsid w:val="001227F5"/>
    <w:rsid w:val="0012453B"/>
    <w:rsid w:val="001252D7"/>
    <w:rsid w:val="00125C39"/>
    <w:rsid w:val="0013001E"/>
    <w:rsid w:val="00133CC4"/>
    <w:rsid w:val="00134533"/>
    <w:rsid w:val="00136F80"/>
    <w:rsid w:val="00144FE7"/>
    <w:rsid w:val="00146221"/>
    <w:rsid w:val="001536FD"/>
    <w:rsid w:val="001638DF"/>
    <w:rsid w:val="00167718"/>
    <w:rsid w:val="00172394"/>
    <w:rsid w:val="00185AEF"/>
    <w:rsid w:val="001878A5"/>
    <w:rsid w:val="00191B0B"/>
    <w:rsid w:val="001A5A7D"/>
    <w:rsid w:val="001B25B0"/>
    <w:rsid w:val="001B2F7D"/>
    <w:rsid w:val="001B6B09"/>
    <w:rsid w:val="001B73A5"/>
    <w:rsid w:val="001C09BF"/>
    <w:rsid w:val="001D0A6C"/>
    <w:rsid w:val="001D38BA"/>
    <w:rsid w:val="001E1792"/>
    <w:rsid w:val="001E4DD4"/>
    <w:rsid w:val="001E5FFF"/>
    <w:rsid w:val="001E7B88"/>
    <w:rsid w:val="001F16F2"/>
    <w:rsid w:val="001F175D"/>
    <w:rsid w:val="001F2EC6"/>
    <w:rsid w:val="001F78F8"/>
    <w:rsid w:val="0020500B"/>
    <w:rsid w:val="002105E1"/>
    <w:rsid w:val="00213E82"/>
    <w:rsid w:val="002142AD"/>
    <w:rsid w:val="00217842"/>
    <w:rsid w:val="0022618E"/>
    <w:rsid w:val="00231793"/>
    <w:rsid w:val="002331B0"/>
    <w:rsid w:val="002373DA"/>
    <w:rsid w:val="002608D8"/>
    <w:rsid w:val="002622FF"/>
    <w:rsid w:val="0026644C"/>
    <w:rsid w:val="00266747"/>
    <w:rsid w:val="00267896"/>
    <w:rsid w:val="00271CD5"/>
    <w:rsid w:val="002733EC"/>
    <w:rsid w:val="002842C7"/>
    <w:rsid w:val="00294158"/>
    <w:rsid w:val="002956DB"/>
    <w:rsid w:val="00296C30"/>
    <w:rsid w:val="00297CFD"/>
    <w:rsid w:val="002A30B4"/>
    <w:rsid w:val="002B1618"/>
    <w:rsid w:val="002B6F35"/>
    <w:rsid w:val="002B759A"/>
    <w:rsid w:val="002B7B39"/>
    <w:rsid w:val="002C348C"/>
    <w:rsid w:val="002E2490"/>
    <w:rsid w:val="002E5279"/>
    <w:rsid w:val="002F43FD"/>
    <w:rsid w:val="002F4823"/>
    <w:rsid w:val="002F692F"/>
    <w:rsid w:val="002F6E7F"/>
    <w:rsid w:val="00301C4A"/>
    <w:rsid w:val="00303871"/>
    <w:rsid w:val="00304028"/>
    <w:rsid w:val="00305C5F"/>
    <w:rsid w:val="00305E98"/>
    <w:rsid w:val="003212AF"/>
    <w:rsid w:val="00322D89"/>
    <w:rsid w:val="00323254"/>
    <w:rsid w:val="00325921"/>
    <w:rsid w:val="003362FB"/>
    <w:rsid w:val="00342478"/>
    <w:rsid w:val="00351719"/>
    <w:rsid w:val="00366A12"/>
    <w:rsid w:val="00366E3B"/>
    <w:rsid w:val="00371AB9"/>
    <w:rsid w:val="00373B6B"/>
    <w:rsid w:val="00385F83"/>
    <w:rsid w:val="00386384"/>
    <w:rsid w:val="00395B71"/>
    <w:rsid w:val="003A09A6"/>
    <w:rsid w:val="003A2DC3"/>
    <w:rsid w:val="003A500B"/>
    <w:rsid w:val="003A5978"/>
    <w:rsid w:val="003B3F0A"/>
    <w:rsid w:val="003B7BCC"/>
    <w:rsid w:val="003D162B"/>
    <w:rsid w:val="003D3F39"/>
    <w:rsid w:val="003D50FD"/>
    <w:rsid w:val="003E0C90"/>
    <w:rsid w:val="003F0BCC"/>
    <w:rsid w:val="00405976"/>
    <w:rsid w:val="00407A4C"/>
    <w:rsid w:val="00407BF1"/>
    <w:rsid w:val="004168FF"/>
    <w:rsid w:val="00421218"/>
    <w:rsid w:val="00423759"/>
    <w:rsid w:val="00424218"/>
    <w:rsid w:val="004247F6"/>
    <w:rsid w:val="0042742D"/>
    <w:rsid w:val="004353E8"/>
    <w:rsid w:val="00436386"/>
    <w:rsid w:val="00441226"/>
    <w:rsid w:val="0044177D"/>
    <w:rsid w:val="00443D8B"/>
    <w:rsid w:val="0044588F"/>
    <w:rsid w:val="004513A4"/>
    <w:rsid w:val="00454EF3"/>
    <w:rsid w:val="004569E6"/>
    <w:rsid w:val="00457B5F"/>
    <w:rsid w:val="004761C5"/>
    <w:rsid w:val="00482696"/>
    <w:rsid w:val="0048524C"/>
    <w:rsid w:val="0049092E"/>
    <w:rsid w:val="00490E1F"/>
    <w:rsid w:val="004A257B"/>
    <w:rsid w:val="004A42A8"/>
    <w:rsid w:val="004A5286"/>
    <w:rsid w:val="004A5C56"/>
    <w:rsid w:val="004B0844"/>
    <w:rsid w:val="004D5EEC"/>
    <w:rsid w:val="004E31B1"/>
    <w:rsid w:val="004F44E1"/>
    <w:rsid w:val="00501F2B"/>
    <w:rsid w:val="005104A4"/>
    <w:rsid w:val="00516A72"/>
    <w:rsid w:val="005344E9"/>
    <w:rsid w:val="00537904"/>
    <w:rsid w:val="005411AC"/>
    <w:rsid w:val="005416B5"/>
    <w:rsid w:val="00546998"/>
    <w:rsid w:val="00553AED"/>
    <w:rsid w:val="005579CC"/>
    <w:rsid w:val="00566D23"/>
    <w:rsid w:val="0057286E"/>
    <w:rsid w:val="00582D53"/>
    <w:rsid w:val="00582F80"/>
    <w:rsid w:val="00592B29"/>
    <w:rsid w:val="005A0AE2"/>
    <w:rsid w:val="005A1705"/>
    <w:rsid w:val="005A3C94"/>
    <w:rsid w:val="005A4E97"/>
    <w:rsid w:val="005B440F"/>
    <w:rsid w:val="005C14B9"/>
    <w:rsid w:val="005C492A"/>
    <w:rsid w:val="005D0ADF"/>
    <w:rsid w:val="005D35F4"/>
    <w:rsid w:val="005D5CD3"/>
    <w:rsid w:val="005D6235"/>
    <w:rsid w:val="005E1C1E"/>
    <w:rsid w:val="005E20BF"/>
    <w:rsid w:val="005E21A4"/>
    <w:rsid w:val="005E55E5"/>
    <w:rsid w:val="005E6899"/>
    <w:rsid w:val="005F34BE"/>
    <w:rsid w:val="00602C82"/>
    <w:rsid w:val="00604B7F"/>
    <w:rsid w:val="00605F4E"/>
    <w:rsid w:val="006067D1"/>
    <w:rsid w:val="00622FDE"/>
    <w:rsid w:val="00627751"/>
    <w:rsid w:val="00631813"/>
    <w:rsid w:val="00643200"/>
    <w:rsid w:val="0064697B"/>
    <w:rsid w:val="00654597"/>
    <w:rsid w:val="0066651E"/>
    <w:rsid w:val="00670AD4"/>
    <w:rsid w:val="006748F2"/>
    <w:rsid w:val="00690AD8"/>
    <w:rsid w:val="00692AFE"/>
    <w:rsid w:val="0069711B"/>
    <w:rsid w:val="006A7E31"/>
    <w:rsid w:val="006B0CB7"/>
    <w:rsid w:val="006B18ED"/>
    <w:rsid w:val="006B32C4"/>
    <w:rsid w:val="006B458C"/>
    <w:rsid w:val="006D0D93"/>
    <w:rsid w:val="006D1E64"/>
    <w:rsid w:val="006E0F6A"/>
    <w:rsid w:val="006F6064"/>
    <w:rsid w:val="007138F7"/>
    <w:rsid w:val="00734455"/>
    <w:rsid w:val="00741FA4"/>
    <w:rsid w:val="00752117"/>
    <w:rsid w:val="00756981"/>
    <w:rsid w:val="0076513F"/>
    <w:rsid w:val="0076606E"/>
    <w:rsid w:val="0076688C"/>
    <w:rsid w:val="007725F1"/>
    <w:rsid w:val="007740F4"/>
    <w:rsid w:val="00783DD1"/>
    <w:rsid w:val="00785373"/>
    <w:rsid w:val="007861F8"/>
    <w:rsid w:val="00791D9A"/>
    <w:rsid w:val="007A110A"/>
    <w:rsid w:val="007E2F85"/>
    <w:rsid w:val="007E3AD0"/>
    <w:rsid w:val="007F4594"/>
    <w:rsid w:val="00800DC6"/>
    <w:rsid w:val="00806029"/>
    <w:rsid w:val="0082565D"/>
    <w:rsid w:val="00826F41"/>
    <w:rsid w:val="0082751E"/>
    <w:rsid w:val="00836B26"/>
    <w:rsid w:val="00851EDE"/>
    <w:rsid w:val="00852744"/>
    <w:rsid w:val="00853AA5"/>
    <w:rsid w:val="00853BBB"/>
    <w:rsid w:val="008627DC"/>
    <w:rsid w:val="00875E15"/>
    <w:rsid w:val="00881BBF"/>
    <w:rsid w:val="00883234"/>
    <w:rsid w:val="008850AB"/>
    <w:rsid w:val="0088576E"/>
    <w:rsid w:val="00892757"/>
    <w:rsid w:val="00894947"/>
    <w:rsid w:val="008953CC"/>
    <w:rsid w:val="00897E59"/>
    <w:rsid w:val="008A30EF"/>
    <w:rsid w:val="008A4753"/>
    <w:rsid w:val="008A687B"/>
    <w:rsid w:val="008B2320"/>
    <w:rsid w:val="008B5E3A"/>
    <w:rsid w:val="008B7386"/>
    <w:rsid w:val="008B7CB3"/>
    <w:rsid w:val="008C3D16"/>
    <w:rsid w:val="008D547F"/>
    <w:rsid w:val="008F4962"/>
    <w:rsid w:val="00901757"/>
    <w:rsid w:val="009017FF"/>
    <w:rsid w:val="0090350D"/>
    <w:rsid w:val="00907FF7"/>
    <w:rsid w:val="00913550"/>
    <w:rsid w:val="0091570E"/>
    <w:rsid w:val="0091D133"/>
    <w:rsid w:val="009222D4"/>
    <w:rsid w:val="009241F2"/>
    <w:rsid w:val="0093507A"/>
    <w:rsid w:val="009362CB"/>
    <w:rsid w:val="00943AA1"/>
    <w:rsid w:val="0095074F"/>
    <w:rsid w:val="00951787"/>
    <w:rsid w:val="00953D67"/>
    <w:rsid w:val="009612E5"/>
    <w:rsid w:val="009730E7"/>
    <w:rsid w:val="0097692F"/>
    <w:rsid w:val="0098140C"/>
    <w:rsid w:val="00985727"/>
    <w:rsid w:val="00991F96"/>
    <w:rsid w:val="009A0C49"/>
    <w:rsid w:val="009A2F1E"/>
    <w:rsid w:val="009A594D"/>
    <w:rsid w:val="009B6457"/>
    <w:rsid w:val="009C4244"/>
    <w:rsid w:val="009C684D"/>
    <w:rsid w:val="009D1521"/>
    <w:rsid w:val="009E5F3D"/>
    <w:rsid w:val="009E7543"/>
    <w:rsid w:val="009F0446"/>
    <w:rsid w:val="009F5825"/>
    <w:rsid w:val="009F6014"/>
    <w:rsid w:val="00A1714B"/>
    <w:rsid w:val="00A2645C"/>
    <w:rsid w:val="00A2720A"/>
    <w:rsid w:val="00A27AE3"/>
    <w:rsid w:val="00A4022A"/>
    <w:rsid w:val="00A50E05"/>
    <w:rsid w:val="00A61F00"/>
    <w:rsid w:val="00A64C8C"/>
    <w:rsid w:val="00A66375"/>
    <w:rsid w:val="00A66D18"/>
    <w:rsid w:val="00A70B89"/>
    <w:rsid w:val="00A74B96"/>
    <w:rsid w:val="00A91B36"/>
    <w:rsid w:val="00A93ED6"/>
    <w:rsid w:val="00AA321F"/>
    <w:rsid w:val="00AB7BDF"/>
    <w:rsid w:val="00AC1B47"/>
    <w:rsid w:val="00AC46D9"/>
    <w:rsid w:val="00AD0BAB"/>
    <w:rsid w:val="00AD5496"/>
    <w:rsid w:val="00AE39A6"/>
    <w:rsid w:val="00AE3F1A"/>
    <w:rsid w:val="00B11DD8"/>
    <w:rsid w:val="00B2190D"/>
    <w:rsid w:val="00B2577D"/>
    <w:rsid w:val="00B32AD2"/>
    <w:rsid w:val="00B55BCC"/>
    <w:rsid w:val="00B57765"/>
    <w:rsid w:val="00B7269B"/>
    <w:rsid w:val="00B7678F"/>
    <w:rsid w:val="00B82A49"/>
    <w:rsid w:val="00B90BD9"/>
    <w:rsid w:val="00BA3710"/>
    <w:rsid w:val="00BB311C"/>
    <w:rsid w:val="00BB3D53"/>
    <w:rsid w:val="00BD66B1"/>
    <w:rsid w:val="00BE0D9B"/>
    <w:rsid w:val="00BE6F91"/>
    <w:rsid w:val="00BF3B14"/>
    <w:rsid w:val="00C01C23"/>
    <w:rsid w:val="00C04826"/>
    <w:rsid w:val="00C1EB4A"/>
    <w:rsid w:val="00C2189F"/>
    <w:rsid w:val="00C33DCE"/>
    <w:rsid w:val="00C3752A"/>
    <w:rsid w:val="00C41B2A"/>
    <w:rsid w:val="00C41FCD"/>
    <w:rsid w:val="00C43F4A"/>
    <w:rsid w:val="00C46164"/>
    <w:rsid w:val="00C523D6"/>
    <w:rsid w:val="00C808C0"/>
    <w:rsid w:val="00C82662"/>
    <w:rsid w:val="00C930A3"/>
    <w:rsid w:val="00C94429"/>
    <w:rsid w:val="00CB6B64"/>
    <w:rsid w:val="00CC00D1"/>
    <w:rsid w:val="00CC3A22"/>
    <w:rsid w:val="00CD4CE6"/>
    <w:rsid w:val="00CE1757"/>
    <w:rsid w:val="00CE35B2"/>
    <w:rsid w:val="00CE7235"/>
    <w:rsid w:val="00D00E38"/>
    <w:rsid w:val="00D132DD"/>
    <w:rsid w:val="00D228D5"/>
    <w:rsid w:val="00D24AA3"/>
    <w:rsid w:val="00D35E37"/>
    <w:rsid w:val="00D37E46"/>
    <w:rsid w:val="00D4395F"/>
    <w:rsid w:val="00D56CA8"/>
    <w:rsid w:val="00D57826"/>
    <w:rsid w:val="00D63927"/>
    <w:rsid w:val="00D83EE2"/>
    <w:rsid w:val="00D936DD"/>
    <w:rsid w:val="00D94C5F"/>
    <w:rsid w:val="00D97AE5"/>
    <w:rsid w:val="00DA1416"/>
    <w:rsid w:val="00DA2A01"/>
    <w:rsid w:val="00DA6F0B"/>
    <w:rsid w:val="00DB470F"/>
    <w:rsid w:val="00DC3384"/>
    <w:rsid w:val="00DC3B49"/>
    <w:rsid w:val="00DC41AE"/>
    <w:rsid w:val="00DD2477"/>
    <w:rsid w:val="00DD3AA1"/>
    <w:rsid w:val="00DD538C"/>
    <w:rsid w:val="00DD589C"/>
    <w:rsid w:val="00DD7CE3"/>
    <w:rsid w:val="00DE0513"/>
    <w:rsid w:val="00DE4CA8"/>
    <w:rsid w:val="00DF1E92"/>
    <w:rsid w:val="00E017F3"/>
    <w:rsid w:val="00E24BC8"/>
    <w:rsid w:val="00E25B56"/>
    <w:rsid w:val="00E32215"/>
    <w:rsid w:val="00E35297"/>
    <w:rsid w:val="00E368A4"/>
    <w:rsid w:val="00E37E81"/>
    <w:rsid w:val="00E4031D"/>
    <w:rsid w:val="00E4512E"/>
    <w:rsid w:val="00E45D5B"/>
    <w:rsid w:val="00E604C9"/>
    <w:rsid w:val="00E65271"/>
    <w:rsid w:val="00E67372"/>
    <w:rsid w:val="00E70E19"/>
    <w:rsid w:val="00E725DA"/>
    <w:rsid w:val="00E7262E"/>
    <w:rsid w:val="00E7382B"/>
    <w:rsid w:val="00E8520A"/>
    <w:rsid w:val="00E91896"/>
    <w:rsid w:val="00ED004D"/>
    <w:rsid w:val="00EE0B78"/>
    <w:rsid w:val="00EE51EC"/>
    <w:rsid w:val="00EE666F"/>
    <w:rsid w:val="00EF2558"/>
    <w:rsid w:val="00F0416B"/>
    <w:rsid w:val="00F12FE5"/>
    <w:rsid w:val="00F2634E"/>
    <w:rsid w:val="00F50641"/>
    <w:rsid w:val="00F5087C"/>
    <w:rsid w:val="00F525F0"/>
    <w:rsid w:val="00F53E6C"/>
    <w:rsid w:val="00F62390"/>
    <w:rsid w:val="00F62A0B"/>
    <w:rsid w:val="00F71B1E"/>
    <w:rsid w:val="00F74834"/>
    <w:rsid w:val="00F81225"/>
    <w:rsid w:val="00F85684"/>
    <w:rsid w:val="00F86E83"/>
    <w:rsid w:val="00F913A7"/>
    <w:rsid w:val="00F94CBA"/>
    <w:rsid w:val="00FA3DED"/>
    <w:rsid w:val="00FB0547"/>
    <w:rsid w:val="00FB3BD6"/>
    <w:rsid w:val="00FB4C39"/>
    <w:rsid w:val="00FC1B85"/>
    <w:rsid w:val="00FD41A6"/>
    <w:rsid w:val="00FD548B"/>
    <w:rsid w:val="00FE0E6E"/>
    <w:rsid w:val="00FE6D9F"/>
    <w:rsid w:val="00FF1F91"/>
    <w:rsid w:val="019C0D6C"/>
    <w:rsid w:val="04B23ACD"/>
    <w:rsid w:val="0699675B"/>
    <w:rsid w:val="08BC7CAE"/>
    <w:rsid w:val="110F1E7E"/>
    <w:rsid w:val="111E3E0C"/>
    <w:rsid w:val="1936E1C7"/>
    <w:rsid w:val="1DEB5C48"/>
    <w:rsid w:val="251975B7"/>
    <w:rsid w:val="2DE81D2D"/>
    <w:rsid w:val="2FA9AEC9"/>
    <w:rsid w:val="3307F332"/>
    <w:rsid w:val="36B1A256"/>
    <w:rsid w:val="3E427D23"/>
    <w:rsid w:val="40F96813"/>
    <w:rsid w:val="441AAED4"/>
    <w:rsid w:val="4BD7775E"/>
    <w:rsid w:val="4C675989"/>
    <w:rsid w:val="4F28D786"/>
    <w:rsid w:val="516F62AC"/>
    <w:rsid w:val="57FF45F7"/>
    <w:rsid w:val="59932C46"/>
    <w:rsid w:val="59FCF649"/>
    <w:rsid w:val="6AE695E5"/>
    <w:rsid w:val="736833E2"/>
    <w:rsid w:val="7483EF60"/>
    <w:rsid w:val="75DA4BB5"/>
    <w:rsid w:val="786215F9"/>
    <w:rsid w:val="7A43EA91"/>
    <w:rsid w:val="7E3786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link w:val="TextoindependienteCar"/>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Asuntodelcomentario">
    <w:name w:val="annotation subject"/>
    <w:basedOn w:val="Textocomentario"/>
    <w:next w:val="Textocomentario"/>
    <w:link w:val="AsuntodelcomentarioCar"/>
    <w:rsid w:val="00266747"/>
    <w:rPr>
      <w:b/>
      <w:bCs/>
    </w:rPr>
  </w:style>
  <w:style w:type="character" w:customStyle="1" w:styleId="AsuntodelcomentarioCar">
    <w:name w:val="Asunto del comentario Car"/>
    <w:basedOn w:val="TextocomentarioCar"/>
    <w:link w:val="Asuntodelcomentario"/>
    <w:rsid w:val="00266747"/>
    <w:rPr>
      <w:b/>
      <w:bCs/>
      <w:lang w:val="es-ES" w:eastAsia="es-ES"/>
    </w:rPr>
  </w:style>
  <w:style w:type="character" w:customStyle="1" w:styleId="TextoindependienteCar">
    <w:name w:val="Texto independiente Car"/>
    <w:basedOn w:val="Fuentedeprrafopredeter"/>
    <w:link w:val="Textoindependiente"/>
    <w:rsid w:val="00BF3B14"/>
    <w:rPr>
      <w:sz w:val="24"/>
      <w:szCs w:val="24"/>
      <w:lang w:val="es-ES" w:eastAsia="es-ES"/>
    </w:rPr>
  </w:style>
  <w:style w:type="paragraph" w:styleId="Sinespaciado">
    <w:name w:val="No Spacing"/>
    <w:uiPriority w:val="1"/>
    <w:qFormat/>
    <w:rsid w:val="0095074F"/>
    <w:rPr>
      <w:sz w:val="24"/>
      <w:szCs w:val="24"/>
      <w:lang w:val="es-ES" w:eastAsia="es-ES"/>
    </w:rPr>
  </w:style>
  <w:style w:type="character" w:customStyle="1" w:styleId="superscript">
    <w:name w:val="superscript"/>
    <w:basedOn w:val="Fuentedeprrafopredeter"/>
    <w:rsid w:val="0078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1770">
      <w:bodyDiv w:val="1"/>
      <w:marLeft w:val="0"/>
      <w:marRight w:val="0"/>
      <w:marTop w:val="0"/>
      <w:marBottom w:val="0"/>
      <w:divBdr>
        <w:top w:val="none" w:sz="0" w:space="0" w:color="auto"/>
        <w:left w:val="none" w:sz="0" w:space="0" w:color="auto"/>
        <w:bottom w:val="none" w:sz="0" w:space="0" w:color="auto"/>
        <w:right w:val="none" w:sz="0" w:space="0" w:color="auto"/>
      </w:divBdr>
    </w:div>
    <w:div w:id="176819029">
      <w:bodyDiv w:val="1"/>
      <w:marLeft w:val="0"/>
      <w:marRight w:val="0"/>
      <w:marTop w:val="0"/>
      <w:marBottom w:val="0"/>
      <w:divBdr>
        <w:top w:val="none" w:sz="0" w:space="0" w:color="auto"/>
        <w:left w:val="none" w:sz="0" w:space="0" w:color="auto"/>
        <w:bottom w:val="none" w:sz="0" w:space="0" w:color="auto"/>
        <w:right w:val="none" w:sz="0" w:space="0" w:color="auto"/>
      </w:divBdr>
    </w:div>
    <w:div w:id="270599383">
      <w:bodyDiv w:val="1"/>
      <w:marLeft w:val="0"/>
      <w:marRight w:val="0"/>
      <w:marTop w:val="0"/>
      <w:marBottom w:val="0"/>
      <w:divBdr>
        <w:top w:val="none" w:sz="0" w:space="0" w:color="auto"/>
        <w:left w:val="none" w:sz="0" w:space="0" w:color="auto"/>
        <w:bottom w:val="none" w:sz="0" w:space="0" w:color="auto"/>
        <w:right w:val="none" w:sz="0" w:space="0" w:color="auto"/>
      </w:divBdr>
    </w:div>
    <w:div w:id="379478319">
      <w:bodyDiv w:val="1"/>
      <w:marLeft w:val="0"/>
      <w:marRight w:val="0"/>
      <w:marTop w:val="0"/>
      <w:marBottom w:val="0"/>
      <w:divBdr>
        <w:top w:val="none" w:sz="0" w:space="0" w:color="auto"/>
        <w:left w:val="none" w:sz="0" w:space="0" w:color="auto"/>
        <w:bottom w:val="none" w:sz="0" w:space="0" w:color="auto"/>
        <w:right w:val="none" w:sz="0" w:space="0" w:color="auto"/>
      </w:divBdr>
    </w:div>
    <w:div w:id="521820661">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779684555">
      <w:bodyDiv w:val="1"/>
      <w:marLeft w:val="0"/>
      <w:marRight w:val="0"/>
      <w:marTop w:val="0"/>
      <w:marBottom w:val="0"/>
      <w:divBdr>
        <w:top w:val="none" w:sz="0" w:space="0" w:color="auto"/>
        <w:left w:val="none" w:sz="0" w:space="0" w:color="auto"/>
        <w:bottom w:val="none" w:sz="0" w:space="0" w:color="auto"/>
        <w:right w:val="none" w:sz="0" w:space="0" w:color="auto"/>
      </w:divBdr>
    </w:div>
    <w:div w:id="1053850031">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 w:id="1978492415">
      <w:bodyDiv w:val="1"/>
      <w:marLeft w:val="0"/>
      <w:marRight w:val="0"/>
      <w:marTop w:val="0"/>
      <w:marBottom w:val="0"/>
      <w:divBdr>
        <w:top w:val="none" w:sz="0" w:space="0" w:color="auto"/>
        <w:left w:val="none" w:sz="0" w:space="0" w:color="auto"/>
        <w:bottom w:val="none" w:sz="0" w:space="0" w:color="auto"/>
        <w:right w:val="none" w:sz="0" w:space="0" w:color="auto"/>
      </w:divBdr>
      <w:divsChild>
        <w:div w:id="1572814977">
          <w:marLeft w:val="0"/>
          <w:marRight w:val="0"/>
          <w:marTop w:val="0"/>
          <w:marBottom w:val="0"/>
          <w:divBdr>
            <w:top w:val="none" w:sz="0" w:space="0" w:color="auto"/>
            <w:left w:val="none" w:sz="0" w:space="0" w:color="auto"/>
            <w:bottom w:val="none" w:sz="0" w:space="0" w:color="auto"/>
            <w:right w:val="none" w:sz="0" w:space="0" w:color="auto"/>
          </w:divBdr>
        </w:div>
        <w:div w:id="610086424">
          <w:marLeft w:val="0"/>
          <w:marRight w:val="0"/>
          <w:marTop w:val="0"/>
          <w:marBottom w:val="0"/>
          <w:divBdr>
            <w:top w:val="none" w:sz="0" w:space="0" w:color="auto"/>
            <w:left w:val="none" w:sz="0" w:space="0" w:color="auto"/>
            <w:bottom w:val="none" w:sz="0" w:space="0" w:color="auto"/>
            <w:right w:val="none" w:sz="0" w:space="0" w:color="auto"/>
          </w:divBdr>
        </w:div>
        <w:div w:id="1819224455">
          <w:marLeft w:val="0"/>
          <w:marRight w:val="0"/>
          <w:marTop w:val="0"/>
          <w:marBottom w:val="0"/>
          <w:divBdr>
            <w:top w:val="none" w:sz="0" w:space="0" w:color="auto"/>
            <w:left w:val="none" w:sz="0" w:space="0" w:color="auto"/>
            <w:bottom w:val="none" w:sz="0" w:space="0" w:color="auto"/>
            <w:right w:val="none" w:sz="0" w:space="0" w:color="auto"/>
          </w:divBdr>
        </w:div>
        <w:div w:id="632752889">
          <w:marLeft w:val="0"/>
          <w:marRight w:val="0"/>
          <w:marTop w:val="0"/>
          <w:marBottom w:val="0"/>
          <w:divBdr>
            <w:top w:val="none" w:sz="0" w:space="0" w:color="auto"/>
            <w:left w:val="none" w:sz="0" w:space="0" w:color="auto"/>
            <w:bottom w:val="none" w:sz="0" w:space="0" w:color="auto"/>
            <w:right w:val="none" w:sz="0" w:space="0" w:color="auto"/>
          </w:divBdr>
        </w:div>
        <w:div w:id="165829130">
          <w:marLeft w:val="0"/>
          <w:marRight w:val="0"/>
          <w:marTop w:val="0"/>
          <w:marBottom w:val="0"/>
          <w:divBdr>
            <w:top w:val="none" w:sz="0" w:space="0" w:color="auto"/>
            <w:left w:val="none" w:sz="0" w:space="0" w:color="auto"/>
            <w:bottom w:val="none" w:sz="0" w:space="0" w:color="auto"/>
            <w:right w:val="none" w:sz="0" w:space="0" w:color="auto"/>
          </w:divBdr>
        </w:div>
        <w:div w:id="1660957384">
          <w:marLeft w:val="0"/>
          <w:marRight w:val="0"/>
          <w:marTop w:val="0"/>
          <w:marBottom w:val="0"/>
          <w:divBdr>
            <w:top w:val="none" w:sz="0" w:space="0" w:color="auto"/>
            <w:left w:val="none" w:sz="0" w:space="0" w:color="auto"/>
            <w:bottom w:val="none" w:sz="0" w:space="0" w:color="auto"/>
            <w:right w:val="none" w:sz="0" w:space="0" w:color="auto"/>
          </w:divBdr>
        </w:div>
        <w:div w:id="893079661">
          <w:marLeft w:val="0"/>
          <w:marRight w:val="0"/>
          <w:marTop w:val="0"/>
          <w:marBottom w:val="0"/>
          <w:divBdr>
            <w:top w:val="none" w:sz="0" w:space="0" w:color="auto"/>
            <w:left w:val="none" w:sz="0" w:space="0" w:color="auto"/>
            <w:bottom w:val="none" w:sz="0" w:space="0" w:color="auto"/>
            <w:right w:val="none" w:sz="0" w:space="0" w:color="auto"/>
          </w:divBdr>
        </w:div>
      </w:divsChild>
    </w:div>
    <w:div w:id="20839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2452b81f1f494124"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330133CC-61C8-4F91-8EF6-53EF83C7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ED813486-0A70-4F92-A8A0-B6B12766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2824</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11</cp:revision>
  <cp:lastPrinted>2011-07-28T20:53:00Z</cp:lastPrinted>
  <dcterms:created xsi:type="dcterms:W3CDTF">2023-05-11T00:29:00Z</dcterms:created>
  <dcterms:modified xsi:type="dcterms:W3CDTF">2023-07-10T14:13:00Z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57086300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