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74F67" w14:textId="77777777" w:rsidR="001D641C" w:rsidRPr="001D641C" w:rsidRDefault="001D641C" w:rsidP="001D641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30j0zll"/>
      <w:bookmarkStart w:id="1" w:name="_Hlk136339010"/>
      <w:bookmarkStart w:id="2" w:name="_Hlk117163896"/>
      <w:bookmarkStart w:id="3" w:name="_Hlk138835899"/>
      <w:bookmarkStart w:id="4" w:name="_GoBack"/>
      <w:bookmarkEnd w:id="0"/>
      <w:bookmarkEnd w:id="4"/>
      <w:r w:rsidRPr="001D641C">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1DDD883" w14:textId="77777777" w:rsidR="001D641C" w:rsidRPr="001D641C" w:rsidRDefault="001D641C" w:rsidP="001D641C">
      <w:pPr>
        <w:spacing w:after="0" w:line="240" w:lineRule="auto"/>
        <w:jc w:val="both"/>
        <w:rPr>
          <w:rFonts w:ascii="Arial" w:eastAsia="Times New Roman" w:hAnsi="Arial" w:cs="Arial"/>
          <w:sz w:val="20"/>
          <w:szCs w:val="20"/>
          <w:lang w:val="es-419" w:eastAsia="es-ES"/>
        </w:rPr>
      </w:pPr>
    </w:p>
    <w:p w14:paraId="663A7C66" w14:textId="02F2FA84" w:rsidR="001D641C" w:rsidRPr="001D641C" w:rsidRDefault="001D641C" w:rsidP="001D641C">
      <w:pPr>
        <w:spacing w:after="0" w:line="240" w:lineRule="auto"/>
        <w:jc w:val="both"/>
        <w:rPr>
          <w:rFonts w:ascii="Arial" w:eastAsia="Tahoma" w:hAnsi="Arial" w:cs="Arial"/>
          <w:sz w:val="20"/>
          <w:szCs w:val="20"/>
          <w:lang w:val="es-419" w:eastAsia="es-ES"/>
        </w:rPr>
      </w:pPr>
      <w:r w:rsidRPr="001D641C">
        <w:rPr>
          <w:rFonts w:ascii="Arial" w:eastAsia="Tahoma" w:hAnsi="Arial" w:cs="Arial"/>
          <w:sz w:val="20"/>
          <w:szCs w:val="20"/>
          <w:lang w:val="es-419" w:eastAsia="es-ES"/>
        </w:rPr>
        <w:t>Radicación No.:</w:t>
      </w:r>
      <w:r>
        <w:rPr>
          <w:rFonts w:ascii="Arial" w:eastAsia="Tahoma" w:hAnsi="Arial" w:cs="Arial"/>
          <w:sz w:val="20"/>
          <w:szCs w:val="20"/>
          <w:lang w:val="es-419" w:eastAsia="es-ES"/>
        </w:rPr>
        <w:tab/>
      </w:r>
      <w:r>
        <w:rPr>
          <w:rFonts w:ascii="Arial" w:eastAsia="Tahoma" w:hAnsi="Arial" w:cs="Arial"/>
          <w:sz w:val="20"/>
          <w:szCs w:val="20"/>
          <w:lang w:val="es-419" w:eastAsia="es-ES"/>
        </w:rPr>
        <w:tab/>
      </w:r>
      <w:r w:rsidRPr="001D641C">
        <w:rPr>
          <w:rFonts w:ascii="Arial" w:eastAsia="Tahoma" w:hAnsi="Arial" w:cs="Arial"/>
          <w:sz w:val="20"/>
          <w:szCs w:val="20"/>
          <w:lang w:val="es-419" w:eastAsia="es-ES"/>
        </w:rPr>
        <w:t>66001-31-05-004-2021-00200-01</w:t>
      </w:r>
    </w:p>
    <w:p w14:paraId="6CC3388F" w14:textId="39C5DCFC" w:rsidR="001D641C" w:rsidRPr="001D641C" w:rsidRDefault="001D641C" w:rsidP="001D641C">
      <w:pPr>
        <w:spacing w:after="0" w:line="240" w:lineRule="auto"/>
        <w:jc w:val="both"/>
        <w:rPr>
          <w:rFonts w:ascii="Arial" w:eastAsia="Tahoma" w:hAnsi="Arial" w:cs="Arial"/>
          <w:sz w:val="20"/>
          <w:szCs w:val="20"/>
          <w:lang w:val="es-419" w:eastAsia="es-ES"/>
        </w:rPr>
      </w:pPr>
      <w:r w:rsidRPr="001D641C">
        <w:rPr>
          <w:rFonts w:ascii="Arial" w:eastAsia="Tahoma" w:hAnsi="Arial" w:cs="Arial"/>
          <w:sz w:val="20"/>
          <w:szCs w:val="20"/>
          <w:lang w:val="es-419" w:eastAsia="es-ES"/>
        </w:rPr>
        <w:t>Proceso:</w:t>
      </w:r>
      <w:r>
        <w:rPr>
          <w:rFonts w:ascii="Arial" w:eastAsia="Tahoma" w:hAnsi="Arial" w:cs="Arial"/>
          <w:sz w:val="20"/>
          <w:szCs w:val="20"/>
          <w:lang w:val="es-419" w:eastAsia="es-ES"/>
        </w:rPr>
        <w:tab/>
      </w:r>
      <w:r>
        <w:rPr>
          <w:rFonts w:ascii="Arial" w:eastAsia="Tahoma" w:hAnsi="Arial" w:cs="Arial"/>
          <w:sz w:val="20"/>
          <w:szCs w:val="20"/>
          <w:lang w:val="es-419" w:eastAsia="es-ES"/>
        </w:rPr>
        <w:tab/>
      </w:r>
      <w:r w:rsidRPr="001D641C">
        <w:rPr>
          <w:rFonts w:ascii="Arial" w:eastAsia="Tahoma" w:hAnsi="Arial" w:cs="Arial"/>
          <w:sz w:val="20"/>
          <w:szCs w:val="20"/>
          <w:lang w:val="es-419" w:eastAsia="es-ES"/>
        </w:rPr>
        <w:t xml:space="preserve">Ordinario Laboral </w:t>
      </w:r>
    </w:p>
    <w:p w14:paraId="185DA82F" w14:textId="090C5BFD" w:rsidR="001D641C" w:rsidRPr="001D641C" w:rsidRDefault="001D641C" w:rsidP="001D641C">
      <w:pPr>
        <w:spacing w:after="0" w:line="240" w:lineRule="auto"/>
        <w:jc w:val="both"/>
        <w:rPr>
          <w:rFonts w:ascii="Arial" w:eastAsia="Tahoma" w:hAnsi="Arial" w:cs="Arial"/>
          <w:sz w:val="20"/>
          <w:szCs w:val="20"/>
          <w:lang w:val="es-419" w:eastAsia="es-ES"/>
        </w:rPr>
      </w:pPr>
      <w:r w:rsidRPr="001D641C">
        <w:rPr>
          <w:rFonts w:ascii="Arial" w:eastAsia="Tahoma" w:hAnsi="Arial" w:cs="Arial"/>
          <w:sz w:val="20"/>
          <w:szCs w:val="20"/>
          <w:lang w:val="es-419" w:eastAsia="es-ES"/>
        </w:rPr>
        <w:t>Demandante:</w:t>
      </w:r>
      <w:r>
        <w:rPr>
          <w:rFonts w:ascii="Arial" w:eastAsia="Tahoma" w:hAnsi="Arial" w:cs="Arial"/>
          <w:sz w:val="20"/>
          <w:szCs w:val="20"/>
          <w:lang w:val="es-419" w:eastAsia="es-ES"/>
        </w:rPr>
        <w:tab/>
      </w:r>
      <w:r w:rsidRPr="001D641C">
        <w:rPr>
          <w:rFonts w:ascii="Arial" w:eastAsia="Tahoma" w:hAnsi="Arial" w:cs="Arial"/>
          <w:sz w:val="20"/>
          <w:szCs w:val="20"/>
          <w:lang w:val="es-419" w:eastAsia="es-ES"/>
        </w:rPr>
        <w:tab/>
        <w:t>Edilberto González Escobar</w:t>
      </w:r>
    </w:p>
    <w:p w14:paraId="5C09CBA5" w14:textId="1429220F" w:rsidR="001D641C" w:rsidRPr="001D641C" w:rsidRDefault="001D641C" w:rsidP="001D641C">
      <w:pPr>
        <w:spacing w:after="0" w:line="240" w:lineRule="auto"/>
        <w:jc w:val="both"/>
        <w:rPr>
          <w:rFonts w:ascii="Arial" w:eastAsia="Tahoma" w:hAnsi="Arial" w:cs="Arial"/>
          <w:sz w:val="20"/>
          <w:szCs w:val="20"/>
          <w:lang w:val="es-419" w:eastAsia="es-ES"/>
        </w:rPr>
      </w:pPr>
      <w:r w:rsidRPr="001D641C">
        <w:rPr>
          <w:rFonts w:ascii="Arial" w:eastAsia="Tahoma" w:hAnsi="Arial" w:cs="Arial"/>
          <w:sz w:val="20"/>
          <w:szCs w:val="20"/>
          <w:lang w:val="es-419" w:eastAsia="es-ES"/>
        </w:rPr>
        <w:t>Demandado:</w:t>
      </w:r>
      <w:r>
        <w:rPr>
          <w:rFonts w:ascii="Arial" w:eastAsia="Tahoma" w:hAnsi="Arial" w:cs="Arial"/>
          <w:sz w:val="20"/>
          <w:szCs w:val="20"/>
          <w:lang w:val="es-419" w:eastAsia="es-ES"/>
        </w:rPr>
        <w:tab/>
      </w:r>
      <w:r w:rsidRPr="001D641C">
        <w:rPr>
          <w:rFonts w:ascii="Arial" w:eastAsia="Tahoma" w:hAnsi="Arial" w:cs="Arial"/>
          <w:sz w:val="20"/>
          <w:szCs w:val="20"/>
          <w:lang w:val="es-419" w:eastAsia="es-ES"/>
        </w:rPr>
        <w:tab/>
        <w:t>Colpensiones</w:t>
      </w:r>
    </w:p>
    <w:p w14:paraId="20BC9BF0" w14:textId="34895907" w:rsidR="001D641C" w:rsidRPr="001D641C" w:rsidRDefault="001D641C" w:rsidP="001D641C">
      <w:pPr>
        <w:spacing w:after="0" w:line="240" w:lineRule="auto"/>
        <w:jc w:val="both"/>
        <w:rPr>
          <w:rFonts w:ascii="Arial" w:eastAsia="Tahoma" w:hAnsi="Arial" w:cs="Arial"/>
          <w:sz w:val="20"/>
          <w:szCs w:val="20"/>
          <w:lang w:val="es-419" w:eastAsia="es-ES"/>
        </w:rPr>
      </w:pPr>
      <w:r w:rsidRPr="001D641C">
        <w:rPr>
          <w:rFonts w:ascii="Arial" w:eastAsia="Tahoma" w:hAnsi="Arial" w:cs="Arial"/>
          <w:sz w:val="20"/>
          <w:szCs w:val="20"/>
          <w:lang w:val="es-419" w:eastAsia="es-ES"/>
        </w:rPr>
        <w:t>Juzgado</w:t>
      </w:r>
      <w:r>
        <w:rPr>
          <w:rFonts w:ascii="Arial" w:eastAsia="Tahoma" w:hAnsi="Arial" w:cs="Arial"/>
          <w:sz w:val="20"/>
          <w:szCs w:val="20"/>
          <w:lang w:val="es-419" w:eastAsia="es-ES"/>
        </w:rPr>
        <w:t xml:space="preserve"> de origen</w:t>
      </w:r>
      <w:r w:rsidRPr="001D641C">
        <w:rPr>
          <w:rFonts w:ascii="Arial" w:eastAsia="Tahoma" w:hAnsi="Arial" w:cs="Arial"/>
          <w:sz w:val="20"/>
          <w:szCs w:val="20"/>
          <w:lang w:val="es-419" w:eastAsia="es-ES"/>
        </w:rPr>
        <w:t>:</w:t>
      </w:r>
      <w:r w:rsidRPr="001D641C">
        <w:rPr>
          <w:rFonts w:ascii="Arial" w:eastAsia="Tahoma" w:hAnsi="Arial" w:cs="Arial"/>
          <w:sz w:val="20"/>
          <w:szCs w:val="20"/>
          <w:lang w:val="es-419" w:eastAsia="es-ES"/>
        </w:rPr>
        <w:tab/>
        <w:t>Cuarto Laboral del Circuito de Pereira</w:t>
      </w:r>
    </w:p>
    <w:p w14:paraId="7EB71861" w14:textId="77777777" w:rsidR="001D641C" w:rsidRPr="001D641C" w:rsidRDefault="001D641C" w:rsidP="001D641C">
      <w:pPr>
        <w:spacing w:after="0" w:line="240" w:lineRule="auto"/>
        <w:jc w:val="both"/>
        <w:rPr>
          <w:rFonts w:ascii="Arial" w:eastAsia="Tahoma" w:hAnsi="Arial" w:cs="Arial"/>
          <w:color w:val="000000"/>
          <w:sz w:val="20"/>
          <w:szCs w:val="20"/>
          <w:lang w:val="es-ES" w:eastAsia="es-ES"/>
        </w:rPr>
      </w:pPr>
    </w:p>
    <w:p w14:paraId="512F4B68" w14:textId="2CA5F5C8" w:rsidR="001D641C" w:rsidRPr="001D641C" w:rsidRDefault="00A27946" w:rsidP="001D641C">
      <w:pPr>
        <w:spacing w:after="0" w:line="240" w:lineRule="auto"/>
        <w:jc w:val="both"/>
        <w:rPr>
          <w:rFonts w:ascii="Arial" w:eastAsia="Times New Roman" w:hAnsi="Arial" w:cs="Arial"/>
          <w:b/>
          <w:bCs/>
          <w:iCs/>
          <w:sz w:val="20"/>
          <w:szCs w:val="20"/>
          <w:lang w:val="es-419" w:eastAsia="fr-FR"/>
        </w:rPr>
      </w:pPr>
      <w:r w:rsidRPr="001D641C">
        <w:rPr>
          <w:rFonts w:ascii="Arial" w:eastAsia="Times New Roman" w:hAnsi="Arial" w:cs="Arial"/>
          <w:b/>
          <w:bCs/>
          <w:iCs/>
          <w:sz w:val="20"/>
          <w:szCs w:val="20"/>
          <w:u w:val="single"/>
          <w:lang w:val="es-419" w:eastAsia="fr-FR"/>
        </w:rPr>
        <w:t>TEMAS:</w:t>
      </w:r>
      <w:r w:rsidRPr="001D641C">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INDEMNIZACIÓN SUSTITUTIVA PENSIÓN DE VEJEZ / RELIQUIDACIÓN / REQUISITOS / FACTORES PARA LIQUIDARLA / PRESCRIPCIÓN / NO APLICA AL DERECHO / PERO SÍ AL COBRO O AL REAJUSTE. </w:t>
      </w:r>
    </w:p>
    <w:p w14:paraId="1E6CAC86" w14:textId="77777777" w:rsidR="001D641C" w:rsidRPr="001D641C" w:rsidRDefault="001D641C" w:rsidP="001D641C">
      <w:pPr>
        <w:spacing w:after="0" w:line="240" w:lineRule="auto"/>
        <w:jc w:val="both"/>
        <w:rPr>
          <w:rFonts w:ascii="Arial" w:eastAsia="Times New Roman" w:hAnsi="Arial" w:cs="Arial"/>
          <w:sz w:val="20"/>
          <w:szCs w:val="20"/>
          <w:lang w:val="es-419" w:eastAsia="es-ES"/>
        </w:rPr>
      </w:pPr>
    </w:p>
    <w:p w14:paraId="4A235F0E" w14:textId="59659F0A" w:rsidR="001D641C" w:rsidRPr="001D641C" w:rsidRDefault="00FA441A" w:rsidP="001D641C">
      <w:pPr>
        <w:spacing w:after="0" w:line="240" w:lineRule="auto"/>
        <w:jc w:val="both"/>
        <w:rPr>
          <w:rFonts w:ascii="Arial" w:eastAsia="Times New Roman" w:hAnsi="Arial" w:cs="Arial"/>
          <w:sz w:val="20"/>
          <w:szCs w:val="20"/>
          <w:lang w:val="es-419" w:eastAsia="es-ES"/>
        </w:rPr>
      </w:pPr>
      <w:r w:rsidRPr="00FA441A">
        <w:rPr>
          <w:rFonts w:ascii="Arial" w:eastAsia="Times New Roman" w:hAnsi="Arial" w:cs="Arial"/>
          <w:sz w:val="20"/>
          <w:szCs w:val="20"/>
          <w:lang w:val="es-419" w:eastAsia="es-ES"/>
        </w:rPr>
        <w:t>Se tiene previsto en el artículo 37 de la Ley 100 de 1993, que la persona que habiendo cumplido la edad para obtener la pensión de vejez no hubiere cotizado el mínimo de semanas exigidas y declare su imposibilidad de continuar cotizando, tendrá derecho a recibir en sustitución, una indemnización</w:t>
      </w:r>
      <w:r>
        <w:rPr>
          <w:rFonts w:ascii="Arial" w:eastAsia="Times New Roman" w:hAnsi="Arial" w:cs="Arial"/>
          <w:sz w:val="20"/>
          <w:szCs w:val="20"/>
          <w:lang w:val="es-419" w:eastAsia="es-ES"/>
        </w:rPr>
        <w:t>…</w:t>
      </w:r>
    </w:p>
    <w:p w14:paraId="4A0275C6" w14:textId="77777777" w:rsidR="001D641C" w:rsidRPr="001D641C" w:rsidRDefault="001D641C" w:rsidP="001D641C">
      <w:pPr>
        <w:spacing w:after="0" w:line="240" w:lineRule="auto"/>
        <w:jc w:val="both"/>
        <w:rPr>
          <w:rFonts w:ascii="Arial" w:eastAsia="Times New Roman" w:hAnsi="Arial" w:cs="Arial"/>
          <w:sz w:val="20"/>
          <w:szCs w:val="20"/>
          <w:lang w:val="es-419" w:eastAsia="es-ES"/>
        </w:rPr>
      </w:pPr>
    </w:p>
    <w:p w14:paraId="5B6D1707" w14:textId="076D6298" w:rsidR="001D641C" w:rsidRPr="001D641C" w:rsidRDefault="003A0F23" w:rsidP="001D641C">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3A0F23">
        <w:rPr>
          <w:rFonts w:ascii="Arial" w:eastAsia="Times New Roman" w:hAnsi="Arial" w:cs="Arial"/>
          <w:sz w:val="20"/>
          <w:szCs w:val="20"/>
          <w:lang w:val="es-419" w:eastAsia="es-ES"/>
        </w:rPr>
        <w:t>el artículo 3º del Decreto 1731 de 2001, estableció que la cuantía de la indemnización será el producto de multiplicar tres factores que identificó con las siglas SBC, SC y PPC, en donde: SBC: es el salario base de la liquidación de la cotización semanal promediado de acuerdo con los factores señalados en el Decreto 1158 de 1994, sobre los cuales cotizó el afiliado</w:t>
      </w:r>
      <w:r w:rsidR="00A520E0">
        <w:rPr>
          <w:rFonts w:ascii="Arial" w:eastAsia="Times New Roman" w:hAnsi="Arial" w:cs="Arial"/>
          <w:sz w:val="20"/>
          <w:szCs w:val="20"/>
          <w:lang w:val="es-419" w:eastAsia="es-ES"/>
        </w:rPr>
        <w:t>…</w:t>
      </w:r>
      <w:r w:rsidRPr="003A0F23">
        <w:rPr>
          <w:rFonts w:ascii="Arial" w:eastAsia="Times New Roman" w:hAnsi="Arial" w:cs="Arial"/>
          <w:sz w:val="20"/>
          <w:szCs w:val="20"/>
          <w:lang w:val="es-419" w:eastAsia="es-ES"/>
        </w:rPr>
        <w:t>, actualizado anualmente con base en la variación del IPC</w:t>
      </w:r>
      <w:r w:rsidR="00336BA6">
        <w:rPr>
          <w:rFonts w:ascii="Arial" w:eastAsia="Times New Roman" w:hAnsi="Arial" w:cs="Arial"/>
          <w:sz w:val="20"/>
          <w:szCs w:val="20"/>
          <w:lang w:val="es-419" w:eastAsia="es-ES"/>
        </w:rPr>
        <w:t>…</w:t>
      </w:r>
      <w:r w:rsidRPr="003A0F23">
        <w:rPr>
          <w:rFonts w:ascii="Arial" w:eastAsia="Times New Roman" w:hAnsi="Arial" w:cs="Arial"/>
          <w:sz w:val="20"/>
          <w:szCs w:val="20"/>
          <w:lang w:val="es-419" w:eastAsia="es-ES"/>
        </w:rPr>
        <w:t>; SC: es la suma de las semanas cotizadas a la administradora que va a efectuar el reconocimiento; PPC: es el promedio ponderado de los porcentajes sobre los cuales ha cotizado el afiliado para el riesgo de vejez, invalidez o muerte por riesgo común</w:t>
      </w:r>
      <w:r>
        <w:rPr>
          <w:rFonts w:ascii="Arial" w:eastAsia="Times New Roman" w:hAnsi="Arial" w:cs="Arial"/>
          <w:sz w:val="20"/>
          <w:szCs w:val="20"/>
          <w:lang w:val="es-419" w:eastAsia="es-ES"/>
        </w:rPr>
        <w:t>…</w:t>
      </w:r>
    </w:p>
    <w:p w14:paraId="0319492E" w14:textId="77777777" w:rsidR="001D641C" w:rsidRPr="001D641C" w:rsidRDefault="001D641C" w:rsidP="001D641C">
      <w:pPr>
        <w:spacing w:after="0" w:line="240" w:lineRule="auto"/>
        <w:jc w:val="both"/>
        <w:rPr>
          <w:rFonts w:ascii="Arial" w:eastAsia="Times New Roman" w:hAnsi="Arial" w:cs="Arial"/>
          <w:sz w:val="20"/>
          <w:szCs w:val="20"/>
          <w:lang w:val="es-419" w:eastAsia="es-ES"/>
        </w:rPr>
      </w:pPr>
    </w:p>
    <w:p w14:paraId="7C1910D2" w14:textId="14C44B92" w:rsidR="001D641C" w:rsidRPr="001D641C" w:rsidRDefault="0057031F" w:rsidP="001D641C">
      <w:pPr>
        <w:spacing w:after="0" w:line="240" w:lineRule="auto"/>
        <w:jc w:val="both"/>
        <w:rPr>
          <w:rFonts w:ascii="Arial" w:eastAsia="Times New Roman" w:hAnsi="Arial" w:cs="Arial"/>
          <w:sz w:val="20"/>
          <w:szCs w:val="20"/>
          <w:lang w:val="es-419" w:eastAsia="es-ES"/>
        </w:rPr>
      </w:pPr>
      <w:r w:rsidRPr="0057031F">
        <w:rPr>
          <w:rFonts w:ascii="Arial" w:eastAsia="Times New Roman" w:hAnsi="Arial" w:cs="Arial"/>
          <w:sz w:val="20"/>
          <w:szCs w:val="20"/>
          <w:lang w:val="es-419" w:eastAsia="es-ES"/>
        </w:rPr>
        <w:t>En relación con este último factor, resulta muy ilustrativa la providencia emitida por esta Corporación el 22 de septiembre de 2021 dentro del proceso 66001-31-05-003-2019-00478-01</w:t>
      </w:r>
      <w:r>
        <w:rPr>
          <w:rFonts w:ascii="Arial" w:eastAsia="Times New Roman" w:hAnsi="Arial" w:cs="Arial"/>
          <w:sz w:val="20"/>
          <w:szCs w:val="20"/>
          <w:lang w:val="es-419" w:eastAsia="es-ES"/>
        </w:rPr>
        <w:t>…</w:t>
      </w:r>
      <w:r w:rsidRPr="0057031F">
        <w:rPr>
          <w:rFonts w:ascii="Arial" w:eastAsia="Times New Roman" w:hAnsi="Arial" w:cs="Arial"/>
          <w:sz w:val="20"/>
          <w:szCs w:val="20"/>
          <w:lang w:val="es-419" w:eastAsia="es-ES"/>
        </w:rPr>
        <w:t>, donde se enumeró de manera detallada las variaciones porcentuales históricas de la cotización que debe tenerse en cuenta a efectos de promediar ponderadamente los porcentajes sobre los cuales ha cotizado el afiliado</w:t>
      </w:r>
      <w:r>
        <w:rPr>
          <w:rFonts w:ascii="Arial" w:eastAsia="Times New Roman" w:hAnsi="Arial" w:cs="Arial"/>
          <w:sz w:val="20"/>
          <w:szCs w:val="20"/>
          <w:lang w:val="es-419" w:eastAsia="es-ES"/>
        </w:rPr>
        <w:t>…</w:t>
      </w:r>
    </w:p>
    <w:p w14:paraId="68A74173" w14:textId="4993CCEC" w:rsidR="001D641C" w:rsidRDefault="001D641C" w:rsidP="001D641C">
      <w:pPr>
        <w:spacing w:after="0" w:line="240" w:lineRule="auto"/>
        <w:jc w:val="both"/>
        <w:rPr>
          <w:rFonts w:ascii="Arial" w:eastAsia="Times New Roman" w:hAnsi="Arial" w:cs="Arial"/>
          <w:sz w:val="20"/>
          <w:szCs w:val="20"/>
          <w:lang w:val="es-419" w:eastAsia="es-ES"/>
        </w:rPr>
      </w:pPr>
    </w:p>
    <w:p w14:paraId="46294C01" w14:textId="7EC27A87" w:rsidR="0057031F" w:rsidRDefault="00837C78" w:rsidP="001D641C">
      <w:pPr>
        <w:spacing w:after="0" w:line="240" w:lineRule="auto"/>
        <w:jc w:val="both"/>
        <w:rPr>
          <w:rFonts w:ascii="Arial" w:eastAsia="Times New Roman" w:hAnsi="Arial" w:cs="Arial"/>
          <w:sz w:val="20"/>
          <w:szCs w:val="20"/>
          <w:lang w:val="es-419" w:eastAsia="es-ES"/>
        </w:rPr>
      </w:pPr>
      <w:r w:rsidRPr="00837C78">
        <w:rPr>
          <w:rFonts w:ascii="Arial" w:eastAsia="Times New Roman" w:hAnsi="Arial" w:cs="Arial"/>
          <w:sz w:val="20"/>
          <w:szCs w:val="20"/>
          <w:lang w:val="es-419" w:eastAsia="es-ES"/>
        </w:rPr>
        <w:t>Es preciso recordar que esta Corporación a partir de providencia del 03 de febrero de 2016 dentro del proceso No. 66001-31-05-001-2014-00268-01</w:t>
      </w:r>
      <w:r>
        <w:rPr>
          <w:rFonts w:ascii="Arial" w:eastAsia="Times New Roman" w:hAnsi="Arial" w:cs="Arial"/>
          <w:sz w:val="20"/>
          <w:szCs w:val="20"/>
          <w:lang w:val="es-419" w:eastAsia="es-ES"/>
        </w:rPr>
        <w:t>…</w:t>
      </w:r>
      <w:r w:rsidRPr="00837C78">
        <w:rPr>
          <w:rFonts w:ascii="Arial" w:eastAsia="Times New Roman" w:hAnsi="Arial" w:cs="Arial"/>
          <w:sz w:val="20"/>
          <w:szCs w:val="20"/>
          <w:lang w:val="es-419" w:eastAsia="es-ES"/>
        </w:rPr>
        <w:t>, varió su precedente en el sentido de acoger la postura de la Corte Constitucional consistente en darle el carácter de imprescriptible a la indemnización sustitutiva de la pensión. Para el efecto tuvo en cuenta que la finalidad de efectuar las cotizaciones al Sistema General de Pensiones es la de concretar un aporte al sistema suficiente para materializar el reconocimiento y pago de una prestación económica de carácter imprescriptible, como lo es la pensión de vejez</w:t>
      </w:r>
      <w:r>
        <w:rPr>
          <w:rFonts w:ascii="Arial" w:eastAsia="Times New Roman" w:hAnsi="Arial" w:cs="Arial"/>
          <w:sz w:val="20"/>
          <w:szCs w:val="20"/>
          <w:lang w:val="es-419" w:eastAsia="es-ES"/>
        </w:rPr>
        <w:t>…</w:t>
      </w:r>
    </w:p>
    <w:p w14:paraId="26DFEB56" w14:textId="775410FD" w:rsidR="0057031F" w:rsidRDefault="0057031F" w:rsidP="001D641C">
      <w:pPr>
        <w:spacing w:after="0" w:line="240" w:lineRule="auto"/>
        <w:jc w:val="both"/>
        <w:rPr>
          <w:rFonts w:ascii="Arial" w:eastAsia="Times New Roman" w:hAnsi="Arial" w:cs="Arial"/>
          <w:sz w:val="20"/>
          <w:szCs w:val="20"/>
          <w:lang w:val="es-419" w:eastAsia="es-ES"/>
        </w:rPr>
      </w:pPr>
    </w:p>
    <w:p w14:paraId="324E82F3" w14:textId="556135FB" w:rsidR="00837C78" w:rsidRPr="00837C78" w:rsidRDefault="00837C78" w:rsidP="00837C78">
      <w:pPr>
        <w:spacing w:after="0" w:line="240" w:lineRule="auto"/>
        <w:jc w:val="both"/>
        <w:rPr>
          <w:rFonts w:ascii="Arial" w:eastAsia="Times New Roman" w:hAnsi="Arial" w:cs="Arial"/>
          <w:sz w:val="20"/>
          <w:szCs w:val="20"/>
          <w:lang w:val="es-419" w:eastAsia="es-ES"/>
        </w:rPr>
      </w:pPr>
      <w:r w:rsidRPr="00837C78">
        <w:rPr>
          <w:rFonts w:ascii="Arial" w:eastAsia="Times New Roman" w:hAnsi="Arial" w:cs="Arial"/>
          <w:sz w:val="20"/>
          <w:szCs w:val="20"/>
          <w:lang w:val="es-419" w:eastAsia="es-ES"/>
        </w:rPr>
        <w:t>Con todo, si bien lo anterior implica la posibilidad de que la citada indemnización sea justiciada en todo tiempo, es del caso precisar que, de acuerdo a lo advertido por la Corte Constitucional y acogido por esta Corporación, en sentencia del 18 de enero de 2022, radicado 04-2021-00317</w:t>
      </w:r>
      <w:r>
        <w:rPr>
          <w:rFonts w:ascii="Arial" w:eastAsia="Times New Roman" w:hAnsi="Arial" w:cs="Arial"/>
          <w:sz w:val="20"/>
          <w:szCs w:val="20"/>
          <w:lang w:val="es-419" w:eastAsia="es-ES"/>
        </w:rPr>
        <w:t>…</w:t>
      </w:r>
      <w:r w:rsidRPr="00837C78">
        <w:rPr>
          <w:rFonts w:ascii="Arial" w:eastAsia="Times New Roman" w:hAnsi="Arial" w:cs="Arial"/>
          <w:sz w:val="20"/>
          <w:szCs w:val="20"/>
          <w:lang w:val="es-419" w:eastAsia="es-ES"/>
        </w:rPr>
        <w:t>:</w:t>
      </w:r>
    </w:p>
    <w:p w14:paraId="090263AC" w14:textId="77777777" w:rsidR="00837C78" w:rsidRPr="00837C78" w:rsidRDefault="00837C78" w:rsidP="00837C78">
      <w:pPr>
        <w:spacing w:after="0" w:line="240" w:lineRule="auto"/>
        <w:jc w:val="both"/>
        <w:rPr>
          <w:rFonts w:ascii="Arial" w:eastAsia="Times New Roman" w:hAnsi="Arial" w:cs="Arial"/>
          <w:sz w:val="20"/>
          <w:szCs w:val="20"/>
          <w:lang w:val="es-419" w:eastAsia="es-ES"/>
        </w:rPr>
      </w:pPr>
    </w:p>
    <w:p w14:paraId="6F1CB670" w14:textId="654C0DA6" w:rsidR="0057031F" w:rsidRDefault="00837C78" w:rsidP="00837C78">
      <w:pPr>
        <w:spacing w:after="0" w:line="240" w:lineRule="auto"/>
        <w:jc w:val="both"/>
        <w:rPr>
          <w:rFonts w:ascii="Arial" w:eastAsia="Times New Roman" w:hAnsi="Arial" w:cs="Arial"/>
          <w:sz w:val="20"/>
          <w:szCs w:val="20"/>
          <w:lang w:val="es-419" w:eastAsia="es-ES"/>
        </w:rPr>
      </w:pPr>
      <w:r w:rsidRPr="00837C78">
        <w:rPr>
          <w:rFonts w:ascii="Arial" w:eastAsia="Times New Roman" w:hAnsi="Arial" w:cs="Arial"/>
          <w:sz w:val="20"/>
          <w:szCs w:val="20"/>
          <w:lang w:val="es-419" w:eastAsia="es-ES"/>
        </w:rPr>
        <w:t>“</w:t>
      </w:r>
      <w:r>
        <w:rPr>
          <w:rFonts w:ascii="Arial" w:eastAsia="Times New Roman" w:hAnsi="Arial" w:cs="Arial"/>
          <w:sz w:val="20"/>
          <w:szCs w:val="20"/>
          <w:lang w:val="es-419" w:eastAsia="es-ES"/>
        </w:rPr>
        <w:t>…</w:t>
      </w:r>
      <w:r w:rsidRPr="00837C78">
        <w:rPr>
          <w:rFonts w:ascii="Arial" w:eastAsia="Times New Roman" w:hAnsi="Arial" w:cs="Arial"/>
          <w:sz w:val="20"/>
          <w:szCs w:val="20"/>
          <w:lang w:val="es-419" w:eastAsia="es-ES"/>
        </w:rPr>
        <w:t xml:space="preserve"> una vez la entidad de la seguridad social responsable reconozca la respectiva indemnización sustitutiva a favor del afiliado o sus beneficiarios, se activa inmediatamente el término trienal de prescripción previsto en el artículo 151 del CPT y de la SS para cobrarla o en su defecto para pedir su reajuste o reliquidación”.</w:t>
      </w:r>
    </w:p>
    <w:p w14:paraId="19F891D2" w14:textId="77777777" w:rsidR="0057031F" w:rsidRPr="001D641C" w:rsidRDefault="0057031F" w:rsidP="001D641C">
      <w:pPr>
        <w:spacing w:after="0" w:line="240" w:lineRule="auto"/>
        <w:jc w:val="both"/>
        <w:rPr>
          <w:rFonts w:ascii="Arial" w:eastAsia="Times New Roman" w:hAnsi="Arial" w:cs="Arial"/>
          <w:sz w:val="20"/>
          <w:szCs w:val="20"/>
          <w:lang w:val="es-419" w:eastAsia="es-ES"/>
        </w:rPr>
      </w:pPr>
    </w:p>
    <w:p w14:paraId="7386BE9A" w14:textId="77777777" w:rsidR="001D641C" w:rsidRPr="001D641C" w:rsidRDefault="001D641C" w:rsidP="001D641C">
      <w:pPr>
        <w:spacing w:after="0" w:line="240" w:lineRule="auto"/>
        <w:jc w:val="both"/>
        <w:rPr>
          <w:rFonts w:ascii="Arial" w:eastAsia="Times New Roman" w:hAnsi="Arial" w:cs="Arial"/>
          <w:sz w:val="20"/>
          <w:szCs w:val="20"/>
          <w:lang w:val="es-419" w:eastAsia="es-ES"/>
        </w:rPr>
      </w:pPr>
    </w:p>
    <w:bookmarkEnd w:id="1"/>
    <w:p w14:paraId="134B1462" w14:textId="77777777" w:rsidR="001D641C" w:rsidRPr="001D641C" w:rsidRDefault="001D641C" w:rsidP="001D641C">
      <w:pPr>
        <w:spacing w:after="0" w:line="240" w:lineRule="auto"/>
        <w:jc w:val="both"/>
        <w:rPr>
          <w:rFonts w:ascii="Arial" w:eastAsia="Times New Roman" w:hAnsi="Arial" w:cs="Arial"/>
          <w:sz w:val="20"/>
          <w:szCs w:val="20"/>
          <w:lang w:val="es-419" w:eastAsia="es-ES"/>
        </w:rPr>
      </w:pPr>
    </w:p>
    <w:p w14:paraId="6A83C353" w14:textId="77777777" w:rsidR="00A91AE2" w:rsidRPr="007646E8" w:rsidRDefault="00A91AE2" w:rsidP="007646E8">
      <w:pPr>
        <w:pStyle w:val="Ttulo4"/>
        <w:widowControl w:val="0"/>
        <w:tabs>
          <w:tab w:val="clear" w:pos="0"/>
        </w:tabs>
        <w:spacing w:line="276" w:lineRule="auto"/>
        <w:ind w:right="49"/>
        <w:contextualSpacing/>
        <w:rPr>
          <w:rFonts w:ascii="Tahoma" w:hAnsi="Tahoma" w:cs="Tahoma"/>
          <w:bCs/>
          <w:szCs w:val="24"/>
          <w:lang w:eastAsia="es-MX"/>
        </w:rPr>
      </w:pPr>
      <w:bookmarkStart w:id="5" w:name="_Hlk89346566"/>
      <w:bookmarkEnd w:id="2"/>
      <w:bookmarkEnd w:id="3"/>
      <w:r w:rsidRPr="007646E8">
        <w:rPr>
          <w:rFonts w:ascii="Tahoma" w:hAnsi="Tahoma" w:cs="Tahoma"/>
          <w:bCs/>
          <w:szCs w:val="24"/>
          <w:lang w:eastAsia="es-MX"/>
        </w:rPr>
        <w:t>TRIBUNAL SUPERIOR DEL DISTRITO JUDICIAL DE PEREIRA</w:t>
      </w:r>
    </w:p>
    <w:p w14:paraId="5BE949AD" w14:textId="77777777" w:rsidR="00A91AE2" w:rsidRPr="007646E8" w:rsidRDefault="00A91AE2" w:rsidP="007646E8">
      <w:pPr>
        <w:pStyle w:val="Ttulo4"/>
        <w:widowControl w:val="0"/>
        <w:tabs>
          <w:tab w:val="clear" w:pos="0"/>
        </w:tabs>
        <w:spacing w:line="276" w:lineRule="auto"/>
        <w:ind w:right="49"/>
        <w:contextualSpacing/>
        <w:rPr>
          <w:rFonts w:ascii="Tahoma" w:hAnsi="Tahoma" w:cs="Tahoma"/>
          <w:bCs/>
          <w:szCs w:val="24"/>
          <w:lang w:eastAsia="es-MX"/>
        </w:rPr>
      </w:pPr>
      <w:r w:rsidRPr="007646E8">
        <w:rPr>
          <w:rFonts w:ascii="Tahoma" w:hAnsi="Tahoma" w:cs="Tahoma"/>
          <w:bCs/>
          <w:szCs w:val="24"/>
          <w:lang w:eastAsia="es-MX"/>
        </w:rPr>
        <w:t>SALA PRIMERA DE DECISION LABORAL</w:t>
      </w:r>
    </w:p>
    <w:p w14:paraId="1FBC5BB9" w14:textId="77777777" w:rsidR="00A91AE2" w:rsidRPr="007646E8" w:rsidRDefault="00A91AE2" w:rsidP="007646E8">
      <w:pPr>
        <w:spacing w:after="0" w:line="276" w:lineRule="auto"/>
        <w:ind w:right="49"/>
        <w:contextualSpacing/>
        <w:jc w:val="center"/>
        <w:rPr>
          <w:rFonts w:ascii="Tahoma" w:hAnsi="Tahoma" w:cs="Tahoma"/>
          <w:bCs/>
          <w:sz w:val="24"/>
          <w:szCs w:val="24"/>
        </w:rPr>
      </w:pPr>
    </w:p>
    <w:p w14:paraId="181794F0" w14:textId="1B73BC3F" w:rsidR="00A91AE2" w:rsidRPr="007646E8" w:rsidRDefault="00A91AE2" w:rsidP="007646E8">
      <w:pPr>
        <w:spacing w:after="0" w:line="276" w:lineRule="auto"/>
        <w:ind w:right="49"/>
        <w:contextualSpacing/>
        <w:jc w:val="center"/>
        <w:textAlignment w:val="baseline"/>
        <w:rPr>
          <w:rFonts w:ascii="Tahoma" w:eastAsia="Times New Roman" w:hAnsi="Tahoma" w:cs="Tahoma"/>
          <w:b/>
          <w:bCs/>
          <w:sz w:val="24"/>
          <w:szCs w:val="24"/>
          <w:lang w:eastAsia="es-CO"/>
        </w:rPr>
      </w:pPr>
      <w:r w:rsidRPr="007646E8">
        <w:rPr>
          <w:rFonts w:ascii="Tahoma" w:eastAsia="Times New Roman" w:hAnsi="Tahoma" w:cs="Tahoma"/>
          <w:sz w:val="24"/>
          <w:szCs w:val="24"/>
          <w:lang w:eastAsia="es-CO"/>
        </w:rPr>
        <w:t>Magistrada Ponente: </w:t>
      </w:r>
      <w:r w:rsidRPr="007646E8">
        <w:rPr>
          <w:rFonts w:ascii="Tahoma" w:eastAsia="Times New Roman" w:hAnsi="Tahoma" w:cs="Tahoma"/>
          <w:b/>
          <w:bCs/>
          <w:sz w:val="24"/>
          <w:szCs w:val="24"/>
          <w:lang w:eastAsia="es-CO"/>
        </w:rPr>
        <w:t>Ana Lucía Caicedo Calderón</w:t>
      </w:r>
    </w:p>
    <w:p w14:paraId="4209705D" w14:textId="77777777" w:rsidR="00405F56" w:rsidRPr="007646E8" w:rsidRDefault="00405F56" w:rsidP="007646E8">
      <w:pPr>
        <w:spacing w:after="0" w:line="276" w:lineRule="auto"/>
        <w:ind w:right="49"/>
        <w:contextualSpacing/>
        <w:jc w:val="center"/>
        <w:textAlignment w:val="baseline"/>
        <w:rPr>
          <w:rFonts w:ascii="Tahoma" w:eastAsia="Times New Roman" w:hAnsi="Tahoma" w:cs="Tahoma"/>
          <w:sz w:val="24"/>
          <w:szCs w:val="24"/>
          <w:lang w:eastAsia="es-CO"/>
        </w:rPr>
      </w:pPr>
    </w:p>
    <w:p w14:paraId="5BB96EA9" w14:textId="71F8D971" w:rsidR="00A91AE2" w:rsidRPr="007646E8" w:rsidRDefault="00A91AE2" w:rsidP="007646E8">
      <w:pPr>
        <w:spacing w:after="0" w:line="276" w:lineRule="auto"/>
        <w:ind w:right="49"/>
        <w:contextualSpacing/>
        <w:jc w:val="center"/>
        <w:textAlignment w:val="baseline"/>
        <w:rPr>
          <w:rFonts w:ascii="Tahoma" w:eastAsia="Times New Roman" w:hAnsi="Tahoma" w:cs="Tahoma"/>
          <w:sz w:val="24"/>
          <w:szCs w:val="24"/>
          <w:lang w:eastAsia="es-CO"/>
        </w:rPr>
      </w:pPr>
      <w:r w:rsidRPr="007646E8">
        <w:rPr>
          <w:rFonts w:ascii="Tahoma" w:eastAsia="Times New Roman" w:hAnsi="Tahoma" w:cs="Tahoma"/>
          <w:sz w:val="24"/>
          <w:szCs w:val="24"/>
          <w:lang w:eastAsia="es-CO"/>
        </w:rPr>
        <w:t xml:space="preserve">Pereira, Risaralda, </w:t>
      </w:r>
      <w:r w:rsidR="00405F56" w:rsidRPr="007646E8">
        <w:rPr>
          <w:rFonts w:ascii="Tahoma" w:eastAsia="Times New Roman" w:hAnsi="Tahoma" w:cs="Tahoma"/>
          <w:sz w:val="24"/>
          <w:szCs w:val="24"/>
          <w:lang w:eastAsia="es-CO"/>
        </w:rPr>
        <w:t>ocho</w:t>
      </w:r>
      <w:r w:rsidR="0008233A" w:rsidRPr="007646E8">
        <w:rPr>
          <w:rFonts w:ascii="Tahoma" w:eastAsia="Times New Roman" w:hAnsi="Tahoma" w:cs="Tahoma"/>
          <w:sz w:val="24"/>
          <w:szCs w:val="24"/>
          <w:lang w:eastAsia="es-CO"/>
        </w:rPr>
        <w:t xml:space="preserve"> </w:t>
      </w:r>
      <w:r w:rsidRPr="007646E8">
        <w:rPr>
          <w:rFonts w:ascii="Tahoma" w:eastAsia="Times New Roman" w:hAnsi="Tahoma" w:cs="Tahoma"/>
          <w:sz w:val="24"/>
          <w:szCs w:val="24"/>
          <w:lang w:eastAsia="es-CO"/>
        </w:rPr>
        <w:t>(</w:t>
      </w:r>
      <w:r w:rsidR="00405F56" w:rsidRPr="007646E8">
        <w:rPr>
          <w:rFonts w:ascii="Tahoma" w:eastAsia="Times New Roman" w:hAnsi="Tahoma" w:cs="Tahoma"/>
          <w:sz w:val="24"/>
          <w:szCs w:val="24"/>
          <w:lang w:eastAsia="es-CO"/>
        </w:rPr>
        <w:t>08</w:t>
      </w:r>
      <w:r w:rsidRPr="007646E8">
        <w:rPr>
          <w:rFonts w:ascii="Tahoma" w:eastAsia="Times New Roman" w:hAnsi="Tahoma" w:cs="Tahoma"/>
          <w:sz w:val="24"/>
          <w:szCs w:val="24"/>
          <w:lang w:eastAsia="es-CO"/>
        </w:rPr>
        <w:t>) d</w:t>
      </w:r>
      <w:r w:rsidR="00540ECB" w:rsidRPr="007646E8">
        <w:rPr>
          <w:rFonts w:ascii="Tahoma" w:eastAsia="Times New Roman" w:hAnsi="Tahoma" w:cs="Tahoma"/>
          <w:sz w:val="24"/>
          <w:szCs w:val="24"/>
          <w:lang w:eastAsia="es-CO"/>
        </w:rPr>
        <w:t>e</w:t>
      </w:r>
      <w:r w:rsidRPr="007646E8">
        <w:rPr>
          <w:rFonts w:ascii="Tahoma" w:eastAsia="Times New Roman" w:hAnsi="Tahoma" w:cs="Tahoma"/>
          <w:sz w:val="24"/>
          <w:szCs w:val="24"/>
          <w:lang w:eastAsia="es-CO"/>
        </w:rPr>
        <w:t xml:space="preserve"> </w:t>
      </w:r>
      <w:r w:rsidR="00405F56" w:rsidRPr="007646E8">
        <w:rPr>
          <w:rFonts w:ascii="Tahoma" w:eastAsia="Times New Roman" w:hAnsi="Tahoma" w:cs="Tahoma"/>
          <w:sz w:val="24"/>
          <w:szCs w:val="24"/>
          <w:lang w:eastAsia="es-CO"/>
        </w:rPr>
        <w:t>mayo</w:t>
      </w:r>
      <w:r w:rsidRPr="007646E8">
        <w:rPr>
          <w:rFonts w:ascii="Tahoma" w:eastAsia="Times New Roman" w:hAnsi="Tahoma" w:cs="Tahoma"/>
          <w:sz w:val="24"/>
          <w:szCs w:val="24"/>
          <w:lang w:eastAsia="es-CO"/>
        </w:rPr>
        <w:t xml:space="preserve"> dos mil </w:t>
      </w:r>
      <w:r w:rsidR="00540ECB" w:rsidRPr="007646E8">
        <w:rPr>
          <w:rFonts w:ascii="Tahoma" w:eastAsia="Times New Roman" w:hAnsi="Tahoma" w:cs="Tahoma"/>
          <w:sz w:val="24"/>
          <w:szCs w:val="24"/>
          <w:lang w:eastAsia="es-CO"/>
        </w:rPr>
        <w:t>veintitrés</w:t>
      </w:r>
      <w:r w:rsidRPr="007646E8">
        <w:rPr>
          <w:rFonts w:ascii="Tahoma" w:eastAsia="Times New Roman" w:hAnsi="Tahoma" w:cs="Tahoma"/>
          <w:sz w:val="24"/>
          <w:szCs w:val="24"/>
          <w:lang w:eastAsia="es-CO"/>
        </w:rPr>
        <w:t xml:space="preserve"> (202</w:t>
      </w:r>
      <w:r w:rsidR="00540ECB" w:rsidRPr="007646E8">
        <w:rPr>
          <w:rFonts w:ascii="Tahoma" w:eastAsia="Times New Roman" w:hAnsi="Tahoma" w:cs="Tahoma"/>
          <w:sz w:val="24"/>
          <w:szCs w:val="24"/>
          <w:lang w:eastAsia="es-CO"/>
        </w:rPr>
        <w:t>3</w:t>
      </w:r>
      <w:r w:rsidRPr="007646E8">
        <w:rPr>
          <w:rFonts w:ascii="Tahoma" w:eastAsia="Times New Roman" w:hAnsi="Tahoma" w:cs="Tahoma"/>
          <w:sz w:val="24"/>
          <w:szCs w:val="24"/>
          <w:lang w:eastAsia="es-CO"/>
        </w:rPr>
        <w:t>)</w:t>
      </w:r>
    </w:p>
    <w:p w14:paraId="73D7416D" w14:textId="0E4D1D0B" w:rsidR="00A91AE2" w:rsidRPr="007646E8" w:rsidRDefault="00A91AE2" w:rsidP="007646E8">
      <w:pPr>
        <w:spacing w:after="0" w:line="276" w:lineRule="auto"/>
        <w:ind w:right="49"/>
        <w:contextualSpacing/>
        <w:jc w:val="center"/>
        <w:textAlignment w:val="baseline"/>
        <w:rPr>
          <w:rFonts w:ascii="Tahoma" w:eastAsia="Times New Roman" w:hAnsi="Tahoma" w:cs="Tahoma"/>
          <w:sz w:val="24"/>
          <w:szCs w:val="24"/>
          <w:lang w:eastAsia="es-CO"/>
        </w:rPr>
      </w:pPr>
      <w:r w:rsidRPr="007646E8">
        <w:rPr>
          <w:rFonts w:ascii="Tahoma" w:eastAsia="Times New Roman" w:hAnsi="Tahoma" w:cs="Tahoma"/>
          <w:sz w:val="24"/>
          <w:szCs w:val="24"/>
          <w:lang w:eastAsia="es-CO"/>
        </w:rPr>
        <w:t>Acta No. </w:t>
      </w:r>
      <w:r w:rsidR="082C4F85" w:rsidRPr="007646E8">
        <w:rPr>
          <w:rFonts w:ascii="Tahoma" w:eastAsia="Times New Roman" w:hAnsi="Tahoma" w:cs="Tahoma"/>
          <w:sz w:val="24"/>
          <w:szCs w:val="24"/>
          <w:lang w:eastAsia="es-CO"/>
        </w:rPr>
        <w:t>70</w:t>
      </w:r>
      <w:r w:rsidRPr="007646E8">
        <w:rPr>
          <w:rFonts w:ascii="Tahoma" w:eastAsia="Times New Roman" w:hAnsi="Tahoma" w:cs="Tahoma"/>
          <w:sz w:val="24"/>
          <w:szCs w:val="24"/>
          <w:lang w:eastAsia="es-CO"/>
        </w:rPr>
        <w:t xml:space="preserve"> del </w:t>
      </w:r>
      <w:r w:rsidR="00405F56" w:rsidRPr="007646E8">
        <w:rPr>
          <w:rFonts w:ascii="Tahoma" w:eastAsia="Times New Roman" w:hAnsi="Tahoma" w:cs="Tahoma"/>
          <w:sz w:val="24"/>
          <w:szCs w:val="24"/>
          <w:lang w:eastAsia="es-CO"/>
        </w:rPr>
        <w:t>4</w:t>
      </w:r>
      <w:r w:rsidR="0008233A" w:rsidRPr="007646E8">
        <w:rPr>
          <w:rFonts w:ascii="Tahoma" w:eastAsia="Times New Roman" w:hAnsi="Tahoma" w:cs="Tahoma"/>
          <w:sz w:val="24"/>
          <w:szCs w:val="24"/>
          <w:lang w:eastAsia="es-CO"/>
        </w:rPr>
        <w:t xml:space="preserve"> de </w:t>
      </w:r>
      <w:r w:rsidR="00405F56" w:rsidRPr="007646E8">
        <w:rPr>
          <w:rFonts w:ascii="Tahoma" w:eastAsia="Times New Roman" w:hAnsi="Tahoma" w:cs="Tahoma"/>
          <w:sz w:val="24"/>
          <w:szCs w:val="24"/>
          <w:lang w:eastAsia="es-CO"/>
        </w:rPr>
        <w:t>mayo</w:t>
      </w:r>
      <w:r w:rsidR="0008233A" w:rsidRPr="007646E8">
        <w:rPr>
          <w:rFonts w:ascii="Tahoma" w:eastAsia="Times New Roman" w:hAnsi="Tahoma" w:cs="Tahoma"/>
          <w:sz w:val="24"/>
          <w:szCs w:val="24"/>
          <w:lang w:eastAsia="es-CO"/>
        </w:rPr>
        <w:t xml:space="preserve"> </w:t>
      </w:r>
      <w:r w:rsidRPr="007646E8">
        <w:rPr>
          <w:rFonts w:ascii="Tahoma" w:eastAsia="Times New Roman" w:hAnsi="Tahoma" w:cs="Tahoma"/>
          <w:sz w:val="24"/>
          <w:szCs w:val="24"/>
          <w:lang w:eastAsia="es-CO"/>
        </w:rPr>
        <w:t>de 202</w:t>
      </w:r>
      <w:r w:rsidR="00540ECB" w:rsidRPr="007646E8">
        <w:rPr>
          <w:rFonts w:ascii="Tahoma" w:eastAsia="Times New Roman" w:hAnsi="Tahoma" w:cs="Tahoma"/>
          <w:sz w:val="24"/>
          <w:szCs w:val="24"/>
          <w:lang w:eastAsia="es-CO"/>
        </w:rPr>
        <w:t>3</w:t>
      </w:r>
    </w:p>
    <w:bookmarkEnd w:id="5"/>
    <w:p w14:paraId="23F5F25A" w14:textId="77777777" w:rsidR="00A91AE2" w:rsidRPr="007646E8" w:rsidRDefault="00A91AE2" w:rsidP="007646E8">
      <w:pPr>
        <w:spacing w:after="0" w:line="276" w:lineRule="auto"/>
        <w:contextualSpacing/>
        <w:rPr>
          <w:rFonts w:ascii="Tahoma" w:hAnsi="Tahoma" w:cs="Tahoma"/>
          <w:b/>
          <w:sz w:val="24"/>
          <w:szCs w:val="24"/>
        </w:rPr>
      </w:pPr>
    </w:p>
    <w:p w14:paraId="2D5F34FF" w14:textId="0BFAC047" w:rsidR="00A91AE2" w:rsidRPr="007646E8" w:rsidRDefault="00A91AE2" w:rsidP="007646E8">
      <w:pPr>
        <w:spacing w:after="0" w:line="276" w:lineRule="auto"/>
        <w:ind w:firstLine="708"/>
        <w:contextualSpacing/>
        <w:jc w:val="both"/>
        <w:rPr>
          <w:rFonts w:ascii="Tahoma" w:hAnsi="Tahoma" w:cs="Tahoma"/>
          <w:b/>
          <w:sz w:val="24"/>
          <w:szCs w:val="24"/>
        </w:rPr>
      </w:pPr>
      <w:r w:rsidRPr="007646E8">
        <w:rPr>
          <w:rFonts w:ascii="Tahoma" w:hAnsi="Tahoma" w:cs="Tahoma"/>
          <w:sz w:val="24"/>
          <w:szCs w:val="24"/>
          <w:lang w:val="es-ES"/>
        </w:rPr>
        <w:t>Teniendo en cuenta que el artículo 15 del Decreto No. 806 del 4 de junio de 2020, adoptado como legislación permanente por medio de la Ley 2213 del 13 de junio de 2022</w:t>
      </w:r>
      <w:r w:rsidRPr="007646E8">
        <w:rPr>
          <w:rFonts w:ascii="Tahoma" w:hAnsi="Tahoma" w:cs="Tahoma"/>
          <w:sz w:val="24"/>
          <w:szCs w:val="24"/>
        </w:rPr>
        <w:t xml:space="preserve">, estableció que en la especialidad laboral se proferirán por escrito las providencias de segunda instancia en las que se surta el grado jurisdiccional de </w:t>
      </w:r>
      <w:r w:rsidRPr="007646E8">
        <w:rPr>
          <w:rFonts w:ascii="Tahoma" w:hAnsi="Tahoma" w:cs="Tahoma"/>
          <w:sz w:val="24"/>
          <w:szCs w:val="24"/>
        </w:rPr>
        <w:lastRenderedPageBreak/>
        <w:t xml:space="preserve">consulta o se resuelva el recurso de apelación de autos o sentencias, la Sala de Decisión Laboral del Tribunal Superior de Pereira, integrada por las Magistradas ANA LUCÍA CAICEDO CALDERÓN, como ponente, y OLGA LUCÍA HOYOS SEPÚLVEDA, y el Magistrado GERMÁN DARIO GOEZ VINASCO, procede a proferir la siguiente sentencia escrita dentro del proceso </w:t>
      </w:r>
      <w:r w:rsidRPr="00B53A99">
        <w:rPr>
          <w:rFonts w:ascii="Tahoma" w:hAnsi="Tahoma" w:cs="Tahoma"/>
          <w:b/>
          <w:sz w:val="24"/>
          <w:szCs w:val="24"/>
        </w:rPr>
        <w:t>ordinario laboral</w:t>
      </w:r>
      <w:r w:rsidRPr="007646E8">
        <w:rPr>
          <w:rFonts w:ascii="Tahoma" w:hAnsi="Tahoma" w:cs="Tahoma"/>
          <w:sz w:val="24"/>
          <w:szCs w:val="24"/>
        </w:rPr>
        <w:t xml:space="preserve"> instaurado por </w:t>
      </w:r>
      <w:r w:rsidR="00B53A99" w:rsidRPr="007646E8">
        <w:rPr>
          <w:rFonts w:ascii="Tahoma" w:hAnsi="Tahoma" w:cs="Tahoma"/>
          <w:b/>
          <w:bCs/>
          <w:sz w:val="24"/>
          <w:szCs w:val="24"/>
        </w:rPr>
        <w:t xml:space="preserve">Edilberto González Escobar </w:t>
      </w:r>
      <w:r w:rsidRPr="007646E8">
        <w:rPr>
          <w:rFonts w:ascii="Tahoma" w:hAnsi="Tahoma" w:cs="Tahoma"/>
          <w:sz w:val="24"/>
          <w:szCs w:val="24"/>
        </w:rPr>
        <w:t xml:space="preserve">en contra de la </w:t>
      </w:r>
      <w:r w:rsidR="00B53A99" w:rsidRPr="007646E8">
        <w:rPr>
          <w:rFonts w:ascii="Tahoma" w:hAnsi="Tahoma" w:cs="Tahoma"/>
          <w:b/>
          <w:sz w:val="24"/>
          <w:szCs w:val="24"/>
        </w:rPr>
        <w:t xml:space="preserve">Administradora Colombiana de Pensiones </w:t>
      </w:r>
      <w:r w:rsidR="00B53A99">
        <w:rPr>
          <w:rFonts w:ascii="Tahoma" w:hAnsi="Tahoma" w:cs="Tahoma"/>
          <w:b/>
          <w:sz w:val="24"/>
          <w:szCs w:val="24"/>
        </w:rPr>
        <w:t xml:space="preserve">– </w:t>
      </w:r>
      <w:r w:rsidRPr="007646E8">
        <w:rPr>
          <w:rFonts w:ascii="Tahoma" w:hAnsi="Tahoma" w:cs="Tahoma"/>
          <w:b/>
          <w:sz w:val="24"/>
          <w:szCs w:val="24"/>
        </w:rPr>
        <w:t>COLPENSIONES</w:t>
      </w:r>
      <w:r w:rsidR="00B53A99">
        <w:rPr>
          <w:rFonts w:ascii="Tahoma" w:hAnsi="Tahoma" w:cs="Tahoma"/>
          <w:b/>
          <w:sz w:val="24"/>
          <w:szCs w:val="24"/>
        </w:rPr>
        <w:t>.</w:t>
      </w:r>
      <w:r w:rsidRPr="007646E8">
        <w:rPr>
          <w:rFonts w:ascii="Tahoma" w:hAnsi="Tahoma" w:cs="Tahoma"/>
          <w:b/>
          <w:bCs/>
          <w:caps/>
          <w:sz w:val="24"/>
          <w:szCs w:val="24"/>
        </w:rPr>
        <w:t xml:space="preserve"> </w:t>
      </w:r>
    </w:p>
    <w:p w14:paraId="451EAA47" w14:textId="3407E21D" w:rsidR="00A91AE2" w:rsidRPr="007646E8" w:rsidRDefault="00A91AE2" w:rsidP="00B53A99">
      <w:pPr>
        <w:spacing w:after="0" w:line="276" w:lineRule="auto"/>
        <w:contextualSpacing/>
        <w:rPr>
          <w:rFonts w:ascii="Tahoma" w:hAnsi="Tahoma" w:cs="Tahoma"/>
          <w:b/>
          <w:bCs/>
          <w:caps/>
          <w:sz w:val="24"/>
          <w:szCs w:val="24"/>
        </w:rPr>
      </w:pPr>
    </w:p>
    <w:p w14:paraId="4477470D" w14:textId="77777777" w:rsidR="00A91AE2" w:rsidRPr="007646E8" w:rsidRDefault="00A91AE2" w:rsidP="007646E8">
      <w:pPr>
        <w:pStyle w:val="paragraph"/>
        <w:spacing w:before="0" w:beforeAutospacing="0" w:after="0" w:afterAutospacing="0" w:line="276" w:lineRule="auto"/>
        <w:jc w:val="center"/>
        <w:textAlignment w:val="baseline"/>
        <w:rPr>
          <w:rFonts w:ascii="Tahoma" w:hAnsi="Tahoma" w:cs="Tahoma"/>
          <w:b/>
        </w:rPr>
      </w:pPr>
      <w:r w:rsidRPr="007646E8">
        <w:rPr>
          <w:rStyle w:val="normaltextrun"/>
          <w:rFonts w:ascii="Tahoma" w:hAnsi="Tahoma" w:cs="Tahoma"/>
          <w:b/>
        </w:rPr>
        <w:t>PUNTO A TRATAR</w:t>
      </w:r>
    </w:p>
    <w:p w14:paraId="2EED8EB9" w14:textId="77777777" w:rsidR="00A91AE2" w:rsidRPr="007646E8" w:rsidRDefault="00A91AE2" w:rsidP="007646E8">
      <w:pPr>
        <w:spacing w:after="0" w:line="276" w:lineRule="auto"/>
        <w:ind w:firstLine="708"/>
        <w:rPr>
          <w:rStyle w:val="normaltextrun"/>
          <w:rFonts w:ascii="Tahoma" w:hAnsi="Tahoma" w:cs="Tahoma"/>
          <w:sz w:val="24"/>
          <w:szCs w:val="24"/>
        </w:rPr>
      </w:pPr>
    </w:p>
    <w:p w14:paraId="6A89103E" w14:textId="4B9E7314" w:rsidR="00A91AE2" w:rsidRPr="007646E8" w:rsidRDefault="00A91AE2" w:rsidP="007646E8">
      <w:pPr>
        <w:spacing w:after="0" w:line="276" w:lineRule="auto"/>
        <w:ind w:firstLine="709"/>
        <w:jc w:val="both"/>
        <w:rPr>
          <w:rStyle w:val="normaltextrun"/>
          <w:rFonts w:ascii="Tahoma" w:hAnsi="Tahoma" w:cs="Tahoma"/>
          <w:sz w:val="24"/>
          <w:szCs w:val="24"/>
        </w:rPr>
      </w:pPr>
      <w:r w:rsidRPr="007646E8">
        <w:rPr>
          <w:rStyle w:val="normaltextrun"/>
          <w:rFonts w:ascii="Tahoma" w:hAnsi="Tahoma" w:cs="Tahoma"/>
          <w:sz w:val="24"/>
          <w:szCs w:val="24"/>
        </w:rPr>
        <w:t>Por medio de esta providencia procede la Sala a</w:t>
      </w:r>
      <w:r w:rsidRPr="007646E8">
        <w:rPr>
          <w:rFonts w:ascii="Tahoma" w:hAnsi="Tahoma" w:cs="Tahoma"/>
          <w:sz w:val="24"/>
          <w:szCs w:val="24"/>
        </w:rPr>
        <w:t xml:space="preserve"> </w:t>
      </w:r>
      <w:r w:rsidR="00540ECB" w:rsidRPr="007646E8">
        <w:rPr>
          <w:rFonts w:ascii="Tahoma" w:hAnsi="Tahoma" w:cs="Tahoma"/>
          <w:sz w:val="24"/>
          <w:szCs w:val="24"/>
        </w:rPr>
        <w:t>revisar en sede de consulta</w:t>
      </w:r>
      <w:r w:rsidRPr="007646E8">
        <w:rPr>
          <w:rFonts w:ascii="Tahoma" w:hAnsi="Tahoma" w:cs="Tahoma"/>
          <w:sz w:val="24"/>
          <w:szCs w:val="24"/>
        </w:rPr>
        <w:t xml:space="preserve"> la sentencia </w:t>
      </w:r>
      <w:r w:rsidR="00BE1B37" w:rsidRPr="007646E8">
        <w:rPr>
          <w:rFonts w:ascii="Tahoma" w:hAnsi="Tahoma" w:cs="Tahoma"/>
          <w:sz w:val="24"/>
          <w:szCs w:val="24"/>
        </w:rPr>
        <w:t xml:space="preserve">de primera instancia </w:t>
      </w:r>
      <w:r w:rsidRPr="007646E8">
        <w:rPr>
          <w:rFonts w:ascii="Tahoma" w:hAnsi="Tahoma" w:cs="Tahoma"/>
          <w:sz w:val="24"/>
          <w:szCs w:val="24"/>
        </w:rPr>
        <w:t>proferida el 1</w:t>
      </w:r>
      <w:r w:rsidR="00540ECB" w:rsidRPr="007646E8">
        <w:rPr>
          <w:rFonts w:ascii="Tahoma" w:hAnsi="Tahoma" w:cs="Tahoma"/>
          <w:sz w:val="24"/>
          <w:szCs w:val="24"/>
        </w:rPr>
        <w:t>8</w:t>
      </w:r>
      <w:r w:rsidRPr="007646E8">
        <w:rPr>
          <w:rFonts w:ascii="Tahoma" w:hAnsi="Tahoma" w:cs="Tahoma"/>
          <w:sz w:val="24"/>
          <w:szCs w:val="24"/>
        </w:rPr>
        <w:t xml:space="preserve"> de ju</w:t>
      </w:r>
      <w:r w:rsidR="00540ECB" w:rsidRPr="007646E8">
        <w:rPr>
          <w:rFonts w:ascii="Tahoma" w:hAnsi="Tahoma" w:cs="Tahoma"/>
          <w:sz w:val="24"/>
          <w:szCs w:val="24"/>
        </w:rPr>
        <w:t>lio</w:t>
      </w:r>
      <w:r w:rsidRPr="007646E8">
        <w:rPr>
          <w:rFonts w:ascii="Tahoma" w:hAnsi="Tahoma" w:cs="Tahoma"/>
          <w:sz w:val="24"/>
          <w:szCs w:val="24"/>
        </w:rPr>
        <w:t xml:space="preserve"> de 2022 por el Juzgado </w:t>
      </w:r>
      <w:r w:rsidR="00540ECB" w:rsidRPr="007646E8">
        <w:rPr>
          <w:rFonts w:ascii="Tahoma" w:hAnsi="Tahoma" w:cs="Tahoma"/>
          <w:sz w:val="24"/>
          <w:szCs w:val="24"/>
        </w:rPr>
        <w:t>Cuarto</w:t>
      </w:r>
      <w:r w:rsidRPr="007646E8">
        <w:rPr>
          <w:rFonts w:ascii="Tahoma" w:hAnsi="Tahoma" w:cs="Tahoma"/>
          <w:sz w:val="24"/>
          <w:szCs w:val="24"/>
        </w:rPr>
        <w:t xml:space="preserve"> Laboral del Circuito de Pereira</w:t>
      </w:r>
      <w:r w:rsidR="00540ECB" w:rsidRPr="007646E8">
        <w:rPr>
          <w:rFonts w:ascii="Tahoma" w:hAnsi="Tahoma" w:cs="Tahoma"/>
          <w:sz w:val="24"/>
          <w:szCs w:val="24"/>
        </w:rPr>
        <w:t xml:space="preserve">, </w:t>
      </w:r>
      <w:r w:rsidR="00BE1B37" w:rsidRPr="007646E8">
        <w:rPr>
          <w:rFonts w:ascii="Tahoma" w:hAnsi="Tahoma" w:cs="Tahoma"/>
          <w:sz w:val="24"/>
          <w:szCs w:val="24"/>
        </w:rPr>
        <w:t>la cual fue adversa a los intereses del demandante.</w:t>
      </w:r>
      <w:r w:rsidRPr="007646E8">
        <w:rPr>
          <w:rFonts w:ascii="Tahoma" w:hAnsi="Tahoma" w:cs="Tahoma"/>
          <w:sz w:val="24"/>
          <w:szCs w:val="24"/>
        </w:rPr>
        <w:t xml:space="preserve"> </w:t>
      </w:r>
      <w:r w:rsidRPr="007646E8">
        <w:rPr>
          <w:rStyle w:val="normaltextrun"/>
          <w:rFonts w:ascii="Tahoma" w:hAnsi="Tahoma" w:cs="Tahoma"/>
          <w:sz w:val="24"/>
          <w:szCs w:val="24"/>
        </w:rPr>
        <w:t>Para ello se tiene en cuenta lo siguiente: </w:t>
      </w:r>
    </w:p>
    <w:p w14:paraId="27410DD7" w14:textId="77777777" w:rsidR="00A91AE2" w:rsidRPr="007646E8" w:rsidRDefault="00A91AE2" w:rsidP="007646E8">
      <w:pPr>
        <w:spacing w:after="0" w:line="276" w:lineRule="auto"/>
        <w:ind w:firstLine="709"/>
        <w:jc w:val="both"/>
        <w:rPr>
          <w:rFonts w:ascii="Tahoma" w:hAnsi="Tahoma" w:cs="Tahoma"/>
          <w:sz w:val="24"/>
          <w:szCs w:val="24"/>
        </w:rPr>
      </w:pPr>
    </w:p>
    <w:p w14:paraId="27FF2BA6" w14:textId="02E35C03" w:rsidR="00A91AE2" w:rsidRPr="007646E8" w:rsidRDefault="00BE1B37" w:rsidP="007646E8">
      <w:pPr>
        <w:pStyle w:val="Prrafodelista"/>
        <w:numPr>
          <w:ilvl w:val="0"/>
          <w:numId w:val="1"/>
        </w:numPr>
        <w:spacing w:after="0" w:line="276" w:lineRule="auto"/>
        <w:jc w:val="center"/>
        <w:rPr>
          <w:rFonts w:ascii="Tahoma" w:hAnsi="Tahoma" w:cs="Tahoma"/>
          <w:b/>
          <w:bCs/>
          <w:sz w:val="24"/>
          <w:szCs w:val="24"/>
          <w:lang w:val="es-MX"/>
        </w:rPr>
      </w:pPr>
      <w:r w:rsidRPr="007646E8">
        <w:rPr>
          <w:rFonts w:ascii="Tahoma" w:hAnsi="Tahoma" w:cs="Tahoma"/>
          <w:b/>
          <w:bCs/>
          <w:sz w:val="24"/>
          <w:szCs w:val="24"/>
          <w:lang w:val="es-MX"/>
        </w:rPr>
        <w:t>L</w:t>
      </w:r>
      <w:r w:rsidR="00A91AE2" w:rsidRPr="007646E8">
        <w:rPr>
          <w:rFonts w:ascii="Tahoma" w:hAnsi="Tahoma" w:cs="Tahoma"/>
          <w:b/>
          <w:bCs/>
          <w:sz w:val="24"/>
          <w:szCs w:val="24"/>
          <w:lang w:val="es-MX"/>
        </w:rPr>
        <w:t xml:space="preserve">a demanda y </w:t>
      </w:r>
      <w:r w:rsidR="00405F56" w:rsidRPr="007646E8">
        <w:rPr>
          <w:rFonts w:ascii="Tahoma" w:hAnsi="Tahoma" w:cs="Tahoma"/>
          <w:b/>
          <w:bCs/>
          <w:sz w:val="24"/>
          <w:szCs w:val="24"/>
          <w:lang w:val="es-MX"/>
        </w:rPr>
        <w:t>la</w:t>
      </w:r>
      <w:r w:rsidR="00A91AE2" w:rsidRPr="007646E8">
        <w:rPr>
          <w:rFonts w:ascii="Tahoma" w:hAnsi="Tahoma" w:cs="Tahoma"/>
          <w:b/>
          <w:bCs/>
          <w:sz w:val="24"/>
          <w:szCs w:val="24"/>
          <w:lang w:val="es-MX"/>
        </w:rPr>
        <w:t xml:space="preserve"> contestación</w:t>
      </w:r>
      <w:r w:rsidR="00405F56" w:rsidRPr="007646E8">
        <w:rPr>
          <w:rFonts w:ascii="Tahoma" w:hAnsi="Tahoma" w:cs="Tahoma"/>
          <w:b/>
          <w:bCs/>
          <w:sz w:val="24"/>
          <w:szCs w:val="24"/>
          <w:lang w:val="es-MX"/>
        </w:rPr>
        <w:t xml:space="preserve"> de la demanda</w:t>
      </w:r>
    </w:p>
    <w:p w14:paraId="3F74BBF6" w14:textId="77777777" w:rsidR="00BE1B37" w:rsidRPr="007646E8" w:rsidRDefault="00BE1B37" w:rsidP="007646E8">
      <w:pPr>
        <w:spacing w:after="0" w:line="276" w:lineRule="auto"/>
        <w:ind w:firstLine="709"/>
        <w:jc w:val="both"/>
        <w:rPr>
          <w:rFonts w:ascii="Tahoma" w:hAnsi="Tahoma" w:cs="Tahoma"/>
          <w:sz w:val="24"/>
          <w:szCs w:val="24"/>
        </w:rPr>
      </w:pPr>
    </w:p>
    <w:p w14:paraId="2EF84505" w14:textId="2DCCE1CC" w:rsidR="00F63C96" w:rsidRPr="007646E8" w:rsidRDefault="00F63C96" w:rsidP="00D933B9">
      <w:pPr>
        <w:spacing w:after="0" w:line="276" w:lineRule="auto"/>
        <w:ind w:firstLine="708"/>
        <w:jc w:val="both"/>
        <w:rPr>
          <w:rFonts w:ascii="Tahoma" w:hAnsi="Tahoma" w:cs="Tahoma"/>
          <w:sz w:val="24"/>
          <w:szCs w:val="24"/>
        </w:rPr>
      </w:pPr>
      <w:r w:rsidRPr="007646E8">
        <w:rPr>
          <w:rFonts w:ascii="Tahoma" w:hAnsi="Tahoma" w:cs="Tahoma"/>
          <w:sz w:val="24"/>
          <w:szCs w:val="24"/>
        </w:rPr>
        <w:t xml:space="preserve">El demandante pretende que se declare que tiene derecho a la reliquidación de su indemnización sustitutiva, liquidada </w:t>
      </w:r>
      <w:r w:rsidR="00E15A73" w:rsidRPr="007646E8">
        <w:rPr>
          <w:rFonts w:ascii="Tahoma" w:hAnsi="Tahoma" w:cs="Tahoma"/>
          <w:sz w:val="24"/>
          <w:szCs w:val="24"/>
        </w:rPr>
        <w:t>con</w:t>
      </w:r>
      <w:r w:rsidRPr="007646E8">
        <w:rPr>
          <w:rFonts w:ascii="Tahoma" w:hAnsi="Tahoma" w:cs="Tahoma"/>
          <w:sz w:val="24"/>
          <w:szCs w:val="24"/>
        </w:rPr>
        <w:t xml:space="preserve"> un salario base de cotización semanal actualizado de $810.340,96 pesos (IBL) y un promedio ponderado de los porcentajes cotizados (PPC) de 5,84%, lo que arroja en su caso una indemnización sustitutiva por un monto de $46.684.165,2.</w:t>
      </w:r>
    </w:p>
    <w:p w14:paraId="18D455EA" w14:textId="77777777" w:rsidR="00F63C96" w:rsidRPr="007646E8" w:rsidRDefault="00F63C96" w:rsidP="00D933B9">
      <w:pPr>
        <w:spacing w:after="0" w:line="276" w:lineRule="auto"/>
        <w:ind w:firstLine="708"/>
        <w:jc w:val="both"/>
        <w:rPr>
          <w:rFonts w:ascii="Tahoma" w:hAnsi="Tahoma" w:cs="Tahoma"/>
          <w:sz w:val="24"/>
          <w:szCs w:val="24"/>
        </w:rPr>
      </w:pPr>
    </w:p>
    <w:p w14:paraId="003503AD" w14:textId="77777777" w:rsidR="00E15A73" w:rsidRPr="007646E8" w:rsidRDefault="00F63C96" w:rsidP="00D933B9">
      <w:pPr>
        <w:spacing w:after="0" w:line="276" w:lineRule="auto"/>
        <w:ind w:firstLine="708"/>
        <w:jc w:val="both"/>
        <w:rPr>
          <w:rFonts w:ascii="Tahoma" w:hAnsi="Tahoma" w:cs="Tahoma"/>
          <w:sz w:val="24"/>
          <w:szCs w:val="24"/>
        </w:rPr>
      </w:pPr>
      <w:r w:rsidRPr="007646E8">
        <w:rPr>
          <w:rFonts w:ascii="Tahoma" w:hAnsi="Tahoma" w:cs="Tahoma"/>
          <w:sz w:val="24"/>
          <w:szCs w:val="24"/>
        </w:rPr>
        <w:t>Por lo anterior, reclama el pago de la suma de $18.636.399,12, correspondiente a la diferencia entre lo que debió recibir como indemnización sustitutiva y los $28.047.766 que le reconoció COLPENSIONES por ese concepto en la Resolución No. 21478 del 29 de marzo de 2017</w:t>
      </w:r>
      <w:r w:rsidR="00E15A73" w:rsidRPr="007646E8">
        <w:rPr>
          <w:rFonts w:ascii="Tahoma" w:hAnsi="Tahoma" w:cs="Tahoma"/>
          <w:sz w:val="24"/>
          <w:szCs w:val="24"/>
        </w:rPr>
        <w:t xml:space="preserve">, lo mismo que al pago de la indexación de la adeudado y las costas del proceso. </w:t>
      </w:r>
    </w:p>
    <w:p w14:paraId="3FE283DE" w14:textId="77777777" w:rsidR="00E15A73" w:rsidRPr="007646E8" w:rsidRDefault="00E15A73" w:rsidP="00D933B9">
      <w:pPr>
        <w:spacing w:after="0" w:line="276" w:lineRule="auto"/>
        <w:ind w:firstLine="708"/>
        <w:jc w:val="both"/>
        <w:rPr>
          <w:rFonts w:ascii="Tahoma" w:hAnsi="Tahoma" w:cs="Tahoma"/>
          <w:sz w:val="24"/>
          <w:szCs w:val="24"/>
        </w:rPr>
      </w:pPr>
    </w:p>
    <w:p w14:paraId="27F2D3DC" w14:textId="54509FFA" w:rsidR="005D3001" w:rsidRPr="007646E8" w:rsidRDefault="00E15A73" w:rsidP="00D933B9">
      <w:pPr>
        <w:spacing w:after="0" w:line="276" w:lineRule="auto"/>
        <w:ind w:firstLine="708"/>
        <w:jc w:val="both"/>
        <w:rPr>
          <w:rFonts w:ascii="Tahoma" w:hAnsi="Tahoma" w:cs="Tahoma"/>
          <w:sz w:val="24"/>
          <w:szCs w:val="24"/>
        </w:rPr>
      </w:pPr>
      <w:r w:rsidRPr="007646E8">
        <w:rPr>
          <w:rFonts w:ascii="Tahoma" w:hAnsi="Tahoma" w:cs="Tahoma"/>
          <w:sz w:val="24"/>
          <w:szCs w:val="24"/>
        </w:rPr>
        <w:t xml:space="preserve">Como fundamento de lo anterior, sostiene que nació el 21 de diciembre de 1945, por lo que arribó a la edad de 62 años el 21 de diciembre de 2007, alcanzando a cotizar durante toda su vida un total de 987,14 semanas. Añade que, al no cumplir con los requisitos para lograr su pensión de vejez, solicitó </w:t>
      </w:r>
      <w:r w:rsidR="00345A73" w:rsidRPr="007646E8">
        <w:rPr>
          <w:rFonts w:ascii="Tahoma" w:hAnsi="Tahoma" w:cs="Tahoma"/>
          <w:sz w:val="24"/>
          <w:szCs w:val="24"/>
        </w:rPr>
        <w:t>la indemnización sustitutiva el 24 de febrero de 2017, la cual fue resuelta mediante Resolución No. 21478 del 29 de marzo de 2017, en la que se le reconoció la suma de $28.047.766, sin que haya quedado claro el IBL sobre el cual se calculó. Finalmente, señala que agotó la exigencia de la reclamación administrativa previa el 09 de marzo de 2021 y que recibió respuesta negativa el 10 de mayo de ese mismo año.</w:t>
      </w:r>
    </w:p>
    <w:p w14:paraId="58468262" w14:textId="77777777" w:rsidR="005D3001" w:rsidRPr="007646E8" w:rsidRDefault="005D3001" w:rsidP="00D933B9">
      <w:pPr>
        <w:spacing w:after="0" w:line="276" w:lineRule="auto"/>
        <w:ind w:firstLine="708"/>
        <w:jc w:val="both"/>
        <w:rPr>
          <w:rFonts w:ascii="Tahoma" w:hAnsi="Tahoma" w:cs="Tahoma"/>
          <w:sz w:val="24"/>
          <w:szCs w:val="24"/>
        </w:rPr>
      </w:pPr>
    </w:p>
    <w:p w14:paraId="01AFFA75" w14:textId="76DE9629" w:rsidR="00F63C96" w:rsidRPr="007646E8" w:rsidRDefault="005D3001" w:rsidP="007646E8">
      <w:pPr>
        <w:spacing w:after="0" w:line="276" w:lineRule="auto"/>
        <w:ind w:firstLine="709"/>
        <w:jc w:val="both"/>
        <w:rPr>
          <w:rFonts w:ascii="Tahoma" w:hAnsi="Tahoma" w:cs="Tahoma"/>
          <w:sz w:val="24"/>
          <w:szCs w:val="24"/>
        </w:rPr>
      </w:pPr>
      <w:r w:rsidRPr="007646E8">
        <w:rPr>
          <w:rFonts w:ascii="Tahoma" w:hAnsi="Tahoma" w:cs="Tahoma"/>
          <w:sz w:val="24"/>
          <w:szCs w:val="24"/>
        </w:rPr>
        <w:t>En respuesta a la demanda</w:t>
      </w:r>
      <w:r w:rsidR="008C04AC" w:rsidRPr="007646E8">
        <w:rPr>
          <w:rFonts w:ascii="Tahoma" w:hAnsi="Tahoma" w:cs="Tahoma"/>
          <w:sz w:val="24"/>
          <w:szCs w:val="24"/>
        </w:rPr>
        <w:t xml:space="preserve">, la </w:t>
      </w:r>
      <w:r w:rsidR="008C04AC" w:rsidRPr="007646E8">
        <w:rPr>
          <w:rFonts w:ascii="Tahoma" w:hAnsi="Tahoma" w:cs="Tahoma"/>
          <w:b/>
          <w:sz w:val="24"/>
          <w:szCs w:val="24"/>
        </w:rPr>
        <w:t>Administradora Colombiana de Pensiones -Colpensiones-</w:t>
      </w:r>
      <w:r w:rsidR="008C04AC" w:rsidRPr="007646E8">
        <w:rPr>
          <w:rFonts w:ascii="Tahoma" w:hAnsi="Tahoma" w:cs="Tahoma"/>
          <w:sz w:val="24"/>
          <w:szCs w:val="24"/>
        </w:rPr>
        <w:t xml:space="preserve"> se opuso a las pretensiones, al considerar que no existen valores extras a reconocer al demandante por concepto de indemnización sustitutiva, </w:t>
      </w:r>
      <w:r w:rsidR="00BE1B37" w:rsidRPr="007646E8">
        <w:rPr>
          <w:rFonts w:ascii="Tahoma" w:hAnsi="Tahoma" w:cs="Tahoma"/>
          <w:sz w:val="24"/>
          <w:szCs w:val="24"/>
        </w:rPr>
        <w:t xml:space="preserve">pues el monto </w:t>
      </w:r>
      <w:r w:rsidR="008C04AC" w:rsidRPr="007646E8">
        <w:rPr>
          <w:rFonts w:ascii="Tahoma" w:hAnsi="Tahoma" w:cs="Tahoma"/>
          <w:sz w:val="24"/>
          <w:szCs w:val="24"/>
        </w:rPr>
        <w:t>reconocid</w:t>
      </w:r>
      <w:r w:rsidR="00BE1B37" w:rsidRPr="007646E8">
        <w:rPr>
          <w:rFonts w:ascii="Tahoma" w:hAnsi="Tahoma" w:cs="Tahoma"/>
          <w:sz w:val="24"/>
          <w:szCs w:val="24"/>
        </w:rPr>
        <w:t>o</w:t>
      </w:r>
      <w:r w:rsidR="008C04AC" w:rsidRPr="007646E8">
        <w:rPr>
          <w:rFonts w:ascii="Tahoma" w:hAnsi="Tahoma" w:cs="Tahoma"/>
          <w:sz w:val="24"/>
          <w:szCs w:val="24"/>
        </w:rPr>
        <w:t xml:space="preserve"> a través de la Resolución No. 21478 del 29 de marzo de 201</w:t>
      </w:r>
      <w:r w:rsidR="00BE1B37" w:rsidRPr="007646E8">
        <w:rPr>
          <w:rFonts w:ascii="Tahoma" w:hAnsi="Tahoma" w:cs="Tahoma"/>
          <w:sz w:val="24"/>
          <w:szCs w:val="24"/>
        </w:rPr>
        <w:t>7 deriva de la aplicación de la</w:t>
      </w:r>
      <w:r w:rsidR="008C04AC" w:rsidRPr="007646E8">
        <w:rPr>
          <w:rFonts w:ascii="Tahoma" w:hAnsi="Tahoma" w:cs="Tahoma"/>
          <w:sz w:val="24"/>
          <w:szCs w:val="24"/>
        </w:rPr>
        <w:t xml:space="preserve"> fórmula y los valores de ley, en razón de lo cual propuso como excepciones las denominadas: </w:t>
      </w:r>
      <w:r w:rsidR="008C04AC" w:rsidRPr="007646E8">
        <w:rPr>
          <w:rFonts w:ascii="Tahoma" w:hAnsi="Tahoma" w:cs="Tahoma"/>
          <w:i/>
          <w:sz w:val="24"/>
          <w:szCs w:val="24"/>
        </w:rPr>
        <w:t xml:space="preserve">inexistencia de la obligación, prescripción, imposibilidad </w:t>
      </w:r>
      <w:r w:rsidR="008C04AC" w:rsidRPr="007646E8">
        <w:rPr>
          <w:rFonts w:ascii="Tahoma" w:hAnsi="Tahoma" w:cs="Tahoma"/>
          <w:i/>
          <w:sz w:val="24"/>
          <w:szCs w:val="24"/>
        </w:rPr>
        <w:lastRenderedPageBreak/>
        <w:t>jurídica para reconocer y pagar derechos por fuera del ordenamiento legal, buena fe e imposibilidad de condena en costas</w:t>
      </w:r>
      <w:r w:rsidR="008C04AC" w:rsidRPr="007646E8">
        <w:rPr>
          <w:rFonts w:ascii="Tahoma" w:hAnsi="Tahoma" w:cs="Tahoma"/>
          <w:sz w:val="24"/>
          <w:szCs w:val="24"/>
        </w:rPr>
        <w:t xml:space="preserve">. </w:t>
      </w:r>
      <w:r w:rsidR="00F63C96" w:rsidRPr="007646E8">
        <w:rPr>
          <w:rFonts w:ascii="Tahoma" w:hAnsi="Tahoma" w:cs="Tahoma"/>
          <w:sz w:val="24"/>
          <w:szCs w:val="24"/>
        </w:rPr>
        <w:t xml:space="preserve">  </w:t>
      </w:r>
    </w:p>
    <w:p w14:paraId="0D2D91C0" w14:textId="1B06F88F" w:rsidR="00540ECB" w:rsidRPr="007646E8" w:rsidRDefault="00540ECB" w:rsidP="007646E8">
      <w:pPr>
        <w:spacing w:after="0" w:line="276" w:lineRule="auto"/>
        <w:ind w:firstLine="709"/>
        <w:jc w:val="both"/>
        <w:rPr>
          <w:rFonts w:ascii="Tahoma" w:hAnsi="Tahoma" w:cs="Tahoma"/>
          <w:sz w:val="24"/>
          <w:szCs w:val="24"/>
        </w:rPr>
      </w:pPr>
    </w:p>
    <w:p w14:paraId="757A3F7E" w14:textId="23553ECC" w:rsidR="00BE1B37" w:rsidRPr="007646E8" w:rsidRDefault="00BE1B37" w:rsidP="007646E8">
      <w:pPr>
        <w:pStyle w:val="Prrafodelista"/>
        <w:numPr>
          <w:ilvl w:val="0"/>
          <w:numId w:val="1"/>
        </w:numPr>
        <w:spacing w:after="0" w:line="276" w:lineRule="auto"/>
        <w:ind w:left="0" w:firstLine="0"/>
        <w:jc w:val="center"/>
        <w:rPr>
          <w:rFonts w:ascii="Tahoma" w:hAnsi="Tahoma" w:cs="Tahoma"/>
          <w:b/>
          <w:sz w:val="24"/>
          <w:szCs w:val="24"/>
        </w:rPr>
      </w:pPr>
      <w:r w:rsidRPr="007646E8">
        <w:rPr>
          <w:rFonts w:ascii="Tahoma" w:hAnsi="Tahoma" w:cs="Tahoma"/>
          <w:b/>
          <w:sz w:val="24"/>
          <w:szCs w:val="24"/>
        </w:rPr>
        <w:t>Sentencia de primera instancia</w:t>
      </w:r>
    </w:p>
    <w:p w14:paraId="1856ED28" w14:textId="7067F01C" w:rsidR="00BE1B37" w:rsidRPr="007646E8" w:rsidRDefault="00BE1B37" w:rsidP="007646E8">
      <w:pPr>
        <w:spacing w:after="0" w:line="276" w:lineRule="auto"/>
        <w:jc w:val="both"/>
        <w:rPr>
          <w:rFonts w:ascii="Tahoma" w:hAnsi="Tahoma" w:cs="Tahoma"/>
          <w:sz w:val="24"/>
          <w:szCs w:val="24"/>
        </w:rPr>
      </w:pPr>
    </w:p>
    <w:p w14:paraId="74C05D92" w14:textId="6247D18E" w:rsidR="00494C42" w:rsidRPr="007646E8" w:rsidRDefault="00BE1B37" w:rsidP="007646E8">
      <w:pPr>
        <w:spacing w:after="0" w:line="276" w:lineRule="auto"/>
        <w:ind w:firstLine="709"/>
        <w:jc w:val="both"/>
        <w:rPr>
          <w:rFonts w:ascii="Tahoma" w:hAnsi="Tahoma" w:cs="Tahoma"/>
          <w:sz w:val="24"/>
          <w:szCs w:val="24"/>
        </w:rPr>
      </w:pPr>
      <w:r w:rsidRPr="007646E8">
        <w:rPr>
          <w:rFonts w:ascii="Tahoma" w:hAnsi="Tahoma" w:cs="Tahoma"/>
          <w:sz w:val="24"/>
          <w:szCs w:val="24"/>
        </w:rPr>
        <w:t xml:space="preserve">La </w:t>
      </w:r>
      <w:r w:rsidRPr="007646E8">
        <w:rPr>
          <w:rFonts w:ascii="Tahoma" w:hAnsi="Tahoma" w:cs="Tahoma"/>
          <w:i/>
          <w:sz w:val="24"/>
          <w:szCs w:val="24"/>
        </w:rPr>
        <w:t>a-quo</w:t>
      </w:r>
      <w:r w:rsidRPr="007646E8">
        <w:rPr>
          <w:rFonts w:ascii="Tahoma" w:hAnsi="Tahoma" w:cs="Tahoma"/>
          <w:sz w:val="24"/>
          <w:szCs w:val="24"/>
        </w:rPr>
        <w:t xml:space="preserve"> negó las pretensiones de la demanda y condenó en costas procesales a la parte actora, al con</w:t>
      </w:r>
      <w:r w:rsidR="002C17F7" w:rsidRPr="007646E8">
        <w:rPr>
          <w:rFonts w:ascii="Tahoma" w:hAnsi="Tahoma" w:cs="Tahoma"/>
          <w:sz w:val="24"/>
          <w:szCs w:val="24"/>
        </w:rPr>
        <w:t>cluir que</w:t>
      </w:r>
      <w:r w:rsidR="00A64381" w:rsidRPr="007646E8">
        <w:rPr>
          <w:rFonts w:ascii="Tahoma" w:hAnsi="Tahoma" w:cs="Tahoma"/>
          <w:sz w:val="24"/>
          <w:szCs w:val="24"/>
        </w:rPr>
        <w:t xml:space="preserve"> el monto reconocido por </w:t>
      </w:r>
      <w:r w:rsidR="002C17F7" w:rsidRPr="007646E8">
        <w:rPr>
          <w:rFonts w:ascii="Tahoma" w:hAnsi="Tahoma" w:cs="Tahoma"/>
          <w:sz w:val="24"/>
          <w:szCs w:val="24"/>
        </w:rPr>
        <w:t>COLPENSIONES</w:t>
      </w:r>
      <w:r w:rsidR="00A64381" w:rsidRPr="007646E8">
        <w:rPr>
          <w:rFonts w:ascii="Tahoma" w:hAnsi="Tahoma" w:cs="Tahoma"/>
          <w:sz w:val="24"/>
          <w:szCs w:val="24"/>
        </w:rPr>
        <w:t xml:space="preserve"> a la</w:t>
      </w:r>
      <w:r w:rsidR="002C17F7" w:rsidRPr="007646E8">
        <w:rPr>
          <w:rFonts w:ascii="Tahoma" w:hAnsi="Tahoma" w:cs="Tahoma"/>
          <w:sz w:val="24"/>
          <w:szCs w:val="24"/>
        </w:rPr>
        <w:t xml:space="preserve"> </w:t>
      </w:r>
      <w:r w:rsidR="00AB22F3" w:rsidRPr="007646E8">
        <w:rPr>
          <w:rFonts w:ascii="Tahoma" w:hAnsi="Tahoma" w:cs="Tahoma"/>
          <w:sz w:val="24"/>
          <w:szCs w:val="24"/>
        </w:rPr>
        <w:t xml:space="preserve">parte </w:t>
      </w:r>
      <w:r w:rsidR="002C17F7" w:rsidRPr="007646E8">
        <w:rPr>
          <w:rFonts w:ascii="Tahoma" w:hAnsi="Tahoma" w:cs="Tahoma"/>
          <w:sz w:val="24"/>
          <w:szCs w:val="24"/>
        </w:rPr>
        <w:t>demandante por concepto indemnización sustitutiva</w:t>
      </w:r>
      <w:r w:rsidR="00494C42" w:rsidRPr="007646E8">
        <w:rPr>
          <w:rFonts w:ascii="Tahoma" w:hAnsi="Tahoma" w:cs="Tahoma"/>
          <w:sz w:val="24"/>
          <w:szCs w:val="24"/>
        </w:rPr>
        <w:t xml:space="preserve"> era incluso un poco superior al calculado por el juzgado.</w:t>
      </w:r>
    </w:p>
    <w:p w14:paraId="4E6F8244" w14:textId="26E548BD" w:rsidR="00494C42" w:rsidRPr="007646E8" w:rsidRDefault="00494C42" w:rsidP="007646E8">
      <w:pPr>
        <w:spacing w:after="0" w:line="276" w:lineRule="auto"/>
        <w:ind w:firstLine="709"/>
        <w:jc w:val="both"/>
        <w:rPr>
          <w:rFonts w:ascii="Tahoma" w:hAnsi="Tahoma" w:cs="Tahoma"/>
          <w:sz w:val="24"/>
          <w:szCs w:val="24"/>
        </w:rPr>
      </w:pPr>
    </w:p>
    <w:p w14:paraId="6E3BD0F3" w14:textId="2C423383" w:rsidR="00494C42" w:rsidRPr="007646E8" w:rsidRDefault="00494C42" w:rsidP="007646E8">
      <w:pPr>
        <w:spacing w:after="0" w:line="276" w:lineRule="auto"/>
        <w:ind w:firstLine="709"/>
        <w:jc w:val="both"/>
        <w:rPr>
          <w:rFonts w:ascii="Tahoma" w:hAnsi="Tahoma" w:cs="Tahoma"/>
          <w:sz w:val="24"/>
          <w:szCs w:val="24"/>
        </w:rPr>
      </w:pPr>
      <w:r w:rsidRPr="007646E8">
        <w:rPr>
          <w:rFonts w:ascii="Tahoma" w:hAnsi="Tahoma" w:cs="Tahoma"/>
          <w:sz w:val="24"/>
          <w:szCs w:val="24"/>
        </w:rPr>
        <w:t xml:space="preserve">Seguidamente </w:t>
      </w:r>
      <w:r w:rsidR="00460B98" w:rsidRPr="007646E8">
        <w:rPr>
          <w:rFonts w:ascii="Tahoma" w:hAnsi="Tahoma" w:cs="Tahoma"/>
          <w:sz w:val="24"/>
          <w:szCs w:val="24"/>
        </w:rPr>
        <w:t>explicó</w:t>
      </w:r>
      <w:r w:rsidRPr="007646E8">
        <w:rPr>
          <w:rFonts w:ascii="Tahoma" w:hAnsi="Tahoma" w:cs="Tahoma"/>
          <w:sz w:val="24"/>
          <w:szCs w:val="24"/>
        </w:rPr>
        <w:t xml:space="preserve"> que la liquidación </w:t>
      </w:r>
      <w:r w:rsidR="00460B98" w:rsidRPr="007646E8">
        <w:rPr>
          <w:rFonts w:ascii="Tahoma" w:hAnsi="Tahoma" w:cs="Tahoma"/>
          <w:sz w:val="24"/>
          <w:szCs w:val="24"/>
        </w:rPr>
        <w:t>que</w:t>
      </w:r>
      <w:r w:rsidRPr="007646E8">
        <w:rPr>
          <w:rFonts w:ascii="Tahoma" w:hAnsi="Tahoma" w:cs="Tahoma"/>
          <w:sz w:val="24"/>
          <w:szCs w:val="24"/>
        </w:rPr>
        <w:t xml:space="preserve"> sustenta </w:t>
      </w:r>
      <w:r w:rsidR="00460B98" w:rsidRPr="007646E8">
        <w:rPr>
          <w:rFonts w:ascii="Tahoma" w:hAnsi="Tahoma" w:cs="Tahoma"/>
          <w:sz w:val="24"/>
          <w:szCs w:val="24"/>
        </w:rPr>
        <w:t>la</w:t>
      </w:r>
      <w:r w:rsidRPr="007646E8">
        <w:rPr>
          <w:rFonts w:ascii="Tahoma" w:hAnsi="Tahoma" w:cs="Tahoma"/>
          <w:sz w:val="24"/>
          <w:szCs w:val="24"/>
        </w:rPr>
        <w:t xml:space="preserve"> </w:t>
      </w:r>
      <w:r w:rsidR="00460B98" w:rsidRPr="007646E8">
        <w:rPr>
          <w:rFonts w:ascii="Tahoma" w:hAnsi="Tahoma" w:cs="Tahoma"/>
          <w:sz w:val="24"/>
          <w:szCs w:val="24"/>
        </w:rPr>
        <w:t>pretensión</w:t>
      </w:r>
      <w:r w:rsidRPr="007646E8">
        <w:rPr>
          <w:rFonts w:ascii="Tahoma" w:hAnsi="Tahoma" w:cs="Tahoma"/>
          <w:sz w:val="24"/>
          <w:szCs w:val="24"/>
        </w:rPr>
        <w:t xml:space="preserve"> incurre en varios errores, porque: 1) </w:t>
      </w:r>
      <w:r w:rsidR="00460B98" w:rsidRPr="007646E8">
        <w:rPr>
          <w:rFonts w:ascii="Tahoma" w:hAnsi="Tahoma" w:cs="Tahoma"/>
          <w:sz w:val="24"/>
          <w:szCs w:val="24"/>
        </w:rPr>
        <w:t xml:space="preserve">el demandante </w:t>
      </w:r>
      <w:r w:rsidR="00BE1B37" w:rsidRPr="007646E8">
        <w:rPr>
          <w:rFonts w:ascii="Tahoma" w:hAnsi="Tahoma" w:cs="Tahoma"/>
          <w:sz w:val="24"/>
          <w:szCs w:val="24"/>
        </w:rPr>
        <w:t xml:space="preserve">adoptó una tasa de cotización del 8% en los periodos de cotización del 30 de noviembre de 1992 al 31 de diciembre de 1993, </w:t>
      </w:r>
      <w:r w:rsidRPr="007646E8">
        <w:rPr>
          <w:rFonts w:ascii="Tahoma" w:hAnsi="Tahoma" w:cs="Tahoma"/>
          <w:sz w:val="24"/>
          <w:szCs w:val="24"/>
        </w:rPr>
        <w:t xml:space="preserve">cuando la tasa para esa época ascendía a 6,5% y </w:t>
      </w:r>
      <w:r w:rsidR="00BE1B37" w:rsidRPr="007646E8">
        <w:rPr>
          <w:rFonts w:ascii="Tahoma" w:hAnsi="Tahoma" w:cs="Tahoma"/>
          <w:sz w:val="24"/>
          <w:szCs w:val="24"/>
        </w:rPr>
        <w:t>2) el IB</w:t>
      </w:r>
      <w:r w:rsidRPr="007646E8">
        <w:rPr>
          <w:rFonts w:ascii="Tahoma" w:hAnsi="Tahoma" w:cs="Tahoma"/>
          <w:sz w:val="24"/>
          <w:szCs w:val="24"/>
        </w:rPr>
        <w:t>C</w:t>
      </w:r>
      <w:r w:rsidR="00BE1B37" w:rsidRPr="007646E8">
        <w:rPr>
          <w:rFonts w:ascii="Tahoma" w:hAnsi="Tahoma" w:cs="Tahoma"/>
          <w:sz w:val="24"/>
          <w:szCs w:val="24"/>
        </w:rPr>
        <w:t xml:space="preserve"> escogido no fue el dispuesto en el detalle de pago anteriores a 1995</w:t>
      </w:r>
      <w:r w:rsidRPr="007646E8">
        <w:rPr>
          <w:rFonts w:ascii="Tahoma" w:hAnsi="Tahoma" w:cs="Tahoma"/>
          <w:sz w:val="24"/>
          <w:szCs w:val="24"/>
        </w:rPr>
        <w:t>, sino en el consolidado, donde no se registra detalladamente la variación de salarios.</w:t>
      </w:r>
    </w:p>
    <w:p w14:paraId="2FF8A1E7" w14:textId="0A5AC001" w:rsidR="00BE1B37" w:rsidRPr="007646E8" w:rsidRDefault="00BE1B37" w:rsidP="007646E8">
      <w:pPr>
        <w:spacing w:after="0" w:line="276" w:lineRule="auto"/>
        <w:ind w:firstLine="709"/>
        <w:jc w:val="both"/>
        <w:rPr>
          <w:rFonts w:ascii="Tahoma" w:hAnsi="Tahoma" w:cs="Tahoma"/>
          <w:sz w:val="24"/>
          <w:szCs w:val="24"/>
        </w:rPr>
      </w:pPr>
    </w:p>
    <w:p w14:paraId="1F265339" w14:textId="130B6EB6" w:rsidR="00675A83" w:rsidRPr="007646E8" w:rsidRDefault="00460B98" w:rsidP="007646E8">
      <w:pPr>
        <w:spacing w:after="0" w:line="276" w:lineRule="auto"/>
        <w:ind w:firstLine="709"/>
        <w:jc w:val="both"/>
        <w:rPr>
          <w:rFonts w:ascii="Tahoma" w:hAnsi="Tahoma" w:cs="Tahoma"/>
          <w:sz w:val="24"/>
          <w:szCs w:val="24"/>
        </w:rPr>
      </w:pPr>
      <w:r w:rsidRPr="007646E8">
        <w:rPr>
          <w:rFonts w:ascii="Tahoma" w:hAnsi="Tahoma" w:cs="Tahoma"/>
          <w:sz w:val="24"/>
          <w:szCs w:val="24"/>
        </w:rPr>
        <w:t>Finalmente</w:t>
      </w:r>
      <w:r w:rsidR="00DF0BDC" w:rsidRPr="007646E8">
        <w:rPr>
          <w:rFonts w:ascii="Tahoma" w:hAnsi="Tahoma" w:cs="Tahoma"/>
          <w:sz w:val="24"/>
          <w:szCs w:val="24"/>
        </w:rPr>
        <w:t>, anotó</w:t>
      </w:r>
      <w:r w:rsidRPr="007646E8">
        <w:rPr>
          <w:rFonts w:ascii="Tahoma" w:hAnsi="Tahoma" w:cs="Tahoma"/>
          <w:sz w:val="24"/>
          <w:szCs w:val="24"/>
        </w:rPr>
        <w:t xml:space="preserve"> que en todo caso cualquier reclamo frente al monto reconocido por COLPENSIONES en su momento se enc</w:t>
      </w:r>
      <w:r w:rsidR="00A35648" w:rsidRPr="007646E8">
        <w:rPr>
          <w:rFonts w:ascii="Tahoma" w:hAnsi="Tahoma" w:cs="Tahoma"/>
          <w:sz w:val="24"/>
          <w:szCs w:val="24"/>
        </w:rPr>
        <w:t>ontraría</w:t>
      </w:r>
      <w:r w:rsidRPr="007646E8">
        <w:rPr>
          <w:rFonts w:ascii="Tahoma" w:hAnsi="Tahoma" w:cs="Tahoma"/>
          <w:sz w:val="24"/>
          <w:szCs w:val="24"/>
        </w:rPr>
        <w:t xml:space="preserve"> afectado de prescripción, puesto que transcurrieron más de tres años entre la resolución que ordenó el pago de la prestación y la radicación de la reclamación encaminada a su reliquidación.</w:t>
      </w:r>
    </w:p>
    <w:p w14:paraId="1F535CBB" w14:textId="77777777" w:rsidR="00AB22F3" w:rsidRPr="007646E8" w:rsidRDefault="00AB22F3" w:rsidP="007646E8">
      <w:pPr>
        <w:spacing w:after="0" w:line="276" w:lineRule="auto"/>
        <w:ind w:firstLine="709"/>
        <w:jc w:val="both"/>
        <w:rPr>
          <w:rFonts w:ascii="Tahoma" w:hAnsi="Tahoma" w:cs="Tahoma"/>
          <w:sz w:val="24"/>
          <w:szCs w:val="24"/>
        </w:rPr>
      </w:pPr>
    </w:p>
    <w:p w14:paraId="00829A69" w14:textId="2C495C5A" w:rsidR="00AB22F3" w:rsidRPr="007646E8" w:rsidRDefault="00AB22F3" w:rsidP="007646E8">
      <w:pPr>
        <w:pStyle w:val="Prrafodelista"/>
        <w:numPr>
          <w:ilvl w:val="0"/>
          <w:numId w:val="1"/>
        </w:numPr>
        <w:spacing w:after="0" w:line="276" w:lineRule="auto"/>
        <w:ind w:left="0" w:firstLine="0"/>
        <w:jc w:val="center"/>
        <w:rPr>
          <w:rFonts w:ascii="Tahoma" w:hAnsi="Tahoma" w:cs="Tahoma"/>
          <w:b/>
          <w:sz w:val="24"/>
          <w:szCs w:val="24"/>
        </w:rPr>
      </w:pPr>
      <w:r w:rsidRPr="007646E8">
        <w:rPr>
          <w:rFonts w:ascii="Tahoma" w:hAnsi="Tahoma" w:cs="Tahoma"/>
          <w:b/>
          <w:sz w:val="24"/>
          <w:szCs w:val="24"/>
        </w:rPr>
        <w:t>Problema jurídico a resolver</w:t>
      </w:r>
    </w:p>
    <w:p w14:paraId="1568B859" w14:textId="6D74E507" w:rsidR="00AB22F3" w:rsidRPr="007646E8" w:rsidRDefault="00AB22F3" w:rsidP="007646E8">
      <w:pPr>
        <w:pStyle w:val="Prrafodelista"/>
        <w:spacing w:after="0" w:line="276" w:lineRule="auto"/>
        <w:ind w:left="0"/>
        <w:rPr>
          <w:rFonts w:ascii="Tahoma" w:hAnsi="Tahoma" w:cs="Tahoma"/>
          <w:sz w:val="24"/>
          <w:szCs w:val="24"/>
        </w:rPr>
      </w:pPr>
    </w:p>
    <w:p w14:paraId="38832E50" w14:textId="0C832BBB" w:rsidR="00AB22F3" w:rsidRPr="007646E8" w:rsidRDefault="00AB22F3" w:rsidP="007646E8">
      <w:pPr>
        <w:spacing w:after="0" w:line="276" w:lineRule="auto"/>
        <w:ind w:firstLine="708"/>
        <w:rPr>
          <w:rFonts w:ascii="Tahoma" w:hAnsi="Tahoma" w:cs="Tahoma"/>
          <w:sz w:val="24"/>
          <w:szCs w:val="24"/>
        </w:rPr>
      </w:pPr>
      <w:r w:rsidRPr="007646E8">
        <w:rPr>
          <w:rFonts w:ascii="Tahoma" w:hAnsi="Tahoma" w:cs="Tahoma"/>
          <w:sz w:val="24"/>
          <w:szCs w:val="24"/>
        </w:rPr>
        <w:t>Le corresponde a la Sala establecer si Colpensiones liquidó conforme a derecho la indemnización sustitutiva que en su momento pagó al actor</w:t>
      </w:r>
    </w:p>
    <w:p w14:paraId="65373EAB" w14:textId="77777777" w:rsidR="00AB22F3" w:rsidRPr="007646E8" w:rsidRDefault="00AB22F3" w:rsidP="007646E8">
      <w:pPr>
        <w:pStyle w:val="Prrafodelista"/>
        <w:spacing w:after="0" w:line="276" w:lineRule="auto"/>
        <w:ind w:left="708"/>
        <w:rPr>
          <w:rFonts w:ascii="Tahoma" w:hAnsi="Tahoma" w:cs="Tahoma"/>
          <w:sz w:val="24"/>
          <w:szCs w:val="24"/>
        </w:rPr>
      </w:pPr>
    </w:p>
    <w:p w14:paraId="19C59BA6" w14:textId="12D495C6" w:rsidR="00A96416" w:rsidRPr="007646E8" w:rsidRDefault="00675A83" w:rsidP="007646E8">
      <w:pPr>
        <w:pStyle w:val="Prrafodelista"/>
        <w:numPr>
          <w:ilvl w:val="0"/>
          <w:numId w:val="1"/>
        </w:numPr>
        <w:spacing w:after="0" w:line="276" w:lineRule="auto"/>
        <w:ind w:left="0" w:firstLine="0"/>
        <w:jc w:val="center"/>
        <w:rPr>
          <w:rFonts w:ascii="Tahoma" w:hAnsi="Tahoma" w:cs="Tahoma"/>
          <w:b/>
          <w:sz w:val="24"/>
          <w:szCs w:val="24"/>
        </w:rPr>
      </w:pPr>
      <w:r w:rsidRPr="007646E8">
        <w:rPr>
          <w:rFonts w:ascii="Tahoma" w:hAnsi="Tahoma" w:cs="Tahoma"/>
          <w:b/>
          <w:sz w:val="24"/>
          <w:szCs w:val="24"/>
        </w:rPr>
        <w:t>Consideraciones</w:t>
      </w:r>
    </w:p>
    <w:p w14:paraId="51806410" w14:textId="77777777" w:rsidR="00A96416" w:rsidRPr="007646E8" w:rsidRDefault="00A96416" w:rsidP="00D933B9">
      <w:pPr>
        <w:spacing w:after="0" w:line="276" w:lineRule="auto"/>
        <w:rPr>
          <w:rFonts w:ascii="Tahoma" w:hAnsi="Tahoma" w:cs="Tahoma"/>
          <w:b/>
          <w:sz w:val="24"/>
          <w:szCs w:val="24"/>
        </w:rPr>
      </w:pPr>
    </w:p>
    <w:p w14:paraId="31994318" w14:textId="243F7C71" w:rsidR="006A7C49" w:rsidRPr="007646E8" w:rsidRDefault="006A7C49" w:rsidP="007646E8">
      <w:pPr>
        <w:pStyle w:val="Prrafodelista"/>
        <w:numPr>
          <w:ilvl w:val="1"/>
          <w:numId w:val="1"/>
        </w:numPr>
        <w:spacing w:after="0" w:line="276" w:lineRule="auto"/>
        <w:jc w:val="both"/>
        <w:rPr>
          <w:rFonts w:ascii="Tahoma" w:hAnsi="Tahoma" w:cs="Tahoma"/>
          <w:b/>
          <w:sz w:val="24"/>
          <w:szCs w:val="24"/>
        </w:rPr>
      </w:pPr>
      <w:r w:rsidRPr="007646E8">
        <w:rPr>
          <w:rFonts w:ascii="Tahoma" w:hAnsi="Tahoma" w:cs="Tahoma"/>
          <w:b/>
          <w:sz w:val="24"/>
          <w:szCs w:val="24"/>
        </w:rPr>
        <w:t>Indemnización sustitutiva de vejez</w:t>
      </w:r>
    </w:p>
    <w:p w14:paraId="600D70EC" w14:textId="5E3F53B3" w:rsidR="006A7C49" w:rsidRPr="007646E8" w:rsidRDefault="006A7C49" w:rsidP="007646E8">
      <w:pPr>
        <w:spacing w:after="0" w:line="276" w:lineRule="auto"/>
        <w:ind w:firstLine="708"/>
        <w:jc w:val="both"/>
        <w:rPr>
          <w:rFonts w:ascii="Tahoma" w:hAnsi="Tahoma" w:cs="Tahoma"/>
          <w:sz w:val="24"/>
          <w:szCs w:val="24"/>
        </w:rPr>
      </w:pPr>
    </w:p>
    <w:p w14:paraId="21EDD641" w14:textId="77777777" w:rsidR="00675A83" w:rsidRPr="007646E8" w:rsidRDefault="00675A83" w:rsidP="007646E8">
      <w:pPr>
        <w:spacing w:after="0" w:line="276" w:lineRule="auto"/>
        <w:ind w:firstLine="709"/>
        <w:jc w:val="both"/>
        <w:rPr>
          <w:rFonts w:ascii="Tahoma" w:hAnsi="Tahoma" w:cs="Tahoma"/>
          <w:sz w:val="24"/>
          <w:szCs w:val="24"/>
        </w:rPr>
      </w:pPr>
      <w:r w:rsidRPr="007646E8">
        <w:rPr>
          <w:rFonts w:ascii="Tahoma" w:hAnsi="Tahoma" w:cs="Tahoma"/>
          <w:sz w:val="24"/>
          <w:szCs w:val="24"/>
        </w:rPr>
        <w:t>Se tiene previsto en el artículo 37 de la Ley 100 de 1993, que la persona que habiendo cumplido la edad para obtener la pensión de vejez no hubiere cotizado el mínimo de semanas exigidas y declare su imposibilidad de continuar cotizando, tendrá derecho a recibir en sustitución, una indemnización equivalente a un salario base de liquidación promedio semanal multiplicado por el número de semanas cotizadas, sobre el que se aplica el promedio ponderado de los porcentajes sobre los que haya cotizado el afiliado.</w:t>
      </w:r>
    </w:p>
    <w:p w14:paraId="2E225B39" w14:textId="77777777" w:rsidR="00675A83" w:rsidRPr="007646E8" w:rsidRDefault="00675A83" w:rsidP="007646E8">
      <w:pPr>
        <w:spacing w:after="0" w:line="276" w:lineRule="auto"/>
        <w:ind w:firstLine="709"/>
        <w:jc w:val="both"/>
        <w:rPr>
          <w:rFonts w:ascii="Tahoma" w:hAnsi="Tahoma" w:cs="Tahoma"/>
          <w:sz w:val="24"/>
          <w:szCs w:val="24"/>
        </w:rPr>
      </w:pPr>
    </w:p>
    <w:p w14:paraId="23C1E1F5" w14:textId="67BF3676" w:rsidR="008A313F" w:rsidRPr="007646E8" w:rsidRDefault="00675A83" w:rsidP="007646E8">
      <w:pPr>
        <w:spacing w:after="0" w:line="276" w:lineRule="auto"/>
        <w:ind w:firstLine="709"/>
        <w:jc w:val="both"/>
        <w:rPr>
          <w:rFonts w:ascii="Tahoma" w:hAnsi="Tahoma" w:cs="Tahoma"/>
          <w:sz w:val="24"/>
          <w:szCs w:val="24"/>
        </w:rPr>
      </w:pPr>
      <w:r w:rsidRPr="007646E8">
        <w:rPr>
          <w:rFonts w:ascii="Tahoma" w:hAnsi="Tahoma" w:cs="Tahoma"/>
          <w:sz w:val="24"/>
          <w:szCs w:val="24"/>
        </w:rPr>
        <w:t xml:space="preserve">En desarrollo de este precepto, el artículo 3º del Decreto 1731 de 2001, estableció que la cuantía de la indemnización será el producto de multiplicar tres factores que identificó con las siglas SBC, SC y PPC, en donde: </w:t>
      </w:r>
      <w:r w:rsidRPr="007646E8">
        <w:rPr>
          <w:rFonts w:ascii="Tahoma" w:hAnsi="Tahoma" w:cs="Tahoma"/>
          <w:b/>
          <w:sz w:val="24"/>
          <w:szCs w:val="24"/>
        </w:rPr>
        <w:t>SBC:</w:t>
      </w:r>
      <w:r w:rsidRPr="007646E8">
        <w:rPr>
          <w:rFonts w:ascii="Tahoma" w:hAnsi="Tahoma" w:cs="Tahoma"/>
          <w:sz w:val="24"/>
          <w:szCs w:val="24"/>
        </w:rPr>
        <w:t xml:space="preserve"> es el salario base de la liquidación de la cotización semanal promediado de acuerdo con los factores señalados en el Decreto 1158 de 1994, sobre los cuales cotizó el afiliado a la administradora que va a efectuar el reconocimiento, actualizado anualmente con base </w:t>
      </w:r>
      <w:r w:rsidRPr="007646E8">
        <w:rPr>
          <w:rFonts w:ascii="Tahoma" w:hAnsi="Tahoma" w:cs="Tahoma"/>
          <w:sz w:val="24"/>
          <w:szCs w:val="24"/>
        </w:rPr>
        <w:lastRenderedPageBreak/>
        <w:t xml:space="preserve">en la variación del IPC según certificación del DANE; </w:t>
      </w:r>
      <w:r w:rsidRPr="007646E8">
        <w:rPr>
          <w:rFonts w:ascii="Tahoma" w:hAnsi="Tahoma" w:cs="Tahoma"/>
          <w:b/>
          <w:sz w:val="24"/>
          <w:szCs w:val="24"/>
        </w:rPr>
        <w:t>SC:</w:t>
      </w:r>
      <w:r w:rsidRPr="007646E8">
        <w:rPr>
          <w:rFonts w:ascii="Tahoma" w:hAnsi="Tahoma" w:cs="Tahoma"/>
          <w:sz w:val="24"/>
          <w:szCs w:val="24"/>
        </w:rPr>
        <w:t xml:space="preserve"> es la suma de las semanas cotizadas a la administradora que va a efectuar el reconocimiento; </w:t>
      </w:r>
      <w:r w:rsidRPr="003A0F23">
        <w:rPr>
          <w:rFonts w:ascii="Tahoma" w:hAnsi="Tahoma" w:cs="Tahoma"/>
          <w:b/>
          <w:sz w:val="24"/>
          <w:szCs w:val="24"/>
        </w:rPr>
        <w:t>PPC:</w:t>
      </w:r>
      <w:r w:rsidRPr="007646E8">
        <w:rPr>
          <w:rFonts w:ascii="Tahoma" w:hAnsi="Tahoma" w:cs="Tahoma"/>
          <w:sz w:val="24"/>
          <w:szCs w:val="24"/>
        </w:rPr>
        <w:t xml:space="preserve"> es el promedio ponderado de los porcentajes sobre los cuales ha cotizado el afiliado para el riesgo de vejez, invalidez o muerte por riesgo común, a la administradora que va a efectuar el reconocimiento.</w:t>
      </w:r>
    </w:p>
    <w:p w14:paraId="68B21982" w14:textId="77777777" w:rsidR="008A313F" w:rsidRPr="007646E8" w:rsidRDefault="008A313F" w:rsidP="007646E8">
      <w:pPr>
        <w:spacing w:after="0" w:line="276" w:lineRule="auto"/>
        <w:ind w:firstLine="709"/>
        <w:jc w:val="both"/>
        <w:rPr>
          <w:rFonts w:ascii="Tahoma" w:hAnsi="Tahoma" w:cs="Tahoma"/>
          <w:sz w:val="24"/>
          <w:szCs w:val="24"/>
        </w:rPr>
      </w:pPr>
    </w:p>
    <w:p w14:paraId="59F5184B" w14:textId="1EA7E042" w:rsidR="008A313F" w:rsidRPr="007646E8" w:rsidRDefault="00675A83" w:rsidP="007646E8">
      <w:pPr>
        <w:spacing w:after="0" w:line="276" w:lineRule="auto"/>
        <w:ind w:firstLine="709"/>
        <w:jc w:val="both"/>
        <w:rPr>
          <w:rFonts w:ascii="Tahoma" w:hAnsi="Tahoma" w:cs="Tahoma"/>
          <w:sz w:val="24"/>
          <w:szCs w:val="24"/>
        </w:rPr>
      </w:pPr>
      <w:r w:rsidRPr="007646E8">
        <w:rPr>
          <w:rFonts w:ascii="Tahoma" w:hAnsi="Tahoma" w:cs="Tahoma"/>
          <w:sz w:val="24"/>
          <w:szCs w:val="24"/>
        </w:rPr>
        <w:t xml:space="preserve">En relación con este último factor, </w:t>
      </w:r>
      <w:r w:rsidR="00A96416" w:rsidRPr="007646E8">
        <w:rPr>
          <w:rFonts w:ascii="Tahoma" w:hAnsi="Tahoma" w:cs="Tahoma"/>
          <w:sz w:val="24"/>
          <w:szCs w:val="24"/>
        </w:rPr>
        <w:t>resulta muy</w:t>
      </w:r>
      <w:r w:rsidRPr="007646E8">
        <w:rPr>
          <w:rFonts w:ascii="Tahoma" w:hAnsi="Tahoma" w:cs="Tahoma"/>
          <w:sz w:val="24"/>
          <w:szCs w:val="24"/>
        </w:rPr>
        <w:t xml:space="preserve"> ilustrativa</w:t>
      </w:r>
      <w:r w:rsidR="00A96416" w:rsidRPr="007646E8">
        <w:rPr>
          <w:rFonts w:ascii="Tahoma" w:hAnsi="Tahoma" w:cs="Tahoma"/>
          <w:sz w:val="24"/>
          <w:szCs w:val="24"/>
        </w:rPr>
        <w:t xml:space="preserve"> la</w:t>
      </w:r>
      <w:r w:rsidRPr="007646E8">
        <w:rPr>
          <w:rFonts w:ascii="Tahoma" w:hAnsi="Tahoma" w:cs="Tahoma"/>
          <w:sz w:val="24"/>
          <w:szCs w:val="24"/>
        </w:rPr>
        <w:t xml:space="preserve"> providencia</w:t>
      </w:r>
      <w:r w:rsidR="00A96416" w:rsidRPr="007646E8">
        <w:rPr>
          <w:rFonts w:ascii="Tahoma" w:hAnsi="Tahoma" w:cs="Tahoma"/>
          <w:sz w:val="24"/>
          <w:szCs w:val="24"/>
        </w:rPr>
        <w:t xml:space="preserve"> emitida por esta Corporación</w:t>
      </w:r>
      <w:r w:rsidR="008A313F" w:rsidRPr="007646E8">
        <w:rPr>
          <w:rFonts w:ascii="Tahoma" w:hAnsi="Tahoma" w:cs="Tahoma"/>
          <w:sz w:val="24"/>
          <w:szCs w:val="24"/>
        </w:rPr>
        <w:t xml:space="preserve"> el 22 de septiembre de 2021 dentro del proceso 66001-31-05-003-2019-00478-01</w:t>
      </w:r>
      <w:r w:rsidRPr="007646E8">
        <w:rPr>
          <w:rFonts w:ascii="Tahoma" w:hAnsi="Tahoma" w:cs="Tahoma"/>
          <w:sz w:val="24"/>
          <w:szCs w:val="24"/>
        </w:rPr>
        <w:t>, con ponencia del Magistrado</w:t>
      </w:r>
      <w:r w:rsidR="008A313F" w:rsidRPr="007646E8">
        <w:rPr>
          <w:rFonts w:ascii="Tahoma" w:hAnsi="Tahoma" w:cs="Tahoma"/>
          <w:sz w:val="24"/>
          <w:szCs w:val="24"/>
        </w:rPr>
        <w:t xml:space="preserve"> Germán Darío </w:t>
      </w:r>
      <w:r w:rsidR="00714FDF" w:rsidRPr="007646E8">
        <w:rPr>
          <w:rFonts w:ascii="Tahoma" w:hAnsi="Tahoma" w:cs="Tahoma"/>
          <w:sz w:val="24"/>
          <w:szCs w:val="24"/>
        </w:rPr>
        <w:t>Goez</w:t>
      </w:r>
      <w:r w:rsidR="008A313F" w:rsidRPr="007646E8">
        <w:rPr>
          <w:rFonts w:ascii="Tahoma" w:hAnsi="Tahoma" w:cs="Tahoma"/>
          <w:sz w:val="24"/>
          <w:szCs w:val="24"/>
        </w:rPr>
        <w:t xml:space="preserve"> Vinasco,</w:t>
      </w:r>
      <w:r w:rsidR="00FB37E4" w:rsidRPr="007646E8">
        <w:rPr>
          <w:rFonts w:ascii="Tahoma" w:hAnsi="Tahoma" w:cs="Tahoma"/>
          <w:sz w:val="24"/>
          <w:szCs w:val="24"/>
        </w:rPr>
        <w:t xml:space="preserve"> citada por el demandante en sus alegatos,</w:t>
      </w:r>
      <w:r w:rsidR="008A313F" w:rsidRPr="007646E8">
        <w:rPr>
          <w:rFonts w:ascii="Tahoma" w:hAnsi="Tahoma" w:cs="Tahoma"/>
          <w:sz w:val="24"/>
          <w:szCs w:val="24"/>
        </w:rPr>
        <w:t xml:space="preserve"> donde se enumeró de manera detallada las variaciones porcentuales históricas de la cotización que debe tenerse en cuenta a efectos de promediar ponderadamente los porcentajes sobre los cuales ha cotizado el afiliado para el riesgo de vejez, invalidez o muerte por riesgo común, así:</w:t>
      </w:r>
    </w:p>
    <w:p w14:paraId="2AF0AC99" w14:textId="6E1A3568" w:rsidR="008A313F" w:rsidRPr="007646E8" w:rsidRDefault="008A313F" w:rsidP="007646E8">
      <w:pPr>
        <w:spacing w:after="0" w:line="276" w:lineRule="auto"/>
        <w:ind w:firstLine="709"/>
        <w:jc w:val="both"/>
        <w:rPr>
          <w:rFonts w:ascii="Tahoma" w:hAnsi="Tahoma" w:cs="Tahoma"/>
          <w:sz w:val="24"/>
          <w:szCs w:val="24"/>
        </w:rPr>
      </w:pPr>
    </w:p>
    <w:p w14:paraId="30620039" w14:textId="4B9F4817" w:rsidR="0044617B" w:rsidRPr="00D933B9" w:rsidRDefault="009936EE" w:rsidP="00D933B9">
      <w:pPr>
        <w:spacing w:after="0" w:line="240" w:lineRule="auto"/>
        <w:ind w:left="426" w:right="420"/>
        <w:jc w:val="both"/>
        <w:rPr>
          <w:rFonts w:ascii="Tahoma" w:hAnsi="Tahoma" w:cs="Tahoma"/>
          <w:i/>
          <w:szCs w:val="24"/>
        </w:rPr>
      </w:pPr>
      <w:r w:rsidRPr="00D933B9">
        <w:rPr>
          <w:rFonts w:ascii="Tahoma" w:hAnsi="Tahoma" w:cs="Tahoma"/>
          <w:i/>
          <w:szCs w:val="24"/>
        </w:rPr>
        <w:t>“</w:t>
      </w:r>
      <w:r w:rsidR="00D92E0C" w:rsidRPr="00D933B9">
        <w:rPr>
          <w:rFonts w:ascii="Tahoma" w:hAnsi="Tahoma" w:cs="Tahoma"/>
          <w:i/>
          <w:szCs w:val="24"/>
        </w:rPr>
        <w:t>Para dicha aplicación, hay que tener en cuenta que con la Ley 90 de 1946 se contempló una financiación por el sistema de triple contribución forzosa: de los asegurados, de los patronos y del Estado que, con el</w:t>
      </w:r>
      <w:r w:rsidR="00D92E0C" w:rsidRPr="00D933B9">
        <w:rPr>
          <w:rFonts w:ascii="Tahoma" w:hAnsi="Tahoma" w:cs="Tahoma"/>
          <w:szCs w:val="24"/>
        </w:rPr>
        <w:t xml:space="preserve"> </w:t>
      </w:r>
      <w:r w:rsidR="008A313F" w:rsidRPr="00D933B9">
        <w:rPr>
          <w:rFonts w:ascii="Tahoma" w:hAnsi="Tahoma" w:cs="Tahoma"/>
          <w:i/>
          <w:szCs w:val="24"/>
        </w:rPr>
        <w:t>artículo 33 del decreto 1826 del 12 de julio de 1965 (aprobatorio del acuerdo 188 de 1965) fijó unos porcentajes de cotización que iniciaron para los primeros cinco (5) años con una tasa global del 6% del salario asegurable, la cual sería satisfecha en las contribuciones tripartitas de empleadores, asegurados y el Estado, distribuidos en un 3%, 1.5% y 1.5%, respectivamente. De igual forma previó, aumentos del 3% de la tasa global para cada quinquenio que se extendería hasta los 20 años, aspecto que, si bien se replicó en el decreto 3041 de 1966</w:t>
      </w:r>
      <w:r w:rsidR="00FB37E4" w:rsidRPr="00D933B9">
        <w:rPr>
          <w:rStyle w:val="Refdenotaalpie"/>
          <w:rFonts w:ascii="Tahoma" w:hAnsi="Tahoma" w:cs="Tahoma"/>
          <w:i/>
          <w:szCs w:val="24"/>
        </w:rPr>
        <w:footnoteReference w:id="1"/>
      </w:r>
      <w:r w:rsidR="008A313F" w:rsidRPr="00D933B9">
        <w:rPr>
          <w:rFonts w:ascii="Tahoma" w:hAnsi="Tahoma" w:cs="Tahoma"/>
          <w:i/>
          <w:szCs w:val="24"/>
        </w:rPr>
        <w:t>, con los Decretos 433 de 1971 y 1935 de 1973, dicha contribución pasó a ser bipartita (art.  31) entre empleadores y asegurados, por lo que el Estado</w:t>
      </w:r>
      <w:r w:rsidR="00D92E0C" w:rsidRPr="00D933B9">
        <w:rPr>
          <w:rFonts w:ascii="Tahoma" w:hAnsi="Tahoma" w:cs="Tahoma"/>
          <w:i/>
          <w:szCs w:val="24"/>
        </w:rPr>
        <w:t xml:space="preserve"> </w:t>
      </w:r>
      <w:r w:rsidR="008A313F" w:rsidRPr="00D933B9">
        <w:rPr>
          <w:rFonts w:ascii="Tahoma" w:hAnsi="Tahoma" w:cs="Tahoma"/>
          <w:i/>
          <w:szCs w:val="24"/>
        </w:rPr>
        <w:t xml:space="preserve">eliminó la obligación de contribución que recaía sobre él, implicando que no se incrementara la tasa de cotización y distribución prevista en el </w:t>
      </w:r>
      <w:r w:rsidR="00721215" w:rsidRPr="00D933B9">
        <w:rPr>
          <w:rFonts w:ascii="Tahoma" w:hAnsi="Tahoma" w:cs="Tahoma"/>
          <w:i/>
          <w:szCs w:val="24"/>
        </w:rPr>
        <w:t>D</w:t>
      </w:r>
      <w:r w:rsidR="008A313F" w:rsidRPr="00D933B9">
        <w:rPr>
          <w:rFonts w:ascii="Tahoma" w:hAnsi="Tahoma" w:cs="Tahoma"/>
          <w:i/>
          <w:szCs w:val="24"/>
        </w:rPr>
        <w:t xml:space="preserve">ecreto 3041/66, por lo que el porcentaje del 4.5% no fue incrementado. Luego, en el artículo 2 del decreto 2879 de 1985, se modificó la cotización global en un 6.5% del salario asegurable, siendo cubierto por contribución bipartita correspondiente al 4.33% a cargo de los empleadores y el 2.17% por los trabajadores asegurados y, con el </w:t>
      </w:r>
      <w:r w:rsidR="00721215" w:rsidRPr="00D933B9">
        <w:rPr>
          <w:rFonts w:ascii="Tahoma" w:hAnsi="Tahoma" w:cs="Tahoma"/>
          <w:i/>
          <w:szCs w:val="24"/>
        </w:rPr>
        <w:t>D</w:t>
      </w:r>
      <w:r w:rsidR="008A313F" w:rsidRPr="00D933B9">
        <w:rPr>
          <w:rFonts w:ascii="Tahoma" w:hAnsi="Tahoma" w:cs="Tahoma"/>
          <w:i/>
          <w:szCs w:val="24"/>
        </w:rPr>
        <w:t>ecreto 1476 de 1992 se modificó dicha cotización a un global del 8% del salario asegurable, a partir del 1°de enero de 1993, para ser cubierta en un 67% por el empleador (5.36%) y en un 33% por los trabajadores afiliados (2.64%). Para concretar, los porcentajes de cotización a tener en cuenta para cada periodo cotizado al ISS antes de la entrada  en vigencia de la Ley 100 de 1993, corresponde a los siguientes: i) De 1965  a 1970, el aporte global, excluido el estatal era del 4.5%; ii) De 1971 a 1985 (octubre), el aporte global era del 6%; iii) De 1985 (noviembre) a 1992, el aporte global era del 6.50% y iv) De 1993 a 1994 (marzo), el aporte global era del 8%., porcentajes que serán tenidos en cuenta para la correspondiente liquidación.</w:t>
      </w:r>
      <w:r w:rsidR="0044617B" w:rsidRPr="00D933B9">
        <w:rPr>
          <w:rFonts w:ascii="Tahoma" w:hAnsi="Tahoma" w:cs="Tahoma"/>
          <w:i/>
          <w:szCs w:val="24"/>
        </w:rPr>
        <w:t xml:space="preserve"> </w:t>
      </w:r>
      <w:r w:rsidR="00FF0ED7" w:rsidRPr="00D933B9">
        <w:rPr>
          <w:rFonts w:ascii="Tahoma" w:hAnsi="Tahoma" w:cs="Tahoma"/>
          <w:i/>
          <w:szCs w:val="24"/>
        </w:rPr>
        <w:t xml:space="preserve">(…) </w:t>
      </w:r>
      <w:r w:rsidR="0044617B" w:rsidRPr="00D933B9">
        <w:rPr>
          <w:rFonts w:ascii="Tahoma" w:hAnsi="Tahoma" w:cs="Tahoma"/>
          <w:i/>
          <w:szCs w:val="24"/>
        </w:rPr>
        <w:t>Igualmente, se precisa que a partir de la vigencia de la Ley 100 de 1993, se toma en cuenta el porcentaje de cotización establecido en el inciso primero del artículo 20 de la Ley 100 de 1993</w:t>
      </w:r>
      <w:r w:rsidR="003F6F26" w:rsidRPr="00D933B9">
        <w:rPr>
          <w:rFonts w:ascii="Tahoma" w:hAnsi="Tahoma" w:cs="Tahoma"/>
          <w:i/>
          <w:szCs w:val="24"/>
        </w:rPr>
        <w:t>.</w:t>
      </w:r>
    </w:p>
    <w:p w14:paraId="565D85CE" w14:textId="47381560" w:rsidR="00A96416" w:rsidRPr="007646E8" w:rsidRDefault="00A96416" w:rsidP="007646E8">
      <w:pPr>
        <w:spacing w:after="0" w:line="276" w:lineRule="auto"/>
        <w:ind w:right="284"/>
        <w:rPr>
          <w:rFonts w:ascii="Tahoma" w:hAnsi="Tahoma" w:cs="Tahoma"/>
          <w:i/>
          <w:sz w:val="24"/>
          <w:szCs w:val="24"/>
        </w:rPr>
      </w:pPr>
    </w:p>
    <w:p w14:paraId="76F0C7D9" w14:textId="53784060" w:rsidR="00180540" w:rsidRPr="007646E8" w:rsidRDefault="00FB37E4" w:rsidP="007646E8">
      <w:pPr>
        <w:spacing w:after="0" w:line="276" w:lineRule="auto"/>
        <w:ind w:right="49" w:firstLine="708"/>
        <w:jc w:val="both"/>
        <w:rPr>
          <w:rFonts w:ascii="Tahoma" w:hAnsi="Tahoma" w:cs="Tahoma"/>
          <w:sz w:val="24"/>
          <w:szCs w:val="24"/>
        </w:rPr>
      </w:pPr>
      <w:r w:rsidRPr="007646E8">
        <w:rPr>
          <w:rFonts w:ascii="Tahoma" w:hAnsi="Tahoma" w:cs="Tahoma"/>
          <w:sz w:val="24"/>
          <w:szCs w:val="24"/>
        </w:rPr>
        <w:t xml:space="preserve">Cabe resaltar que </w:t>
      </w:r>
      <w:r w:rsidR="00180540" w:rsidRPr="007646E8">
        <w:rPr>
          <w:rFonts w:ascii="Tahoma" w:hAnsi="Tahoma" w:cs="Tahoma"/>
          <w:sz w:val="24"/>
          <w:szCs w:val="24"/>
        </w:rPr>
        <w:t>la citada</w:t>
      </w:r>
      <w:r w:rsidRPr="007646E8">
        <w:rPr>
          <w:rFonts w:ascii="Tahoma" w:hAnsi="Tahoma" w:cs="Tahoma"/>
          <w:sz w:val="24"/>
          <w:szCs w:val="24"/>
        </w:rPr>
        <w:t xml:space="preserve"> providencia incurre en un lapsus en la concre</w:t>
      </w:r>
      <w:r w:rsidR="00180540" w:rsidRPr="007646E8">
        <w:rPr>
          <w:rFonts w:ascii="Tahoma" w:hAnsi="Tahoma" w:cs="Tahoma"/>
          <w:sz w:val="24"/>
          <w:szCs w:val="24"/>
        </w:rPr>
        <w:t>tización</w:t>
      </w:r>
      <w:r w:rsidRPr="007646E8">
        <w:rPr>
          <w:rFonts w:ascii="Tahoma" w:hAnsi="Tahoma" w:cs="Tahoma"/>
          <w:sz w:val="24"/>
          <w:szCs w:val="24"/>
        </w:rPr>
        <w:t xml:space="preserve"> </w:t>
      </w:r>
      <w:r w:rsidR="00180540" w:rsidRPr="007646E8">
        <w:rPr>
          <w:rFonts w:ascii="Tahoma" w:hAnsi="Tahoma" w:cs="Tahoma"/>
          <w:sz w:val="24"/>
          <w:szCs w:val="24"/>
        </w:rPr>
        <w:t xml:space="preserve">o síntesis </w:t>
      </w:r>
      <w:r w:rsidRPr="007646E8">
        <w:rPr>
          <w:rFonts w:ascii="Tahoma" w:hAnsi="Tahoma" w:cs="Tahoma"/>
          <w:sz w:val="24"/>
          <w:szCs w:val="24"/>
        </w:rPr>
        <w:t>de los porcentajes</w:t>
      </w:r>
      <w:r w:rsidR="00180540" w:rsidRPr="007646E8">
        <w:rPr>
          <w:rFonts w:ascii="Tahoma" w:hAnsi="Tahoma" w:cs="Tahoma"/>
          <w:sz w:val="24"/>
          <w:szCs w:val="24"/>
        </w:rPr>
        <w:t xml:space="preserve"> históricos</w:t>
      </w:r>
      <w:r w:rsidRPr="007646E8">
        <w:rPr>
          <w:rFonts w:ascii="Tahoma" w:hAnsi="Tahoma" w:cs="Tahoma"/>
          <w:sz w:val="24"/>
          <w:szCs w:val="24"/>
        </w:rPr>
        <w:t xml:space="preserve">, pues se indica que el </w:t>
      </w:r>
      <w:r w:rsidR="00180540" w:rsidRPr="007646E8">
        <w:rPr>
          <w:rFonts w:ascii="Tahoma" w:hAnsi="Tahoma" w:cs="Tahoma"/>
          <w:sz w:val="24"/>
          <w:szCs w:val="24"/>
        </w:rPr>
        <w:t>aporte global de 1971 a 1985 ascendía al 6% del IBC, lo cual no toma en cuenta la exclusión del aporte del Estado, que, como bien se advirtió en la misma providencia, desapareció con la expedición de</w:t>
      </w:r>
      <w:r w:rsidR="009936EE" w:rsidRPr="007646E8">
        <w:rPr>
          <w:rFonts w:ascii="Tahoma" w:hAnsi="Tahoma" w:cs="Tahoma"/>
          <w:sz w:val="24"/>
          <w:szCs w:val="24"/>
        </w:rPr>
        <w:t xml:space="preserve"> los</w:t>
      </w:r>
      <w:r w:rsidR="00180540" w:rsidRPr="007646E8">
        <w:rPr>
          <w:rFonts w:ascii="Tahoma" w:hAnsi="Tahoma" w:cs="Tahoma"/>
          <w:sz w:val="24"/>
          <w:szCs w:val="24"/>
        </w:rPr>
        <w:t xml:space="preserve"> Decreto</w:t>
      </w:r>
      <w:r w:rsidR="009936EE" w:rsidRPr="007646E8">
        <w:rPr>
          <w:rFonts w:ascii="Tahoma" w:hAnsi="Tahoma" w:cs="Tahoma"/>
          <w:sz w:val="24"/>
          <w:szCs w:val="24"/>
        </w:rPr>
        <w:t>s</w:t>
      </w:r>
      <w:r w:rsidR="009936EE" w:rsidRPr="007646E8">
        <w:rPr>
          <w:rFonts w:ascii="Tahoma" w:hAnsi="Tahoma" w:cs="Tahoma"/>
          <w:i/>
          <w:iCs/>
          <w:sz w:val="24"/>
          <w:szCs w:val="24"/>
        </w:rPr>
        <w:t xml:space="preserve"> </w:t>
      </w:r>
      <w:r w:rsidR="009936EE" w:rsidRPr="007646E8">
        <w:rPr>
          <w:rFonts w:ascii="Tahoma" w:hAnsi="Tahoma" w:cs="Tahoma"/>
          <w:sz w:val="24"/>
          <w:szCs w:val="24"/>
        </w:rPr>
        <w:t>433 de 1971 y 1935 de 1973</w:t>
      </w:r>
      <w:r w:rsidR="00180540" w:rsidRPr="007646E8">
        <w:rPr>
          <w:rFonts w:ascii="Tahoma" w:hAnsi="Tahoma" w:cs="Tahoma"/>
          <w:sz w:val="24"/>
          <w:szCs w:val="24"/>
        </w:rPr>
        <w:t>. Por lo demás, las referencias normativas de la providencia</w:t>
      </w:r>
      <w:r w:rsidR="009936EE" w:rsidRPr="007646E8">
        <w:rPr>
          <w:rFonts w:ascii="Tahoma" w:hAnsi="Tahoma" w:cs="Tahoma"/>
          <w:sz w:val="24"/>
          <w:szCs w:val="24"/>
        </w:rPr>
        <w:t xml:space="preserve"> y las respectivas tasas de cotización</w:t>
      </w:r>
      <w:r w:rsidR="00180540" w:rsidRPr="007646E8">
        <w:rPr>
          <w:rFonts w:ascii="Tahoma" w:hAnsi="Tahoma" w:cs="Tahoma"/>
          <w:sz w:val="24"/>
          <w:szCs w:val="24"/>
        </w:rPr>
        <w:t xml:space="preserve"> </w:t>
      </w:r>
      <w:r w:rsidR="009936EE" w:rsidRPr="007646E8">
        <w:rPr>
          <w:rFonts w:ascii="Tahoma" w:hAnsi="Tahoma" w:cs="Tahoma"/>
          <w:sz w:val="24"/>
          <w:szCs w:val="24"/>
        </w:rPr>
        <w:t xml:space="preserve">coinciden con los porcentajes que de vieja data ha aplicado la Sala de Casación Laboral de la Corte </w:t>
      </w:r>
      <w:r w:rsidR="009936EE" w:rsidRPr="007646E8">
        <w:rPr>
          <w:rFonts w:ascii="Tahoma" w:hAnsi="Tahoma" w:cs="Tahoma"/>
          <w:sz w:val="24"/>
          <w:szCs w:val="24"/>
        </w:rPr>
        <w:lastRenderedPageBreak/>
        <w:t xml:space="preserve">Suprema de Justicia a la hora de liquidar la indemnización sustitutiva, tal como, por ejemplo, se observa en la liquidación de la sentencia con radicado No. 26330 </w:t>
      </w:r>
      <w:r w:rsidR="3DD8B7A0" w:rsidRPr="007646E8">
        <w:rPr>
          <w:rFonts w:ascii="Tahoma" w:hAnsi="Tahoma" w:cs="Tahoma"/>
          <w:sz w:val="24"/>
          <w:szCs w:val="24"/>
        </w:rPr>
        <w:t xml:space="preserve">proferida por dicha corporación el </w:t>
      </w:r>
      <w:r w:rsidR="009936EE" w:rsidRPr="007646E8">
        <w:rPr>
          <w:rFonts w:ascii="Tahoma" w:hAnsi="Tahoma" w:cs="Tahoma"/>
          <w:sz w:val="24"/>
          <w:szCs w:val="24"/>
        </w:rPr>
        <w:t xml:space="preserve">15 de mayo de 2006. </w:t>
      </w:r>
    </w:p>
    <w:p w14:paraId="0303E36A" w14:textId="77777777" w:rsidR="00FB37E4" w:rsidRPr="007646E8" w:rsidRDefault="00FB37E4" w:rsidP="007646E8">
      <w:pPr>
        <w:spacing w:after="0" w:line="276" w:lineRule="auto"/>
        <w:ind w:right="284"/>
        <w:rPr>
          <w:rFonts w:ascii="Tahoma" w:hAnsi="Tahoma" w:cs="Tahoma"/>
          <w:i/>
          <w:sz w:val="24"/>
          <w:szCs w:val="24"/>
        </w:rPr>
      </w:pPr>
    </w:p>
    <w:p w14:paraId="108371A9" w14:textId="098BEBF5" w:rsidR="00A96416" w:rsidRPr="007646E8" w:rsidRDefault="0003076A" w:rsidP="007646E8">
      <w:pPr>
        <w:pStyle w:val="Prrafodelista"/>
        <w:numPr>
          <w:ilvl w:val="1"/>
          <w:numId w:val="1"/>
        </w:numPr>
        <w:spacing w:after="0" w:line="276" w:lineRule="auto"/>
        <w:rPr>
          <w:rFonts w:ascii="Tahoma" w:hAnsi="Tahoma" w:cs="Tahoma"/>
          <w:b/>
          <w:sz w:val="24"/>
          <w:szCs w:val="24"/>
        </w:rPr>
      </w:pPr>
      <w:r w:rsidRPr="007646E8">
        <w:rPr>
          <w:rFonts w:ascii="Tahoma" w:hAnsi="Tahoma" w:cs="Tahoma"/>
          <w:b/>
          <w:sz w:val="24"/>
          <w:szCs w:val="24"/>
        </w:rPr>
        <w:t>Imprescriptibilidad de la indemnización sustitutiva por vejez</w:t>
      </w:r>
    </w:p>
    <w:p w14:paraId="1DA1DE6F" w14:textId="77777777" w:rsidR="0003076A" w:rsidRPr="007646E8" w:rsidRDefault="0003076A" w:rsidP="007646E8">
      <w:pPr>
        <w:spacing w:after="0" w:line="276" w:lineRule="auto"/>
        <w:ind w:firstLine="709"/>
        <w:jc w:val="both"/>
        <w:rPr>
          <w:rFonts w:ascii="Tahoma" w:hAnsi="Tahoma" w:cs="Tahoma"/>
          <w:sz w:val="24"/>
          <w:szCs w:val="24"/>
        </w:rPr>
      </w:pPr>
    </w:p>
    <w:p w14:paraId="36F6C66F" w14:textId="28EE8006" w:rsidR="0003076A" w:rsidRPr="007646E8" w:rsidRDefault="0003076A" w:rsidP="007646E8">
      <w:pPr>
        <w:spacing w:after="0" w:line="276" w:lineRule="auto"/>
        <w:ind w:firstLine="708"/>
        <w:jc w:val="both"/>
        <w:rPr>
          <w:rFonts w:ascii="Tahoma" w:eastAsia="Times New Roman" w:hAnsi="Tahoma" w:cs="Tahoma"/>
          <w:sz w:val="24"/>
          <w:szCs w:val="24"/>
          <w:lang w:val="es-ES_tradnl" w:eastAsia="es-ES"/>
        </w:rPr>
      </w:pPr>
      <w:r w:rsidRPr="007646E8">
        <w:rPr>
          <w:rFonts w:ascii="Tahoma" w:eastAsia="Times New Roman" w:hAnsi="Tahoma" w:cs="Tahoma"/>
          <w:sz w:val="24"/>
          <w:szCs w:val="24"/>
          <w:lang w:val="es-ES_tradnl" w:eastAsia="es-ES"/>
        </w:rPr>
        <w:t>Es preciso</w:t>
      </w:r>
      <w:r w:rsidR="00A96416" w:rsidRPr="007646E8">
        <w:rPr>
          <w:rFonts w:ascii="Tahoma" w:eastAsia="Times New Roman" w:hAnsi="Tahoma" w:cs="Tahoma"/>
          <w:sz w:val="24"/>
          <w:szCs w:val="24"/>
          <w:lang w:val="es-ES_tradnl" w:eastAsia="es-ES"/>
        </w:rPr>
        <w:t xml:space="preserve"> recordar que esta Corporación a partir de providencia de</w:t>
      </w:r>
      <w:r w:rsidRPr="007646E8">
        <w:rPr>
          <w:rFonts w:ascii="Tahoma" w:eastAsia="Times New Roman" w:hAnsi="Tahoma" w:cs="Tahoma"/>
          <w:sz w:val="24"/>
          <w:szCs w:val="24"/>
          <w:lang w:val="es-ES_tradnl" w:eastAsia="es-ES"/>
        </w:rPr>
        <w:t>l 0</w:t>
      </w:r>
      <w:r w:rsidR="00A96416" w:rsidRPr="007646E8">
        <w:rPr>
          <w:rFonts w:ascii="Tahoma" w:eastAsia="Times New Roman" w:hAnsi="Tahoma" w:cs="Tahoma"/>
          <w:sz w:val="24"/>
          <w:szCs w:val="24"/>
          <w:lang w:val="es-ES_tradnl" w:eastAsia="es-ES"/>
        </w:rPr>
        <w:t>3 de febrero de 2016 dentro del proceso</w:t>
      </w:r>
      <w:r w:rsidRPr="007646E8">
        <w:rPr>
          <w:rFonts w:ascii="Tahoma" w:eastAsia="Times New Roman" w:hAnsi="Tahoma" w:cs="Tahoma"/>
          <w:sz w:val="24"/>
          <w:szCs w:val="24"/>
          <w:lang w:val="es-ES_tradnl" w:eastAsia="es-ES"/>
        </w:rPr>
        <w:t xml:space="preserve"> No. 66001-31-05-001-2014-00268-01, M.P. Julio César Salazar Muñoz,</w:t>
      </w:r>
      <w:r w:rsidR="00A96416" w:rsidRPr="007646E8">
        <w:rPr>
          <w:rFonts w:ascii="Tahoma" w:eastAsia="Times New Roman" w:hAnsi="Tahoma" w:cs="Tahoma"/>
          <w:sz w:val="24"/>
          <w:szCs w:val="24"/>
          <w:lang w:val="es-ES_tradnl" w:eastAsia="es-ES"/>
        </w:rPr>
        <w:t xml:space="preserve"> </w:t>
      </w:r>
      <w:r w:rsidRPr="007646E8">
        <w:rPr>
          <w:rFonts w:ascii="Tahoma" w:eastAsia="Times New Roman" w:hAnsi="Tahoma" w:cs="Tahoma"/>
          <w:sz w:val="24"/>
          <w:szCs w:val="24"/>
          <w:lang w:val="es-ES_tradnl" w:eastAsia="es-ES"/>
        </w:rPr>
        <w:t xml:space="preserve">varió </w:t>
      </w:r>
      <w:r w:rsidR="00A96416" w:rsidRPr="007646E8">
        <w:rPr>
          <w:rFonts w:ascii="Tahoma" w:eastAsia="Times New Roman" w:hAnsi="Tahoma" w:cs="Tahoma"/>
          <w:sz w:val="24"/>
          <w:szCs w:val="24"/>
          <w:lang w:val="es-ES_tradnl" w:eastAsia="es-ES"/>
        </w:rPr>
        <w:t>su precedente en el sentido de acoger la postura de la Corte Constitucional consistente en darle el carácter de imprescriptible a la indemnización sustitutiva de la pensión</w:t>
      </w:r>
      <w:r w:rsidRPr="007646E8">
        <w:rPr>
          <w:rFonts w:ascii="Tahoma" w:eastAsia="Times New Roman" w:hAnsi="Tahoma" w:cs="Tahoma"/>
          <w:sz w:val="24"/>
          <w:szCs w:val="24"/>
          <w:lang w:val="es-ES_tradnl" w:eastAsia="es-ES"/>
        </w:rPr>
        <w:t>. Para el efecto tuvo en cuenta que la finalidad de efectuar las cotizaciones al Sistema General de Pensiones es la de concretar un aporte al sistema suficiente para materializar</w:t>
      </w:r>
      <w:r w:rsidRPr="007646E8">
        <w:rPr>
          <w:rFonts w:ascii="Tahoma" w:eastAsia="Times New Roman" w:hAnsi="Tahoma" w:cs="Tahoma"/>
          <w:i/>
          <w:sz w:val="24"/>
          <w:szCs w:val="24"/>
          <w:lang w:val="es-ES_tradnl" w:eastAsia="es-ES"/>
        </w:rPr>
        <w:t xml:space="preserve"> </w:t>
      </w:r>
      <w:r w:rsidRPr="007646E8">
        <w:rPr>
          <w:rFonts w:ascii="Tahoma" w:eastAsia="Times New Roman" w:hAnsi="Tahoma" w:cs="Tahoma"/>
          <w:sz w:val="24"/>
          <w:szCs w:val="24"/>
          <w:lang w:val="es-ES_tradnl" w:eastAsia="es-ES"/>
        </w:rPr>
        <w:t xml:space="preserve">el reconocimiento y pago de una prestación económica de carácter imprescriptible, como lo es la pensión de vejez; por lo que no resulta consecuente que ese mismo ahorro que causa una prestación principal de carácter imprescriptible, se vuelva prescriptible para aquellos afiliados que no logran acumular la densidad de semanas exigidas en la Ley para acceder a dicha pensión, cuando precisamente este sector de la población ante esa situación se encuentra </w:t>
      </w:r>
      <w:r w:rsidR="00714FDF" w:rsidRPr="007646E8">
        <w:rPr>
          <w:rFonts w:ascii="Tahoma" w:eastAsia="Times New Roman" w:hAnsi="Tahoma" w:cs="Tahoma"/>
          <w:sz w:val="24"/>
          <w:szCs w:val="24"/>
          <w:lang w:val="es-ES_tradnl" w:eastAsia="es-ES"/>
        </w:rPr>
        <w:t>en</w:t>
      </w:r>
      <w:r w:rsidRPr="007646E8">
        <w:rPr>
          <w:rFonts w:ascii="Tahoma" w:eastAsia="Times New Roman" w:hAnsi="Tahoma" w:cs="Tahoma"/>
          <w:sz w:val="24"/>
          <w:szCs w:val="24"/>
          <w:lang w:val="es-ES_tradnl" w:eastAsia="es-ES"/>
        </w:rPr>
        <w:t xml:space="preserve"> un estado de indefensión mayor al de aquellos que sí pudieron acceder al derecho.</w:t>
      </w:r>
    </w:p>
    <w:p w14:paraId="1B4FCB9D" w14:textId="5F42F8AF" w:rsidR="0003076A" w:rsidRPr="007646E8" w:rsidRDefault="0003076A" w:rsidP="007646E8">
      <w:pPr>
        <w:spacing w:after="0" w:line="276" w:lineRule="auto"/>
        <w:jc w:val="both"/>
        <w:rPr>
          <w:rFonts w:ascii="Tahoma" w:eastAsia="Times New Roman" w:hAnsi="Tahoma" w:cs="Tahoma"/>
          <w:sz w:val="24"/>
          <w:szCs w:val="24"/>
          <w:lang w:val="es-ES_tradnl" w:eastAsia="es-ES"/>
        </w:rPr>
      </w:pPr>
    </w:p>
    <w:p w14:paraId="167A11CB" w14:textId="63A7FE6A" w:rsidR="0003076A" w:rsidRPr="007646E8" w:rsidRDefault="0003076A" w:rsidP="007646E8">
      <w:pPr>
        <w:spacing w:after="0" w:line="276" w:lineRule="auto"/>
        <w:jc w:val="both"/>
        <w:rPr>
          <w:rFonts w:ascii="Tahoma" w:eastAsia="Times New Roman" w:hAnsi="Tahoma" w:cs="Tahoma"/>
          <w:sz w:val="24"/>
          <w:szCs w:val="24"/>
          <w:lang w:val="es-ES_tradnl" w:eastAsia="es-ES"/>
        </w:rPr>
      </w:pPr>
      <w:r w:rsidRPr="007646E8">
        <w:rPr>
          <w:rFonts w:ascii="Tahoma" w:eastAsia="Times New Roman" w:hAnsi="Tahoma" w:cs="Tahoma"/>
          <w:sz w:val="24"/>
          <w:szCs w:val="24"/>
          <w:lang w:val="es-ES_tradnl" w:eastAsia="es-ES"/>
        </w:rPr>
        <w:tab/>
        <w:t xml:space="preserve">Cabe resaltar que, al respecto, la Corte Constitucional en sentencia T-477 de 30 de julio de 2015, con ponencia del Magistrado Mauricio González Cuervo, dijo: </w:t>
      </w:r>
      <w:r w:rsidRPr="007646E8">
        <w:rPr>
          <w:rFonts w:ascii="Tahoma" w:eastAsia="Times New Roman" w:hAnsi="Tahoma" w:cs="Tahoma"/>
          <w:i/>
          <w:sz w:val="24"/>
          <w:szCs w:val="24"/>
          <w:lang w:val="es-ES_tradnl" w:eastAsia="es-ES"/>
        </w:rPr>
        <w:t>“</w:t>
      </w:r>
      <w:r w:rsidRPr="00740C0C">
        <w:rPr>
          <w:rFonts w:ascii="Tahoma" w:eastAsia="Times New Roman" w:hAnsi="Tahoma" w:cs="Tahoma"/>
          <w:i/>
          <w:szCs w:val="24"/>
          <w:lang w:val="es-ES_tradnl" w:eastAsia="es-ES"/>
        </w:rPr>
        <w:t>el derecho a la pensión en sí mismo es imprescriptible, pero el derecho a cobrar las mesadas pensionales si puede someterse al fenómeno de la prescripción porque no atenta contra el derecho fundamental a la seguridad social y establece un ambiente de seguridad jurídica que beneficia los dos extremos de la relación laboral. La reflexión acerca de la suerte que debe seguir la reclamación de una indemnización sustitutiva o devolución de saldos en materia de prescripción, se debe hacer sobre esta misma línea de pensamiento porque los sujetos que no pudieron cotizar lo suficiente para acceder a una pensión de vejez se encuentran en una situación de indefensión mayor, que aquellos que lo lograron. Entonces, por correspondencia lógica, la irrenunciabilidad e imprescriptibilidad que se divulga del derecho a la pensión, también debe predicarse del derecho a reclamar la indemnización sustitutiva o devolución de saldos</w:t>
      </w:r>
      <w:r w:rsidRPr="007646E8">
        <w:rPr>
          <w:rFonts w:ascii="Tahoma" w:eastAsia="Times New Roman" w:hAnsi="Tahoma" w:cs="Tahoma"/>
          <w:i/>
          <w:sz w:val="24"/>
          <w:szCs w:val="24"/>
          <w:lang w:val="es-ES_tradnl" w:eastAsia="es-ES"/>
        </w:rPr>
        <w:t>”.</w:t>
      </w:r>
    </w:p>
    <w:p w14:paraId="137FBF23" w14:textId="26D464ED" w:rsidR="00342AA3" w:rsidRPr="007646E8" w:rsidRDefault="00342AA3" w:rsidP="007646E8">
      <w:pPr>
        <w:spacing w:after="0" w:line="276" w:lineRule="auto"/>
        <w:jc w:val="both"/>
        <w:rPr>
          <w:rFonts w:ascii="Tahoma" w:eastAsia="Times New Roman" w:hAnsi="Tahoma" w:cs="Tahoma"/>
          <w:sz w:val="24"/>
          <w:szCs w:val="24"/>
          <w:lang w:val="es-ES_tradnl" w:eastAsia="es-ES"/>
        </w:rPr>
      </w:pPr>
    </w:p>
    <w:p w14:paraId="3D30AF51" w14:textId="0517DFAF" w:rsidR="00342AA3" w:rsidRPr="007646E8" w:rsidRDefault="00342AA3" w:rsidP="007646E8">
      <w:pPr>
        <w:spacing w:after="0" w:line="276" w:lineRule="auto"/>
        <w:jc w:val="both"/>
        <w:rPr>
          <w:rFonts w:ascii="Tahoma" w:eastAsia="Times New Roman" w:hAnsi="Tahoma" w:cs="Tahoma"/>
          <w:sz w:val="24"/>
          <w:szCs w:val="24"/>
          <w:lang w:val="es-ES_tradnl" w:eastAsia="es-ES"/>
        </w:rPr>
      </w:pPr>
      <w:r w:rsidRPr="007646E8">
        <w:rPr>
          <w:rFonts w:ascii="Tahoma" w:eastAsia="Times New Roman" w:hAnsi="Tahoma" w:cs="Tahoma"/>
          <w:sz w:val="24"/>
          <w:szCs w:val="24"/>
          <w:lang w:val="es-ES_tradnl" w:eastAsia="es-ES"/>
        </w:rPr>
        <w:tab/>
      </w:r>
      <w:r w:rsidR="00ED483B" w:rsidRPr="007646E8">
        <w:rPr>
          <w:rFonts w:ascii="Tahoma" w:eastAsia="Times New Roman" w:hAnsi="Tahoma" w:cs="Tahoma"/>
          <w:sz w:val="24"/>
          <w:szCs w:val="24"/>
          <w:lang w:val="es-ES_tradnl" w:eastAsia="es-ES"/>
        </w:rPr>
        <w:t>No sobra anotar que la Sala de Casación Laboral adoptó la misma postura en sentencia SL 4559 del 23 de octubre de 2019, reiterada en la sentencia SL3659 de 2020, abandonando el criterio de aplicación del término trienal prescriptivo y avalando la tesis de la imprescriptibilidad del derecho a la indemnización sustitutiva, en los siguientes términos:</w:t>
      </w:r>
    </w:p>
    <w:p w14:paraId="7FECFB5C" w14:textId="417400DE" w:rsidR="00ED483B" w:rsidRPr="007646E8" w:rsidRDefault="00ED483B" w:rsidP="007646E8">
      <w:pPr>
        <w:spacing w:after="0" w:line="276" w:lineRule="auto"/>
        <w:jc w:val="both"/>
        <w:rPr>
          <w:rFonts w:ascii="Tahoma" w:eastAsia="Times New Roman" w:hAnsi="Tahoma" w:cs="Tahoma"/>
          <w:sz w:val="24"/>
          <w:szCs w:val="24"/>
          <w:lang w:val="es-ES_tradnl" w:eastAsia="es-ES"/>
        </w:rPr>
      </w:pPr>
    </w:p>
    <w:p w14:paraId="5C8D8CCB" w14:textId="77777777" w:rsidR="00ED483B" w:rsidRPr="00D933B9" w:rsidRDefault="00ED483B" w:rsidP="00D933B9">
      <w:pPr>
        <w:spacing w:after="0" w:line="240" w:lineRule="auto"/>
        <w:ind w:left="426" w:right="420"/>
        <w:jc w:val="both"/>
        <w:rPr>
          <w:rFonts w:ascii="Tahoma" w:hAnsi="Tahoma" w:cs="Tahoma"/>
          <w:i/>
          <w:szCs w:val="24"/>
        </w:rPr>
      </w:pPr>
      <w:r w:rsidRPr="00D933B9">
        <w:rPr>
          <w:rFonts w:ascii="Tahoma" w:hAnsi="Tahoma" w:cs="Tahoma"/>
          <w:i/>
          <w:szCs w:val="24"/>
        </w:rPr>
        <w:t xml:space="preserve">“(…) En este orden, debe entenderse que así como no son susceptibles de desaparecer por prescripción extintiva esas cuestiones innatas de la pensión, y frente a la cuales esta Corte adoptó la teoría de la imprescriptibilidad, tampoco debe serlo la indemnización sustitutiva, en tanto, es un derecho de carácter pensional, pues comparte la característica básica de ser una garantía que se constituye a través de un ahorro forzoso, destinada a cubrir el riesgo de vejez, invalidez o muerte, según sea el caso. </w:t>
      </w:r>
    </w:p>
    <w:p w14:paraId="3D5F2F99" w14:textId="77777777" w:rsidR="00ED483B" w:rsidRPr="00D933B9" w:rsidRDefault="00ED483B" w:rsidP="00D933B9">
      <w:pPr>
        <w:spacing w:after="0" w:line="240" w:lineRule="auto"/>
        <w:ind w:left="426" w:right="420"/>
        <w:jc w:val="both"/>
        <w:rPr>
          <w:rFonts w:ascii="Tahoma" w:hAnsi="Tahoma" w:cs="Tahoma"/>
          <w:i/>
          <w:szCs w:val="24"/>
        </w:rPr>
      </w:pPr>
    </w:p>
    <w:p w14:paraId="07B1D0FC" w14:textId="77777777" w:rsidR="00ED483B" w:rsidRPr="00D933B9" w:rsidRDefault="00ED483B" w:rsidP="00D933B9">
      <w:pPr>
        <w:spacing w:after="0" w:line="240" w:lineRule="auto"/>
        <w:ind w:left="426" w:right="420"/>
        <w:jc w:val="both"/>
        <w:rPr>
          <w:rFonts w:ascii="Tahoma" w:hAnsi="Tahoma" w:cs="Tahoma"/>
          <w:i/>
          <w:szCs w:val="24"/>
        </w:rPr>
      </w:pPr>
      <w:r w:rsidRPr="00D933B9">
        <w:rPr>
          <w:rFonts w:ascii="Tahoma" w:hAnsi="Tahoma" w:cs="Tahoma"/>
          <w:i/>
          <w:szCs w:val="24"/>
        </w:rPr>
        <w:lastRenderedPageBreak/>
        <w:t>Desde tal perspectiva, la indemnización sustitutiva de la pensión de vejez no es una simple suma de dinero o crédito laboral sujeto a las reglas del término trienal, pues, se reitera, a la luz del sistema de seguridad social es una prerrogativa que, al ser el reemplazo o subsidio de la prestación de vejez, tiene un contenido de amparo contra ese riesgo, en tanto le permite a quien por distintas dificultades de la vida no alcanza a pensionarse, reclamar el pago de los aportes realizados en su vida laboral, con el propósito de administrarlos y mitigar la desprotección a la que se enfrenta por no contar con una prestación periódica.</w:t>
      </w:r>
    </w:p>
    <w:p w14:paraId="4BAB0333" w14:textId="77777777" w:rsidR="00ED483B" w:rsidRPr="00D933B9" w:rsidRDefault="00ED483B" w:rsidP="00D933B9">
      <w:pPr>
        <w:spacing w:after="0" w:line="240" w:lineRule="auto"/>
        <w:ind w:left="426" w:right="420"/>
        <w:jc w:val="both"/>
        <w:rPr>
          <w:rFonts w:ascii="Tahoma" w:hAnsi="Tahoma" w:cs="Tahoma"/>
          <w:i/>
          <w:szCs w:val="24"/>
        </w:rPr>
      </w:pPr>
    </w:p>
    <w:p w14:paraId="7AA6A972" w14:textId="77777777" w:rsidR="00ED483B" w:rsidRPr="00D933B9" w:rsidRDefault="00ED483B" w:rsidP="00D933B9">
      <w:pPr>
        <w:spacing w:after="0" w:line="240" w:lineRule="auto"/>
        <w:ind w:left="426" w:right="420"/>
        <w:jc w:val="both"/>
        <w:rPr>
          <w:rFonts w:ascii="Tahoma" w:hAnsi="Tahoma" w:cs="Tahoma"/>
          <w:i/>
          <w:szCs w:val="24"/>
        </w:rPr>
      </w:pPr>
      <w:r w:rsidRPr="00D933B9">
        <w:rPr>
          <w:rFonts w:ascii="Tahoma" w:hAnsi="Tahoma" w:cs="Tahoma"/>
          <w:i/>
          <w:szCs w:val="24"/>
        </w:rPr>
        <w:t>Es por ello, que tal concepto debe recibir el mismo tratamiento de las pensiones desde el punto de vista de su esencia no prescriptible y su conexión con la realización de otros principios y derechos fundamentales, máxime que resulta coherente afirmar que así como el pago de aportes a pensión puede reclamarse a cualquier empleador en todo tiempo, igual ocurre con la devolución de las cotizaciones, que valga la pena, señalar, aunque son del sistema, dejan de serlo una vez el afiliado no cumple con los requisitos pensionales y manifiesta su imposibilidad de seguir cotizando. De manera, que se convierte en una cuestión de justicia, pues no solo ayudó a construir el capital con su trabajo, sino que también al desaparecer el fin para el cual se sufragaron esos aportes –alcanzar la pensión- es natural que pretenda su reintegro (…)”.</w:t>
      </w:r>
    </w:p>
    <w:p w14:paraId="1A5215A6" w14:textId="74CFF05B" w:rsidR="00ED483B" w:rsidRPr="007646E8" w:rsidRDefault="00ED483B" w:rsidP="007646E8">
      <w:pPr>
        <w:spacing w:after="0" w:line="276" w:lineRule="auto"/>
        <w:jc w:val="both"/>
        <w:rPr>
          <w:rFonts w:ascii="Tahoma" w:eastAsia="Times New Roman" w:hAnsi="Tahoma" w:cs="Tahoma"/>
          <w:sz w:val="24"/>
          <w:szCs w:val="24"/>
          <w:lang w:eastAsia="es-ES"/>
        </w:rPr>
      </w:pPr>
    </w:p>
    <w:p w14:paraId="7AF7C0D8" w14:textId="0C6D9131" w:rsidR="004564D2" w:rsidRPr="007646E8" w:rsidRDefault="00D95326" w:rsidP="007646E8">
      <w:pPr>
        <w:spacing w:after="0" w:line="276" w:lineRule="auto"/>
        <w:ind w:firstLine="680"/>
        <w:jc w:val="both"/>
        <w:rPr>
          <w:rFonts w:ascii="Tahoma" w:hAnsi="Tahoma" w:cs="Tahoma"/>
          <w:sz w:val="24"/>
          <w:szCs w:val="24"/>
          <w:lang w:eastAsia="x-none"/>
        </w:rPr>
      </w:pPr>
      <w:r w:rsidRPr="007646E8">
        <w:rPr>
          <w:rFonts w:ascii="Tahoma" w:eastAsia="Times New Roman" w:hAnsi="Tahoma" w:cs="Tahoma"/>
          <w:sz w:val="24"/>
          <w:szCs w:val="24"/>
          <w:lang w:eastAsia="es-ES"/>
        </w:rPr>
        <w:t>Con todo</w:t>
      </w:r>
      <w:r w:rsidR="004564D2" w:rsidRPr="007646E8">
        <w:rPr>
          <w:rFonts w:ascii="Tahoma" w:eastAsia="Times New Roman" w:hAnsi="Tahoma" w:cs="Tahoma"/>
          <w:sz w:val="24"/>
          <w:szCs w:val="24"/>
          <w:lang w:eastAsia="es-ES"/>
        </w:rPr>
        <w:t>, si bien l</w:t>
      </w:r>
      <w:r w:rsidR="0082401A" w:rsidRPr="007646E8">
        <w:rPr>
          <w:rFonts w:ascii="Tahoma" w:eastAsia="Times New Roman" w:hAnsi="Tahoma" w:cs="Tahoma"/>
          <w:sz w:val="24"/>
          <w:szCs w:val="24"/>
          <w:lang w:eastAsia="es-ES"/>
        </w:rPr>
        <w:t xml:space="preserve">o anterior implica </w:t>
      </w:r>
      <w:r w:rsidR="0082401A" w:rsidRPr="007646E8">
        <w:rPr>
          <w:rFonts w:ascii="Tahoma" w:hAnsi="Tahoma" w:cs="Tahoma"/>
          <w:sz w:val="24"/>
          <w:szCs w:val="24"/>
          <w:lang w:eastAsia="x-none"/>
        </w:rPr>
        <w:t xml:space="preserve">la posibilidad de </w:t>
      </w:r>
      <w:r w:rsidR="009828C5" w:rsidRPr="007646E8">
        <w:rPr>
          <w:rFonts w:ascii="Tahoma" w:hAnsi="Tahoma" w:cs="Tahoma"/>
          <w:sz w:val="24"/>
          <w:szCs w:val="24"/>
          <w:lang w:eastAsia="x-none"/>
        </w:rPr>
        <w:t xml:space="preserve">que la citada indemnización sea </w:t>
      </w:r>
      <w:r w:rsidR="0082401A" w:rsidRPr="007646E8">
        <w:rPr>
          <w:rFonts w:ascii="Tahoma" w:hAnsi="Tahoma" w:cs="Tahoma"/>
          <w:sz w:val="24"/>
          <w:szCs w:val="24"/>
          <w:lang w:eastAsia="x-none"/>
        </w:rPr>
        <w:t>justiciad</w:t>
      </w:r>
      <w:r w:rsidR="009828C5" w:rsidRPr="007646E8">
        <w:rPr>
          <w:rFonts w:ascii="Tahoma" w:hAnsi="Tahoma" w:cs="Tahoma"/>
          <w:sz w:val="24"/>
          <w:szCs w:val="24"/>
          <w:lang w:eastAsia="x-none"/>
        </w:rPr>
        <w:t>a</w:t>
      </w:r>
      <w:r w:rsidR="0082401A" w:rsidRPr="007646E8">
        <w:rPr>
          <w:rFonts w:ascii="Tahoma" w:hAnsi="Tahoma" w:cs="Tahoma"/>
          <w:sz w:val="24"/>
          <w:szCs w:val="24"/>
          <w:lang w:eastAsia="x-none"/>
        </w:rPr>
        <w:t xml:space="preserve"> en todo tiempo, </w:t>
      </w:r>
      <w:r w:rsidR="004564D2" w:rsidRPr="007646E8">
        <w:rPr>
          <w:rFonts w:ascii="Tahoma" w:hAnsi="Tahoma" w:cs="Tahoma"/>
          <w:sz w:val="24"/>
          <w:szCs w:val="24"/>
          <w:lang w:eastAsia="x-none"/>
        </w:rPr>
        <w:t>es del caso precisar que, de acuerdo a lo advertido por la Corte Constitucional y acogido por esta Corporación, en sentencia del 18 de enero de 2022, radicado 04-2021-00317 con ponencia del Magistrado Julio César Salazar Muñoz:</w:t>
      </w:r>
    </w:p>
    <w:p w14:paraId="680FE9F1" w14:textId="77777777" w:rsidR="004564D2" w:rsidRPr="007646E8" w:rsidRDefault="004564D2" w:rsidP="007646E8">
      <w:pPr>
        <w:spacing w:after="0" w:line="276" w:lineRule="auto"/>
        <w:ind w:firstLine="680"/>
        <w:jc w:val="both"/>
        <w:rPr>
          <w:rFonts w:ascii="Tahoma" w:hAnsi="Tahoma" w:cs="Tahoma"/>
          <w:sz w:val="24"/>
          <w:szCs w:val="24"/>
          <w:lang w:eastAsia="x-none"/>
        </w:rPr>
      </w:pPr>
    </w:p>
    <w:p w14:paraId="3D22586F" w14:textId="771235A8" w:rsidR="004564D2" w:rsidRPr="00740C0C" w:rsidRDefault="004564D2" w:rsidP="00740C0C">
      <w:pPr>
        <w:spacing w:after="0" w:line="240" w:lineRule="auto"/>
        <w:ind w:left="426" w:right="420"/>
        <w:jc w:val="both"/>
        <w:rPr>
          <w:rFonts w:ascii="Tahoma" w:hAnsi="Tahoma" w:cs="Tahoma"/>
          <w:i/>
          <w:szCs w:val="24"/>
        </w:rPr>
      </w:pPr>
      <w:r w:rsidRPr="00740C0C">
        <w:rPr>
          <w:rFonts w:ascii="Tahoma" w:hAnsi="Tahoma" w:cs="Tahoma"/>
          <w:i/>
          <w:szCs w:val="24"/>
        </w:rPr>
        <w:t xml:space="preserve"> ““‘(…) la indemnización sustitutiva, solo se sujeta a las normas de prescripción desde el momento en que ha sido reconocida por la entidad responsable, previa solicitud del interesado, quien, como se anotó, puede libremente optar bien por elevar el requerimiento para el reconocimiento de esta prestación, o bien por continuar cotizando hasta cumplir los requisitos para acceder a la pensión de vejez’.”.</w:t>
      </w:r>
    </w:p>
    <w:p w14:paraId="10A173DB" w14:textId="77777777" w:rsidR="004564D2" w:rsidRPr="00740C0C" w:rsidRDefault="004564D2" w:rsidP="00740C0C">
      <w:pPr>
        <w:spacing w:after="0" w:line="240" w:lineRule="auto"/>
        <w:ind w:left="426" w:right="420"/>
        <w:jc w:val="both"/>
        <w:rPr>
          <w:rFonts w:ascii="Tahoma" w:hAnsi="Tahoma" w:cs="Tahoma"/>
          <w:i/>
          <w:szCs w:val="24"/>
        </w:rPr>
      </w:pPr>
    </w:p>
    <w:p w14:paraId="3E9CEED0" w14:textId="340B6183" w:rsidR="0082401A" w:rsidRPr="00740C0C" w:rsidRDefault="004564D2" w:rsidP="00740C0C">
      <w:pPr>
        <w:spacing w:after="0" w:line="240" w:lineRule="auto"/>
        <w:ind w:left="426" w:right="420"/>
        <w:jc w:val="both"/>
        <w:rPr>
          <w:rFonts w:ascii="Tahoma" w:hAnsi="Tahoma" w:cs="Tahoma"/>
          <w:i/>
          <w:szCs w:val="24"/>
        </w:rPr>
      </w:pPr>
      <w:r w:rsidRPr="00740C0C">
        <w:rPr>
          <w:rFonts w:ascii="Tahoma" w:hAnsi="Tahoma" w:cs="Tahoma"/>
          <w:i/>
          <w:szCs w:val="24"/>
        </w:rPr>
        <w:t>De acuerdo con lo expuesto, una vez la entidad de la seguridad social responsable reconozca la respectiva indemnización sustitutiva a favor del afiliado o sus beneficiarios, se activa inmediatamente el término trienal de prescripción previsto en el artículo 151 del CPT y de la SS para cobrarla o en su defecto para pedir su reajuste o reliquidación”.</w:t>
      </w:r>
    </w:p>
    <w:p w14:paraId="569EDFD6" w14:textId="60B221AC" w:rsidR="0003076A" w:rsidRPr="007646E8" w:rsidRDefault="0003076A" w:rsidP="007646E8">
      <w:pPr>
        <w:spacing w:after="0" w:line="276" w:lineRule="auto"/>
        <w:jc w:val="both"/>
        <w:rPr>
          <w:rFonts w:ascii="Tahoma" w:eastAsia="Times New Roman" w:hAnsi="Tahoma" w:cs="Tahoma"/>
          <w:sz w:val="24"/>
          <w:szCs w:val="24"/>
          <w:lang w:val="es-ES_tradnl" w:eastAsia="es-ES"/>
        </w:rPr>
      </w:pPr>
    </w:p>
    <w:p w14:paraId="603E6769" w14:textId="325E40F0" w:rsidR="0003076A" w:rsidRPr="007646E8" w:rsidRDefault="0003076A" w:rsidP="007646E8">
      <w:pPr>
        <w:pStyle w:val="Prrafodelista"/>
        <w:numPr>
          <w:ilvl w:val="1"/>
          <w:numId w:val="1"/>
        </w:numPr>
        <w:spacing w:after="0" w:line="276" w:lineRule="auto"/>
        <w:rPr>
          <w:rFonts w:ascii="Tahoma" w:eastAsia="Times New Roman" w:hAnsi="Tahoma" w:cs="Tahoma"/>
          <w:b/>
          <w:sz w:val="24"/>
          <w:szCs w:val="24"/>
          <w:lang w:val="es-ES_tradnl" w:eastAsia="es-ES"/>
        </w:rPr>
      </w:pPr>
      <w:r w:rsidRPr="007646E8">
        <w:rPr>
          <w:rFonts w:ascii="Tahoma" w:eastAsia="Times New Roman" w:hAnsi="Tahoma" w:cs="Tahoma"/>
          <w:b/>
          <w:sz w:val="24"/>
          <w:szCs w:val="24"/>
          <w:lang w:val="es-ES_tradnl" w:eastAsia="es-ES"/>
        </w:rPr>
        <w:t>Caso Concreto</w:t>
      </w:r>
    </w:p>
    <w:p w14:paraId="26D9647B" w14:textId="2DEA4409" w:rsidR="0003076A" w:rsidRPr="007646E8" w:rsidRDefault="0003076A" w:rsidP="007646E8">
      <w:pPr>
        <w:spacing w:after="0" w:line="276" w:lineRule="auto"/>
        <w:jc w:val="both"/>
        <w:rPr>
          <w:rFonts w:ascii="Tahoma" w:eastAsia="Times New Roman" w:hAnsi="Tahoma" w:cs="Tahoma"/>
          <w:sz w:val="24"/>
          <w:szCs w:val="24"/>
          <w:lang w:val="es-ES_tradnl" w:eastAsia="es-ES"/>
        </w:rPr>
      </w:pPr>
    </w:p>
    <w:p w14:paraId="70CC4237" w14:textId="54E3F967" w:rsidR="00F26782" w:rsidRPr="007646E8" w:rsidRDefault="00414EAE" w:rsidP="007646E8">
      <w:pPr>
        <w:spacing w:after="0" w:line="276" w:lineRule="auto"/>
        <w:ind w:firstLine="708"/>
        <w:jc w:val="both"/>
        <w:rPr>
          <w:rFonts w:ascii="Tahoma" w:eastAsia="Times New Roman" w:hAnsi="Tahoma" w:cs="Tahoma"/>
          <w:sz w:val="24"/>
          <w:szCs w:val="24"/>
          <w:lang w:val="es-ES_tradnl" w:eastAsia="es-ES"/>
        </w:rPr>
      </w:pPr>
      <w:r w:rsidRPr="007646E8">
        <w:rPr>
          <w:rFonts w:ascii="Tahoma" w:eastAsia="Times New Roman" w:hAnsi="Tahoma" w:cs="Tahoma"/>
          <w:sz w:val="24"/>
          <w:szCs w:val="24"/>
          <w:lang w:val="es-ES_tradnl" w:eastAsia="es-ES"/>
        </w:rPr>
        <w:t>C</w:t>
      </w:r>
      <w:r w:rsidR="00B369D8" w:rsidRPr="007646E8">
        <w:rPr>
          <w:rFonts w:ascii="Tahoma" w:eastAsia="Times New Roman" w:hAnsi="Tahoma" w:cs="Tahoma"/>
          <w:sz w:val="24"/>
          <w:szCs w:val="24"/>
          <w:lang w:val="es-ES_tradnl" w:eastAsia="es-ES"/>
        </w:rPr>
        <w:t>omo</w:t>
      </w:r>
      <w:r w:rsidR="009828C5" w:rsidRPr="007646E8">
        <w:rPr>
          <w:rFonts w:ascii="Tahoma" w:eastAsia="Times New Roman" w:hAnsi="Tahoma" w:cs="Tahoma"/>
          <w:sz w:val="24"/>
          <w:szCs w:val="24"/>
          <w:lang w:val="es-ES_tradnl" w:eastAsia="es-ES"/>
        </w:rPr>
        <w:t xml:space="preserve"> la jueza se abstuvo de condenar a la entidad demandada al encontrar que no había ninguna diferencia a favor del demandante </w:t>
      </w:r>
      <w:r w:rsidR="00F26782" w:rsidRPr="007646E8">
        <w:rPr>
          <w:rFonts w:ascii="Tahoma" w:eastAsia="Times New Roman" w:hAnsi="Tahoma" w:cs="Tahoma"/>
          <w:sz w:val="24"/>
          <w:szCs w:val="24"/>
          <w:lang w:val="es-ES_tradnl" w:eastAsia="es-ES"/>
        </w:rPr>
        <w:t>por concepto de indemnización sustitutiva</w:t>
      </w:r>
      <w:r w:rsidR="00B369D8" w:rsidRPr="007646E8">
        <w:rPr>
          <w:rFonts w:ascii="Tahoma" w:eastAsia="Times New Roman" w:hAnsi="Tahoma" w:cs="Tahoma"/>
          <w:sz w:val="24"/>
          <w:szCs w:val="24"/>
          <w:lang w:val="es-ES_tradnl" w:eastAsia="es-ES"/>
        </w:rPr>
        <w:t xml:space="preserve">, </w:t>
      </w:r>
      <w:r w:rsidR="00F26782" w:rsidRPr="007646E8">
        <w:rPr>
          <w:rFonts w:ascii="Tahoma" w:eastAsia="Times New Roman" w:hAnsi="Tahoma" w:cs="Tahoma"/>
          <w:sz w:val="24"/>
          <w:szCs w:val="24"/>
          <w:lang w:val="es-ES_tradnl" w:eastAsia="es-ES"/>
        </w:rPr>
        <w:t>se procederá a verificar</w:t>
      </w:r>
      <w:r w:rsidR="00B369D8" w:rsidRPr="007646E8">
        <w:rPr>
          <w:rFonts w:ascii="Tahoma" w:eastAsia="Times New Roman" w:hAnsi="Tahoma" w:cs="Tahoma"/>
          <w:sz w:val="24"/>
          <w:szCs w:val="24"/>
          <w:lang w:val="es-ES_tradnl" w:eastAsia="es-ES"/>
        </w:rPr>
        <w:t>, en sede consulta,</w:t>
      </w:r>
      <w:r w:rsidR="00F26782" w:rsidRPr="007646E8">
        <w:rPr>
          <w:rFonts w:ascii="Tahoma" w:eastAsia="Times New Roman" w:hAnsi="Tahoma" w:cs="Tahoma"/>
          <w:sz w:val="24"/>
          <w:szCs w:val="24"/>
          <w:lang w:val="es-ES_tradnl" w:eastAsia="es-ES"/>
        </w:rPr>
        <w:t xml:space="preserve"> si el cálculo del mismo estuvo correctamente liquidado,</w:t>
      </w:r>
      <w:r w:rsidR="009828C5" w:rsidRPr="007646E8">
        <w:rPr>
          <w:rFonts w:ascii="Tahoma" w:eastAsia="Times New Roman" w:hAnsi="Tahoma" w:cs="Tahoma"/>
          <w:sz w:val="24"/>
          <w:szCs w:val="24"/>
          <w:lang w:val="es-ES_tradnl" w:eastAsia="es-ES"/>
        </w:rPr>
        <w:t xml:space="preserve"> conforme a los factores explicitados líneas atrás, tal como se puede apreciar en la</w:t>
      </w:r>
      <w:r w:rsidR="00F26782" w:rsidRPr="007646E8">
        <w:rPr>
          <w:rFonts w:ascii="Tahoma" w:eastAsia="Times New Roman" w:hAnsi="Tahoma" w:cs="Tahoma"/>
          <w:sz w:val="24"/>
          <w:szCs w:val="24"/>
          <w:lang w:val="es-ES_tradnl" w:eastAsia="es-ES"/>
        </w:rPr>
        <w:t xml:space="preserve"> siguiente tabla</w:t>
      </w:r>
      <w:r w:rsidR="009828C5" w:rsidRPr="007646E8">
        <w:rPr>
          <w:rFonts w:ascii="Tahoma" w:eastAsia="Times New Roman" w:hAnsi="Tahoma" w:cs="Tahoma"/>
          <w:sz w:val="24"/>
          <w:szCs w:val="24"/>
          <w:lang w:val="es-ES_tradnl" w:eastAsia="es-ES"/>
        </w:rPr>
        <w:t>:</w:t>
      </w:r>
    </w:p>
    <w:p w14:paraId="4ED5D5E3" w14:textId="7C7B3D34" w:rsidR="00B369D8" w:rsidRPr="007646E8" w:rsidRDefault="00B369D8" w:rsidP="007646E8">
      <w:pPr>
        <w:spacing w:after="0" w:line="276" w:lineRule="auto"/>
        <w:ind w:firstLine="708"/>
        <w:jc w:val="both"/>
        <w:rPr>
          <w:rFonts w:ascii="Tahoma" w:eastAsia="Times New Roman" w:hAnsi="Tahoma" w:cs="Tahoma"/>
          <w:sz w:val="24"/>
          <w:szCs w:val="24"/>
          <w:lang w:val="es-ES_tradnl"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5"/>
        <w:gridCol w:w="401"/>
        <w:gridCol w:w="325"/>
        <w:gridCol w:w="455"/>
        <w:gridCol w:w="401"/>
        <w:gridCol w:w="327"/>
        <w:gridCol w:w="576"/>
        <w:gridCol w:w="646"/>
        <w:gridCol w:w="612"/>
        <w:gridCol w:w="765"/>
        <w:gridCol w:w="842"/>
        <w:gridCol w:w="636"/>
        <w:gridCol w:w="703"/>
        <w:gridCol w:w="908"/>
        <w:gridCol w:w="1005"/>
      </w:tblGrid>
      <w:tr w:rsidR="00FF0ED7" w:rsidRPr="00740C0C" w14:paraId="49739DAF" w14:textId="77777777" w:rsidTr="00FF0ED7">
        <w:trPr>
          <w:trHeight w:val="330"/>
        </w:trPr>
        <w:tc>
          <w:tcPr>
            <w:tcW w:w="1315" w:type="pct"/>
            <w:gridSpan w:val="6"/>
            <w:shd w:val="clear" w:color="000000" w:fill="A6A6A6"/>
            <w:noWrap/>
            <w:hideMark/>
          </w:tcPr>
          <w:p w14:paraId="023B4C60" w14:textId="77777777" w:rsidR="00FF0ED7" w:rsidRPr="00740C0C" w:rsidRDefault="00FF0ED7" w:rsidP="00FF0ED7">
            <w:pPr>
              <w:spacing w:after="0" w:line="240" w:lineRule="auto"/>
              <w:rPr>
                <w:rFonts w:ascii="Calibri" w:eastAsia="Times New Roman" w:hAnsi="Calibri" w:cs="Calibri"/>
                <w:b/>
                <w:bCs/>
                <w:color w:val="FFFFFF"/>
                <w:sz w:val="12"/>
                <w:szCs w:val="12"/>
                <w:lang w:eastAsia="es-CO"/>
              </w:rPr>
            </w:pPr>
            <w:r w:rsidRPr="00740C0C">
              <w:rPr>
                <w:rFonts w:ascii="Calibri" w:eastAsia="Times New Roman" w:hAnsi="Calibri" w:cs="Calibri"/>
                <w:b/>
                <w:bCs/>
                <w:color w:val="FFFFFF"/>
                <w:sz w:val="12"/>
                <w:szCs w:val="12"/>
                <w:lang w:eastAsia="es-CO"/>
              </w:rPr>
              <w:t>PERIODOS DE COTIZACIONES</w:t>
            </w:r>
          </w:p>
        </w:tc>
        <w:tc>
          <w:tcPr>
            <w:tcW w:w="2631" w:type="pct"/>
            <w:gridSpan w:val="7"/>
            <w:shd w:val="clear" w:color="000000" w:fill="A6A6A6"/>
            <w:noWrap/>
            <w:hideMark/>
          </w:tcPr>
          <w:p w14:paraId="37EDC35C" w14:textId="0B5CE1F9" w:rsidR="00FF0ED7" w:rsidRPr="00740C0C" w:rsidRDefault="00FF0ED7" w:rsidP="00FF0ED7">
            <w:pPr>
              <w:spacing w:after="0" w:line="240" w:lineRule="auto"/>
              <w:rPr>
                <w:rFonts w:ascii="Calibri" w:eastAsia="Times New Roman" w:hAnsi="Calibri" w:cs="Calibri"/>
                <w:b/>
                <w:bCs/>
                <w:color w:val="FFFFFF"/>
                <w:sz w:val="12"/>
                <w:szCs w:val="12"/>
                <w:lang w:eastAsia="es-CO"/>
              </w:rPr>
            </w:pPr>
            <w:r w:rsidRPr="00740C0C">
              <w:rPr>
                <w:rFonts w:ascii="Calibri" w:eastAsia="Times New Roman" w:hAnsi="Calibri" w:cs="Calibri"/>
                <w:b/>
                <w:bCs/>
                <w:color w:val="FFFFFF"/>
                <w:sz w:val="12"/>
                <w:szCs w:val="12"/>
                <w:lang w:eastAsia="es-CO"/>
              </w:rPr>
              <w:t>FECHA EN DONDE SE RECLAMA LA INDEMNIZACIÓN (Año/Mes):</w:t>
            </w:r>
          </w:p>
        </w:tc>
        <w:tc>
          <w:tcPr>
            <w:tcW w:w="497" w:type="pct"/>
            <w:shd w:val="clear" w:color="000000" w:fill="A6A6A6"/>
            <w:noWrap/>
            <w:hideMark/>
          </w:tcPr>
          <w:p w14:paraId="376C7B03" w14:textId="77777777" w:rsidR="00FF0ED7" w:rsidRPr="00740C0C" w:rsidRDefault="00FF0ED7" w:rsidP="00FF0ED7">
            <w:pPr>
              <w:spacing w:after="0" w:line="240" w:lineRule="auto"/>
              <w:rPr>
                <w:rFonts w:ascii="Calibri" w:eastAsia="Times New Roman" w:hAnsi="Calibri" w:cs="Calibri"/>
                <w:b/>
                <w:bCs/>
                <w:color w:val="FFFFFF"/>
                <w:sz w:val="12"/>
                <w:szCs w:val="12"/>
                <w:lang w:eastAsia="es-CO"/>
              </w:rPr>
            </w:pPr>
            <w:r w:rsidRPr="00740C0C">
              <w:rPr>
                <w:rFonts w:ascii="Calibri" w:eastAsia="Times New Roman" w:hAnsi="Calibri" w:cs="Calibri"/>
                <w:b/>
                <w:bCs/>
                <w:color w:val="FFFFFF"/>
                <w:sz w:val="12"/>
                <w:szCs w:val="12"/>
                <w:lang w:eastAsia="es-CO"/>
              </w:rPr>
              <w:t>2017-03</w:t>
            </w:r>
          </w:p>
        </w:tc>
        <w:tc>
          <w:tcPr>
            <w:tcW w:w="557" w:type="pct"/>
            <w:shd w:val="clear" w:color="000000" w:fill="A6A6A6"/>
            <w:noWrap/>
            <w:hideMark/>
          </w:tcPr>
          <w:p w14:paraId="57B803B8" w14:textId="11718BF3" w:rsidR="00FF0ED7" w:rsidRPr="00740C0C" w:rsidRDefault="00FF0ED7" w:rsidP="00FF0ED7">
            <w:pPr>
              <w:spacing w:after="0" w:line="240" w:lineRule="auto"/>
              <w:rPr>
                <w:rFonts w:ascii="Calibri" w:eastAsia="Times New Roman" w:hAnsi="Calibri" w:cs="Calibri"/>
                <w:b/>
                <w:bCs/>
                <w:color w:val="FFFFFF"/>
                <w:sz w:val="12"/>
                <w:szCs w:val="12"/>
                <w:lang w:eastAsia="es-CO"/>
              </w:rPr>
            </w:pPr>
          </w:p>
        </w:tc>
      </w:tr>
      <w:tr w:rsidR="00FF0ED7" w:rsidRPr="00740C0C" w14:paraId="0B72B6A6" w14:textId="77777777" w:rsidTr="00FF0ED7">
        <w:trPr>
          <w:trHeight w:val="810"/>
        </w:trPr>
        <w:tc>
          <w:tcPr>
            <w:tcW w:w="656" w:type="pct"/>
            <w:gridSpan w:val="3"/>
            <w:shd w:val="clear" w:color="000000" w:fill="A6A6A6"/>
            <w:noWrap/>
            <w:hideMark/>
          </w:tcPr>
          <w:p w14:paraId="7375155E" w14:textId="77777777" w:rsidR="00FF0ED7" w:rsidRPr="00740C0C" w:rsidRDefault="00FF0ED7" w:rsidP="00FF0ED7">
            <w:pPr>
              <w:spacing w:after="0" w:line="240" w:lineRule="auto"/>
              <w:rPr>
                <w:rFonts w:ascii="Calibri" w:eastAsia="Times New Roman" w:hAnsi="Calibri" w:cs="Calibri"/>
                <w:b/>
                <w:bCs/>
                <w:color w:val="FFFFFF"/>
                <w:sz w:val="12"/>
                <w:szCs w:val="12"/>
                <w:lang w:eastAsia="es-CO"/>
              </w:rPr>
            </w:pPr>
            <w:r w:rsidRPr="00740C0C">
              <w:rPr>
                <w:rFonts w:ascii="Calibri" w:eastAsia="Times New Roman" w:hAnsi="Calibri" w:cs="Calibri"/>
                <w:b/>
                <w:bCs/>
                <w:color w:val="FFFFFF"/>
                <w:sz w:val="12"/>
                <w:szCs w:val="12"/>
                <w:lang w:eastAsia="es-CO"/>
              </w:rPr>
              <w:t>DESDE</w:t>
            </w:r>
          </w:p>
        </w:tc>
        <w:tc>
          <w:tcPr>
            <w:tcW w:w="658" w:type="pct"/>
            <w:gridSpan w:val="3"/>
            <w:shd w:val="clear" w:color="000000" w:fill="A6A6A6"/>
            <w:noWrap/>
            <w:hideMark/>
          </w:tcPr>
          <w:p w14:paraId="6DC1AC55" w14:textId="77777777" w:rsidR="00FF0ED7" w:rsidRPr="00740C0C" w:rsidRDefault="00FF0ED7" w:rsidP="00FF0ED7">
            <w:pPr>
              <w:spacing w:after="0" w:line="240" w:lineRule="auto"/>
              <w:rPr>
                <w:rFonts w:ascii="Calibri" w:eastAsia="Times New Roman" w:hAnsi="Calibri" w:cs="Calibri"/>
                <w:b/>
                <w:bCs/>
                <w:color w:val="FFFFFF"/>
                <w:sz w:val="12"/>
                <w:szCs w:val="12"/>
                <w:lang w:eastAsia="es-CO"/>
              </w:rPr>
            </w:pPr>
            <w:r w:rsidRPr="00740C0C">
              <w:rPr>
                <w:rFonts w:ascii="Calibri" w:eastAsia="Times New Roman" w:hAnsi="Calibri" w:cs="Calibri"/>
                <w:b/>
                <w:bCs/>
                <w:color w:val="FFFFFF"/>
                <w:sz w:val="12"/>
                <w:szCs w:val="12"/>
                <w:lang w:eastAsia="es-CO"/>
              </w:rPr>
              <w:t>HASTA</w:t>
            </w:r>
          </w:p>
        </w:tc>
        <w:tc>
          <w:tcPr>
            <w:tcW w:w="319" w:type="pct"/>
            <w:vMerge w:val="restart"/>
            <w:shd w:val="clear" w:color="000000" w:fill="A6A6A6"/>
            <w:noWrap/>
            <w:hideMark/>
          </w:tcPr>
          <w:p w14:paraId="39FD3C61" w14:textId="4C12B554" w:rsidR="00FF0ED7" w:rsidRPr="00740C0C" w:rsidRDefault="00FF0ED7" w:rsidP="00FF0ED7">
            <w:pPr>
              <w:spacing w:after="0" w:line="240" w:lineRule="auto"/>
              <w:rPr>
                <w:rFonts w:ascii="Calibri" w:eastAsia="Times New Roman" w:hAnsi="Calibri" w:cs="Calibri"/>
                <w:b/>
                <w:bCs/>
                <w:color w:val="FFFFFF"/>
                <w:sz w:val="12"/>
                <w:szCs w:val="12"/>
                <w:lang w:eastAsia="es-CO"/>
              </w:rPr>
            </w:pPr>
            <w:r w:rsidRPr="00740C0C">
              <w:rPr>
                <w:rFonts w:ascii="Calibri" w:eastAsia="Times New Roman" w:hAnsi="Calibri" w:cs="Calibri"/>
                <w:b/>
                <w:bCs/>
                <w:color w:val="FFFFFF"/>
                <w:sz w:val="12"/>
                <w:szCs w:val="12"/>
                <w:lang w:eastAsia="es-CO"/>
              </w:rPr>
              <w:t># Días</w:t>
            </w:r>
          </w:p>
        </w:tc>
        <w:tc>
          <w:tcPr>
            <w:tcW w:w="358" w:type="pct"/>
            <w:vMerge w:val="restart"/>
            <w:shd w:val="clear" w:color="000000" w:fill="A6A6A6"/>
            <w:hideMark/>
          </w:tcPr>
          <w:p w14:paraId="430226AF" w14:textId="77777777" w:rsidR="00FF0ED7" w:rsidRPr="00740C0C" w:rsidRDefault="00FF0ED7" w:rsidP="00FF0ED7">
            <w:pPr>
              <w:spacing w:after="0" w:line="240" w:lineRule="auto"/>
              <w:rPr>
                <w:rFonts w:ascii="Calibri" w:eastAsia="Times New Roman" w:hAnsi="Calibri" w:cs="Calibri"/>
                <w:b/>
                <w:bCs/>
                <w:color w:val="FFFFFF"/>
                <w:sz w:val="12"/>
                <w:szCs w:val="12"/>
                <w:lang w:eastAsia="es-CO"/>
              </w:rPr>
            </w:pPr>
            <w:r w:rsidRPr="00740C0C">
              <w:rPr>
                <w:rFonts w:ascii="Calibri" w:eastAsia="Times New Roman" w:hAnsi="Calibri" w:cs="Calibri"/>
                <w:b/>
                <w:bCs/>
                <w:color w:val="FFFFFF"/>
                <w:sz w:val="12"/>
                <w:szCs w:val="12"/>
                <w:lang w:eastAsia="es-CO"/>
              </w:rPr>
              <w:t># Semanas</w:t>
            </w:r>
          </w:p>
        </w:tc>
        <w:tc>
          <w:tcPr>
            <w:tcW w:w="339" w:type="pct"/>
            <w:vMerge w:val="restart"/>
            <w:shd w:val="clear" w:color="000000" w:fill="A6A6A6"/>
            <w:hideMark/>
          </w:tcPr>
          <w:p w14:paraId="4492F26C" w14:textId="77777777" w:rsidR="00FF0ED7" w:rsidRPr="00740C0C" w:rsidRDefault="00FF0ED7" w:rsidP="00FF0ED7">
            <w:pPr>
              <w:spacing w:after="0" w:line="240" w:lineRule="auto"/>
              <w:rPr>
                <w:rFonts w:ascii="Calibri" w:eastAsia="Times New Roman" w:hAnsi="Calibri" w:cs="Calibri"/>
                <w:b/>
                <w:bCs/>
                <w:color w:val="FFFFFF"/>
                <w:sz w:val="12"/>
                <w:szCs w:val="12"/>
                <w:lang w:eastAsia="es-CO"/>
              </w:rPr>
            </w:pPr>
            <w:r w:rsidRPr="00740C0C">
              <w:rPr>
                <w:rFonts w:ascii="Calibri" w:eastAsia="Times New Roman" w:hAnsi="Calibri" w:cs="Calibri"/>
                <w:b/>
                <w:bCs/>
                <w:color w:val="FFFFFF"/>
                <w:sz w:val="12"/>
                <w:szCs w:val="12"/>
                <w:lang w:eastAsia="es-CO"/>
              </w:rPr>
              <w:t xml:space="preserve">% de </w:t>
            </w:r>
            <w:proofErr w:type="spellStart"/>
            <w:r w:rsidRPr="00740C0C">
              <w:rPr>
                <w:rFonts w:ascii="Calibri" w:eastAsia="Times New Roman" w:hAnsi="Calibri" w:cs="Calibri"/>
                <w:b/>
                <w:bCs/>
                <w:color w:val="FFFFFF"/>
                <w:sz w:val="12"/>
                <w:szCs w:val="12"/>
                <w:lang w:eastAsia="es-CO"/>
              </w:rPr>
              <w:t>Cotizac</w:t>
            </w:r>
            <w:proofErr w:type="spellEnd"/>
            <w:r w:rsidRPr="00740C0C">
              <w:rPr>
                <w:rFonts w:ascii="Calibri" w:eastAsia="Times New Roman" w:hAnsi="Calibri" w:cs="Calibri"/>
                <w:b/>
                <w:bCs/>
                <w:color w:val="FFFFFF"/>
                <w:sz w:val="12"/>
                <w:szCs w:val="12"/>
                <w:lang w:eastAsia="es-CO"/>
              </w:rPr>
              <w:t>. Legal</w:t>
            </w:r>
          </w:p>
        </w:tc>
        <w:tc>
          <w:tcPr>
            <w:tcW w:w="409" w:type="pct"/>
            <w:vMerge w:val="restart"/>
            <w:shd w:val="clear" w:color="000000" w:fill="A6A6A6"/>
            <w:hideMark/>
          </w:tcPr>
          <w:p w14:paraId="546AF3D2" w14:textId="77777777" w:rsidR="00FF0ED7" w:rsidRPr="00740C0C" w:rsidRDefault="00FF0ED7" w:rsidP="00FF0ED7">
            <w:pPr>
              <w:spacing w:after="0" w:line="240" w:lineRule="auto"/>
              <w:rPr>
                <w:rFonts w:ascii="Calibri" w:eastAsia="Times New Roman" w:hAnsi="Calibri" w:cs="Calibri"/>
                <w:b/>
                <w:bCs/>
                <w:color w:val="FFFFFF"/>
                <w:sz w:val="12"/>
                <w:szCs w:val="12"/>
                <w:lang w:eastAsia="es-CO"/>
              </w:rPr>
            </w:pPr>
            <w:r w:rsidRPr="00740C0C">
              <w:rPr>
                <w:rFonts w:ascii="Calibri" w:eastAsia="Times New Roman" w:hAnsi="Calibri" w:cs="Calibri"/>
                <w:b/>
                <w:bCs/>
                <w:color w:val="FFFFFF"/>
                <w:sz w:val="12"/>
                <w:szCs w:val="12"/>
                <w:lang w:eastAsia="es-CO"/>
              </w:rPr>
              <w:t># semanas multiplicado por % de cotización</w:t>
            </w:r>
          </w:p>
        </w:tc>
        <w:tc>
          <w:tcPr>
            <w:tcW w:w="466" w:type="pct"/>
            <w:vMerge w:val="restart"/>
            <w:shd w:val="clear" w:color="000000" w:fill="A6A6A6"/>
            <w:hideMark/>
          </w:tcPr>
          <w:p w14:paraId="2618B048" w14:textId="04C33F5F" w:rsidR="00FF0ED7" w:rsidRPr="00740C0C" w:rsidRDefault="00FF0ED7" w:rsidP="00FF0ED7">
            <w:pPr>
              <w:spacing w:after="0" w:line="240" w:lineRule="auto"/>
              <w:rPr>
                <w:rFonts w:ascii="Calibri" w:eastAsia="Times New Roman" w:hAnsi="Calibri" w:cs="Calibri"/>
                <w:b/>
                <w:bCs/>
                <w:color w:val="FFFFFF"/>
                <w:sz w:val="12"/>
                <w:szCs w:val="12"/>
                <w:lang w:eastAsia="es-CO"/>
              </w:rPr>
            </w:pPr>
            <w:r w:rsidRPr="00740C0C">
              <w:rPr>
                <w:rFonts w:ascii="Calibri" w:eastAsia="Times New Roman" w:hAnsi="Calibri" w:cs="Calibri"/>
                <w:b/>
                <w:bCs/>
                <w:color w:val="FFFFFF"/>
                <w:sz w:val="12"/>
                <w:szCs w:val="12"/>
                <w:lang w:eastAsia="es-CO"/>
              </w:rPr>
              <w:t>ÚLTIMO SALARIO BASE DE COTIZACIÓN</w:t>
            </w:r>
          </w:p>
        </w:tc>
        <w:tc>
          <w:tcPr>
            <w:tcW w:w="352" w:type="pct"/>
            <w:vMerge w:val="restart"/>
            <w:shd w:val="clear" w:color="000000" w:fill="A6A6A6"/>
            <w:noWrap/>
            <w:hideMark/>
          </w:tcPr>
          <w:p w14:paraId="1C2F90B3" w14:textId="77777777" w:rsidR="00FF0ED7" w:rsidRPr="00740C0C" w:rsidRDefault="00FF0ED7" w:rsidP="00FF0ED7">
            <w:pPr>
              <w:spacing w:after="0" w:line="240" w:lineRule="auto"/>
              <w:rPr>
                <w:rFonts w:ascii="Calibri" w:eastAsia="Times New Roman" w:hAnsi="Calibri" w:cs="Calibri"/>
                <w:b/>
                <w:bCs/>
                <w:color w:val="FFFFFF"/>
                <w:sz w:val="12"/>
                <w:szCs w:val="12"/>
                <w:lang w:eastAsia="es-CO"/>
              </w:rPr>
            </w:pPr>
            <w:r w:rsidRPr="00740C0C">
              <w:rPr>
                <w:rFonts w:ascii="Calibri" w:eastAsia="Times New Roman" w:hAnsi="Calibri" w:cs="Calibri"/>
                <w:b/>
                <w:bCs/>
                <w:color w:val="FFFFFF"/>
                <w:sz w:val="12"/>
                <w:szCs w:val="12"/>
                <w:lang w:eastAsia="es-CO"/>
              </w:rPr>
              <w:t>IPC FINAL</w:t>
            </w:r>
          </w:p>
        </w:tc>
        <w:tc>
          <w:tcPr>
            <w:tcW w:w="389" w:type="pct"/>
            <w:vMerge w:val="restart"/>
            <w:shd w:val="clear" w:color="000000" w:fill="A6A6A6"/>
            <w:noWrap/>
            <w:hideMark/>
          </w:tcPr>
          <w:p w14:paraId="67CEF4FF" w14:textId="77777777" w:rsidR="00FF0ED7" w:rsidRPr="00740C0C" w:rsidRDefault="00FF0ED7" w:rsidP="00FF0ED7">
            <w:pPr>
              <w:spacing w:after="0" w:line="240" w:lineRule="auto"/>
              <w:rPr>
                <w:rFonts w:ascii="Calibri" w:eastAsia="Times New Roman" w:hAnsi="Calibri" w:cs="Calibri"/>
                <w:b/>
                <w:bCs/>
                <w:color w:val="FFFFFF"/>
                <w:sz w:val="12"/>
                <w:szCs w:val="12"/>
                <w:lang w:eastAsia="es-CO"/>
              </w:rPr>
            </w:pPr>
            <w:r w:rsidRPr="00740C0C">
              <w:rPr>
                <w:rFonts w:ascii="Calibri" w:eastAsia="Times New Roman" w:hAnsi="Calibri" w:cs="Calibri"/>
                <w:b/>
                <w:bCs/>
                <w:color w:val="FFFFFF"/>
                <w:sz w:val="12"/>
                <w:szCs w:val="12"/>
                <w:lang w:eastAsia="es-CO"/>
              </w:rPr>
              <w:t>IPC INICIAL</w:t>
            </w:r>
          </w:p>
        </w:tc>
        <w:tc>
          <w:tcPr>
            <w:tcW w:w="497" w:type="pct"/>
            <w:vMerge w:val="restart"/>
            <w:shd w:val="clear" w:color="000000" w:fill="A6A6A6"/>
            <w:hideMark/>
          </w:tcPr>
          <w:p w14:paraId="0999CFE7" w14:textId="205C907E" w:rsidR="00FF0ED7" w:rsidRPr="00740C0C" w:rsidRDefault="00FF0ED7" w:rsidP="00FF0ED7">
            <w:pPr>
              <w:spacing w:after="0" w:line="240" w:lineRule="auto"/>
              <w:rPr>
                <w:rFonts w:ascii="Calibri" w:eastAsia="Times New Roman" w:hAnsi="Calibri" w:cs="Calibri"/>
                <w:b/>
                <w:bCs/>
                <w:color w:val="FFFFFF"/>
                <w:sz w:val="12"/>
                <w:szCs w:val="12"/>
                <w:lang w:eastAsia="es-CO"/>
              </w:rPr>
            </w:pPr>
            <w:r w:rsidRPr="00740C0C">
              <w:rPr>
                <w:rFonts w:ascii="Calibri" w:eastAsia="Times New Roman" w:hAnsi="Calibri" w:cs="Calibri"/>
                <w:b/>
                <w:bCs/>
                <w:color w:val="FFFFFF"/>
                <w:sz w:val="12"/>
                <w:szCs w:val="12"/>
                <w:lang w:eastAsia="es-CO"/>
              </w:rPr>
              <w:t>SALARIO ACTUALIZADO/ INDEXADO</w:t>
            </w:r>
          </w:p>
        </w:tc>
        <w:tc>
          <w:tcPr>
            <w:tcW w:w="557" w:type="pct"/>
            <w:vMerge w:val="restart"/>
            <w:shd w:val="clear" w:color="000000" w:fill="A6A6A6"/>
            <w:hideMark/>
          </w:tcPr>
          <w:p w14:paraId="6CC98EA8" w14:textId="77777777" w:rsidR="00FF0ED7" w:rsidRPr="00740C0C" w:rsidRDefault="00FF0ED7" w:rsidP="00FF0ED7">
            <w:pPr>
              <w:spacing w:after="0" w:line="240" w:lineRule="auto"/>
              <w:rPr>
                <w:rFonts w:ascii="Calibri" w:eastAsia="Times New Roman" w:hAnsi="Calibri" w:cs="Calibri"/>
                <w:b/>
                <w:bCs/>
                <w:color w:val="FFFFFF"/>
                <w:sz w:val="12"/>
                <w:szCs w:val="12"/>
                <w:lang w:eastAsia="es-CO"/>
              </w:rPr>
            </w:pPr>
            <w:r w:rsidRPr="00740C0C">
              <w:rPr>
                <w:rFonts w:ascii="Calibri" w:eastAsia="Times New Roman" w:hAnsi="Calibri" w:cs="Calibri"/>
                <w:b/>
                <w:bCs/>
                <w:color w:val="FFFFFF"/>
                <w:sz w:val="12"/>
                <w:szCs w:val="12"/>
                <w:lang w:eastAsia="es-CO"/>
              </w:rPr>
              <w:t>SALARIO ACTUALIZADO MULTIPLICADO POR NÚMERO DE DÍAS</w:t>
            </w:r>
          </w:p>
        </w:tc>
      </w:tr>
      <w:tr w:rsidR="00FF0ED7" w:rsidRPr="00740C0C" w14:paraId="12E098DA" w14:textId="77777777" w:rsidTr="00FF0ED7">
        <w:trPr>
          <w:trHeight w:val="810"/>
        </w:trPr>
        <w:tc>
          <w:tcPr>
            <w:tcW w:w="253" w:type="pct"/>
            <w:shd w:val="clear" w:color="000000" w:fill="A6A6A6"/>
            <w:noWrap/>
            <w:hideMark/>
          </w:tcPr>
          <w:p w14:paraId="4AD5BC45" w14:textId="77777777" w:rsidR="00FF0ED7" w:rsidRPr="00740C0C" w:rsidRDefault="00FF0ED7" w:rsidP="00FF0ED7">
            <w:pPr>
              <w:spacing w:after="0" w:line="240" w:lineRule="auto"/>
              <w:rPr>
                <w:rFonts w:ascii="Calibri" w:eastAsia="Times New Roman" w:hAnsi="Calibri" w:cs="Calibri"/>
                <w:b/>
                <w:bCs/>
                <w:color w:val="FFFFFF"/>
                <w:sz w:val="12"/>
                <w:szCs w:val="12"/>
                <w:lang w:eastAsia="es-CO"/>
              </w:rPr>
            </w:pPr>
            <w:r w:rsidRPr="00740C0C">
              <w:rPr>
                <w:rFonts w:ascii="Calibri" w:eastAsia="Times New Roman" w:hAnsi="Calibri" w:cs="Calibri"/>
                <w:b/>
                <w:bCs/>
                <w:color w:val="FFFFFF"/>
                <w:sz w:val="12"/>
                <w:szCs w:val="12"/>
                <w:lang w:eastAsia="es-CO"/>
              </w:rPr>
              <w:t>Año</w:t>
            </w:r>
          </w:p>
        </w:tc>
        <w:tc>
          <w:tcPr>
            <w:tcW w:w="223" w:type="pct"/>
            <w:shd w:val="clear" w:color="000000" w:fill="A6A6A6"/>
            <w:noWrap/>
            <w:hideMark/>
          </w:tcPr>
          <w:p w14:paraId="04A4853A" w14:textId="77777777" w:rsidR="00FF0ED7" w:rsidRPr="00740C0C" w:rsidRDefault="00FF0ED7" w:rsidP="00FF0ED7">
            <w:pPr>
              <w:spacing w:after="0" w:line="240" w:lineRule="auto"/>
              <w:rPr>
                <w:rFonts w:ascii="Calibri" w:eastAsia="Times New Roman" w:hAnsi="Calibri" w:cs="Calibri"/>
                <w:b/>
                <w:bCs/>
                <w:color w:val="FFFFFF"/>
                <w:sz w:val="12"/>
                <w:szCs w:val="12"/>
                <w:lang w:eastAsia="es-CO"/>
              </w:rPr>
            </w:pPr>
            <w:r w:rsidRPr="00740C0C">
              <w:rPr>
                <w:rFonts w:ascii="Calibri" w:eastAsia="Times New Roman" w:hAnsi="Calibri" w:cs="Calibri"/>
                <w:b/>
                <w:bCs/>
                <w:color w:val="FFFFFF"/>
                <w:sz w:val="12"/>
                <w:szCs w:val="12"/>
                <w:lang w:eastAsia="es-CO"/>
              </w:rPr>
              <w:t>Mes</w:t>
            </w:r>
          </w:p>
        </w:tc>
        <w:tc>
          <w:tcPr>
            <w:tcW w:w="181" w:type="pct"/>
            <w:shd w:val="clear" w:color="000000" w:fill="A6A6A6"/>
            <w:noWrap/>
            <w:hideMark/>
          </w:tcPr>
          <w:p w14:paraId="3697B399" w14:textId="77777777" w:rsidR="00FF0ED7" w:rsidRPr="00740C0C" w:rsidRDefault="00FF0ED7" w:rsidP="00FF0ED7">
            <w:pPr>
              <w:spacing w:after="0" w:line="240" w:lineRule="auto"/>
              <w:rPr>
                <w:rFonts w:ascii="Calibri" w:eastAsia="Times New Roman" w:hAnsi="Calibri" w:cs="Calibri"/>
                <w:b/>
                <w:bCs/>
                <w:color w:val="FFFFFF"/>
                <w:sz w:val="12"/>
                <w:szCs w:val="12"/>
                <w:lang w:eastAsia="es-CO"/>
              </w:rPr>
            </w:pPr>
            <w:r w:rsidRPr="00740C0C">
              <w:rPr>
                <w:rFonts w:ascii="Calibri" w:eastAsia="Times New Roman" w:hAnsi="Calibri" w:cs="Calibri"/>
                <w:b/>
                <w:bCs/>
                <w:color w:val="FFFFFF"/>
                <w:sz w:val="12"/>
                <w:szCs w:val="12"/>
                <w:lang w:eastAsia="es-CO"/>
              </w:rPr>
              <w:t>Día</w:t>
            </w:r>
          </w:p>
        </w:tc>
        <w:tc>
          <w:tcPr>
            <w:tcW w:w="253" w:type="pct"/>
            <w:shd w:val="clear" w:color="000000" w:fill="A6A6A6"/>
            <w:noWrap/>
            <w:hideMark/>
          </w:tcPr>
          <w:p w14:paraId="74D1D0E4" w14:textId="77777777" w:rsidR="00FF0ED7" w:rsidRPr="00740C0C" w:rsidRDefault="00FF0ED7" w:rsidP="00FF0ED7">
            <w:pPr>
              <w:spacing w:after="0" w:line="240" w:lineRule="auto"/>
              <w:rPr>
                <w:rFonts w:ascii="Calibri" w:eastAsia="Times New Roman" w:hAnsi="Calibri" w:cs="Calibri"/>
                <w:b/>
                <w:bCs/>
                <w:color w:val="FFFFFF"/>
                <w:sz w:val="12"/>
                <w:szCs w:val="12"/>
                <w:lang w:eastAsia="es-CO"/>
              </w:rPr>
            </w:pPr>
            <w:r w:rsidRPr="00740C0C">
              <w:rPr>
                <w:rFonts w:ascii="Calibri" w:eastAsia="Times New Roman" w:hAnsi="Calibri" w:cs="Calibri"/>
                <w:b/>
                <w:bCs/>
                <w:color w:val="FFFFFF"/>
                <w:sz w:val="12"/>
                <w:szCs w:val="12"/>
                <w:lang w:eastAsia="es-CO"/>
              </w:rPr>
              <w:t>Año</w:t>
            </w:r>
          </w:p>
        </w:tc>
        <w:tc>
          <w:tcPr>
            <w:tcW w:w="223" w:type="pct"/>
            <w:shd w:val="clear" w:color="000000" w:fill="A6A6A6"/>
            <w:noWrap/>
            <w:hideMark/>
          </w:tcPr>
          <w:p w14:paraId="3047B2A4" w14:textId="77777777" w:rsidR="00FF0ED7" w:rsidRPr="00740C0C" w:rsidRDefault="00FF0ED7" w:rsidP="00FF0ED7">
            <w:pPr>
              <w:spacing w:after="0" w:line="240" w:lineRule="auto"/>
              <w:rPr>
                <w:rFonts w:ascii="Calibri" w:eastAsia="Times New Roman" w:hAnsi="Calibri" w:cs="Calibri"/>
                <w:b/>
                <w:bCs/>
                <w:color w:val="FFFFFF"/>
                <w:sz w:val="12"/>
                <w:szCs w:val="12"/>
                <w:lang w:eastAsia="es-CO"/>
              </w:rPr>
            </w:pPr>
            <w:r w:rsidRPr="00740C0C">
              <w:rPr>
                <w:rFonts w:ascii="Calibri" w:eastAsia="Times New Roman" w:hAnsi="Calibri" w:cs="Calibri"/>
                <w:b/>
                <w:bCs/>
                <w:color w:val="FFFFFF"/>
                <w:sz w:val="12"/>
                <w:szCs w:val="12"/>
                <w:lang w:eastAsia="es-CO"/>
              </w:rPr>
              <w:t>Mes</w:t>
            </w:r>
          </w:p>
        </w:tc>
        <w:tc>
          <w:tcPr>
            <w:tcW w:w="182" w:type="pct"/>
            <w:shd w:val="clear" w:color="000000" w:fill="A6A6A6"/>
            <w:noWrap/>
            <w:hideMark/>
          </w:tcPr>
          <w:p w14:paraId="499D0223" w14:textId="77777777" w:rsidR="00FF0ED7" w:rsidRPr="00740C0C" w:rsidRDefault="00FF0ED7" w:rsidP="00FF0ED7">
            <w:pPr>
              <w:spacing w:after="0" w:line="240" w:lineRule="auto"/>
              <w:rPr>
                <w:rFonts w:ascii="Calibri" w:eastAsia="Times New Roman" w:hAnsi="Calibri" w:cs="Calibri"/>
                <w:b/>
                <w:bCs/>
                <w:color w:val="FFFFFF"/>
                <w:sz w:val="12"/>
                <w:szCs w:val="12"/>
                <w:lang w:eastAsia="es-CO"/>
              </w:rPr>
            </w:pPr>
            <w:r w:rsidRPr="00740C0C">
              <w:rPr>
                <w:rFonts w:ascii="Calibri" w:eastAsia="Times New Roman" w:hAnsi="Calibri" w:cs="Calibri"/>
                <w:b/>
                <w:bCs/>
                <w:color w:val="FFFFFF"/>
                <w:sz w:val="12"/>
                <w:szCs w:val="12"/>
                <w:lang w:eastAsia="es-CO"/>
              </w:rPr>
              <w:t>Día</w:t>
            </w:r>
          </w:p>
        </w:tc>
        <w:tc>
          <w:tcPr>
            <w:tcW w:w="319" w:type="pct"/>
            <w:vMerge/>
            <w:hideMark/>
          </w:tcPr>
          <w:p w14:paraId="2767DA46" w14:textId="77777777" w:rsidR="00FF0ED7" w:rsidRPr="00740C0C" w:rsidRDefault="00FF0ED7" w:rsidP="00FF0ED7">
            <w:pPr>
              <w:spacing w:after="0" w:line="240" w:lineRule="auto"/>
              <w:rPr>
                <w:rFonts w:ascii="Calibri" w:eastAsia="Times New Roman" w:hAnsi="Calibri" w:cs="Calibri"/>
                <w:b/>
                <w:bCs/>
                <w:color w:val="FFFFFF"/>
                <w:sz w:val="12"/>
                <w:szCs w:val="12"/>
                <w:lang w:eastAsia="es-CO"/>
              </w:rPr>
            </w:pPr>
          </w:p>
        </w:tc>
        <w:tc>
          <w:tcPr>
            <w:tcW w:w="358" w:type="pct"/>
            <w:vMerge/>
            <w:hideMark/>
          </w:tcPr>
          <w:p w14:paraId="562D75F0" w14:textId="77777777" w:rsidR="00FF0ED7" w:rsidRPr="00740C0C" w:rsidRDefault="00FF0ED7" w:rsidP="00FF0ED7">
            <w:pPr>
              <w:spacing w:after="0" w:line="240" w:lineRule="auto"/>
              <w:rPr>
                <w:rFonts w:ascii="Calibri" w:eastAsia="Times New Roman" w:hAnsi="Calibri" w:cs="Calibri"/>
                <w:b/>
                <w:bCs/>
                <w:color w:val="FFFFFF"/>
                <w:sz w:val="12"/>
                <w:szCs w:val="12"/>
                <w:lang w:eastAsia="es-CO"/>
              </w:rPr>
            </w:pPr>
          </w:p>
        </w:tc>
        <w:tc>
          <w:tcPr>
            <w:tcW w:w="339" w:type="pct"/>
            <w:vMerge/>
            <w:hideMark/>
          </w:tcPr>
          <w:p w14:paraId="29124F1B" w14:textId="77777777" w:rsidR="00FF0ED7" w:rsidRPr="00740C0C" w:rsidRDefault="00FF0ED7" w:rsidP="00FF0ED7">
            <w:pPr>
              <w:spacing w:after="0" w:line="240" w:lineRule="auto"/>
              <w:rPr>
                <w:rFonts w:ascii="Calibri" w:eastAsia="Times New Roman" w:hAnsi="Calibri" w:cs="Calibri"/>
                <w:b/>
                <w:bCs/>
                <w:color w:val="FFFFFF"/>
                <w:sz w:val="12"/>
                <w:szCs w:val="12"/>
                <w:lang w:eastAsia="es-CO"/>
              </w:rPr>
            </w:pPr>
          </w:p>
        </w:tc>
        <w:tc>
          <w:tcPr>
            <w:tcW w:w="409" w:type="pct"/>
            <w:vMerge/>
            <w:hideMark/>
          </w:tcPr>
          <w:p w14:paraId="3E718D42" w14:textId="77777777" w:rsidR="00FF0ED7" w:rsidRPr="00740C0C" w:rsidRDefault="00FF0ED7" w:rsidP="00FF0ED7">
            <w:pPr>
              <w:spacing w:after="0" w:line="240" w:lineRule="auto"/>
              <w:rPr>
                <w:rFonts w:ascii="Calibri" w:eastAsia="Times New Roman" w:hAnsi="Calibri" w:cs="Calibri"/>
                <w:b/>
                <w:bCs/>
                <w:color w:val="FFFFFF"/>
                <w:sz w:val="12"/>
                <w:szCs w:val="12"/>
                <w:lang w:eastAsia="es-CO"/>
              </w:rPr>
            </w:pPr>
          </w:p>
        </w:tc>
        <w:tc>
          <w:tcPr>
            <w:tcW w:w="466" w:type="pct"/>
            <w:vMerge/>
            <w:hideMark/>
          </w:tcPr>
          <w:p w14:paraId="2544FDA3" w14:textId="77777777" w:rsidR="00FF0ED7" w:rsidRPr="00740C0C" w:rsidRDefault="00FF0ED7" w:rsidP="00FF0ED7">
            <w:pPr>
              <w:spacing w:after="0" w:line="240" w:lineRule="auto"/>
              <w:rPr>
                <w:rFonts w:ascii="Calibri" w:eastAsia="Times New Roman" w:hAnsi="Calibri" w:cs="Calibri"/>
                <w:b/>
                <w:bCs/>
                <w:color w:val="FFFFFF"/>
                <w:sz w:val="12"/>
                <w:szCs w:val="12"/>
                <w:lang w:eastAsia="es-CO"/>
              </w:rPr>
            </w:pPr>
          </w:p>
        </w:tc>
        <w:tc>
          <w:tcPr>
            <w:tcW w:w="352" w:type="pct"/>
            <w:vMerge/>
            <w:hideMark/>
          </w:tcPr>
          <w:p w14:paraId="62C315D4" w14:textId="77777777" w:rsidR="00FF0ED7" w:rsidRPr="00740C0C" w:rsidRDefault="00FF0ED7" w:rsidP="00FF0ED7">
            <w:pPr>
              <w:spacing w:after="0" w:line="240" w:lineRule="auto"/>
              <w:rPr>
                <w:rFonts w:ascii="Calibri" w:eastAsia="Times New Roman" w:hAnsi="Calibri" w:cs="Calibri"/>
                <w:b/>
                <w:bCs/>
                <w:color w:val="FFFFFF"/>
                <w:sz w:val="12"/>
                <w:szCs w:val="12"/>
                <w:lang w:eastAsia="es-CO"/>
              </w:rPr>
            </w:pPr>
          </w:p>
        </w:tc>
        <w:tc>
          <w:tcPr>
            <w:tcW w:w="389" w:type="pct"/>
            <w:vMerge/>
            <w:hideMark/>
          </w:tcPr>
          <w:p w14:paraId="71294805" w14:textId="77777777" w:rsidR="00FF0ED7" w:rsidRPr="00740C0C" w:rsidRDefault="00FF0ED7" w:rsidP="00FF0ED7">
            <w:pPr>
              <w:spacing w:after="0" w:line="240" w:lineRule="auto"/>
              <w:rPr>
                <w:rFonts w:ascii="Calibri" w:eastAsia="Times New Roman" w:hAnsi="Calibri" w:cs="Calibri"/>
                <w:b/>
                <w:bCs/>
                <w:color w:val="FFFFFF"/>
                <w:sz w:val="12"/>
                <w:szCs w:val="12"/>
                <w:lang w:eastAsia="es-CO"/>
              </w:rPr>
            </w:pPr>
          </w:p>
        </w:tc>
        <w:tc>
          <w:tcPr>
            <w:tcW w:w="497" w:type="pct"/>
            <w:vMerge/>
            <w:hideMark/>
          </w:tcPr>
          <w:p w14:paraId="57BCD822" w14:textId="77777777" w:rsidR="00FF0ED7" w:rsidRPr="00740C0C" w:rsidRDefault="00FF0ED7" w:rsidP="00FF0ED7">
            <w:pPr>
              <w:spacing w:after="0" w:line="240" w:lineRule="auto"/>
              <w:rPr>
                <w:rFonts w:ascii="Calibri" w:eastAsia="Times New Roman" w:hAnsi="Calibri" w:cs="Calibri"/>
                <w:b/>
                <w:bCs/>
                <w:color w:val="FFFFFF"/>
                <w:sz w:val="12"/>
                <w:szCs w:val="12"/>
                <w:lang w:eastAsia="es-CO"/>
              </w:rPr>
            </w:pPr>
          </w:p>
        </w:tc>
        <w:tc>
          <w:tcPr>
            <w:tcW w:w="557" w:type="pct"/>
            <w:vMerge/>
            <w:hideMark/>
          </w:tcPr>
          <w:p w14:paraId="02BC74FC" w14:textId="77777777" w:rsidR="00FF0ED7" w:rsidRPr="00740C0C" w:rsidRDefault="00FF0ED7" w:rsidP="00FF0ED7">
            <w:pPr>
              <w:spacing w:after="0" w:line="240" w:lineRule="auto"/>
              <w:rPr>
                <w:rFonts w:ascii="Calibri" w:eastAsia="Times New Roman" w:hAnsi="Calibri" w:cs="Calibri"/>
                <w:b/>
                <w:bCs/>
                <w:color w:val="FFFFFF"/>
                <w:sz w:val="12"/>
                <w:szCs w:val="12"/>
                <w:lang w:eastAsia="es-CO"/>
              </w:rPr>
            </w:pPr>
          </w:p>
        </w:tc>
      </w:tr>
      <w:tr w:rsidR="00FF0ED7" w:rsidRPr="00740C0C" w14:paraId="13431432" w14:textId="77777777" w:rsidTr="00FF0ED7">
        <w:trPr>
          <w:trHeight w:val="315"/>
        </w:trPr>
        <w:tc>
          <w:tcPr>
            <w:tcW w:w="253" w:type="pct"/>
            <w:shd w:val="clear" w:color="auto" w:fill="auto"/>
            <w:noWrap/>
            <w:hideMark/>
          </w:tcPr>
          <w:p w14:paraId="4D54AA9B"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lastRenderedPageBreak/>
              <w:t>1969</w:t>
            </w:r>
          </w:p>
        </w:tc>
        <w:tc>
          <w:tcPr>
            <w:tcW w:w="223" w:type="pct"/>
            <w:shd w:val="clear" w:color="auto" w:fill="auto"/>
            <w:noWrap/>
            <w:hideMark/>
          </w:tcPr>
          <w:p w14:paraId="4421CAC2"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2</w:t>
            </w:r>
          </w:p>
        </w:tc>
        <w:tc>
          <w:tcPr>
            <w:tcW w:w="181" w:type="pct"/>
            <w:shd w:val="clear" w:color="auto" w:fill="auto"/>
            <w:noWrap/>
            <w:hideMark/>
          </w:tcPr>
          <w:p w14:paraId="5F6C5522"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25</w:t>
            </w:r>
          </w:p>
        </w:tc>
        <w:tc>
          <w:tcPr>
            <w:tcW w:w="253" w:type="pct"/>
            <w:shd w:val="clear" w:color="auto" w:fill="auto"/>
            <w:noWrap/>
            <w:hideMark/>
          </w:tcPr>
          <w:p w14:paraId="5A0ADF54"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1969</w:t>
            </w:r>
          </w:p>
        </w:tc>
        <w:tc>
          <w:tcPr>
            <w:tcW w:w="223" w:type="pct"/>
            <w:shd w:val="clear" w:color="auto" w:fill="auto"/>
            <w:noWrap/>
            <w:hideMark/>
          </w:tcPr>
          <w:p w14:paraId="6E267B85"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w:t>
            </w:r>
          </w:p>
        </w:tc>
        <w:tc>
          <w:tcPr>
            <w:tcW w:w="182" w:type="pct"/>
            <w:shd w:val="clear" w:color="auto" w:fill="auto"/>
            <w:noWrap/>
            <w:hideMark/>
          </w:tcPr>
          <w:p w14:paraId="555D8DA2" w14:textId="77777777" w:rsidR="00FF0ED7" w:rsidRPr="00740C0C" w:rsidRDefault="00FF0ED7" w:rsidP="00FF0ED7">
            <w:pPr>
              <w:spacing w:after="0" w:line="240" w:lineRule="auto"/>
              <w:rPr>
                <w:rFonts w:ascii="Calibri" w:eastAsia="Times New Roman" w:hAnsi="Calibri" w:cs="Calibri"/>
                <w:color w:val="000000"/>
                <w:sz w:val="12"/>
                <w:szCs w:val="12"/>
                <w:lang w:eastAsia="es-CO"/>
              </w:rPr>
            </w:pPr>
            <w:r w:rsidRPr="00740C0C">
              <w:rPr>
                <w:rFonts w:ascii="Calibri" w:eastAsia="Times New Roman" w:hAnsi="Calibri" w:cs="Calibri"/>
                <w:color w:val="000000"/>
                <w:sz w:val="12"/>
                <w:szCs w:val="12"/>
                <w:lang w:eastAsia="es-CO"/>
              </w:rPr>
              <w:t>16</w:t>
            </w:r>
          </w:p>
        </w:tc>
        <w:tc>
          <w:tcPr>
            <w:tcW w:w="319" w:type="pct"/>
            <w:shd w:val="clear" w:color="000000" w:fill="C0C0C0"/>
            <w:noWrap/>
            <w:hideMark/>
          </w:tcPr>
          <w:p w14:paraId="010F647C"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51</w:t>
            </w:r>
          </w:p>
        </w:tc>
        <w:tc>
          <w:tcPr>
            <w:tcW w:w="358" w:type="pct"/>
            <w:shd w:val="clear" w:color="000000" w:fill="C0C0C0"/>
            <w:noWrap/>
            <w:hideMark/>
          </w:tcPr>
          <w:p w14:paraId="468E9A5A"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7,29</w:t>
            </w:r>
          </w:p>
        </w:tc>
        <w:tc>
          <w:tcPr>
            <w:tcW w:w="339" w:type="pct"/>
            <w:shd w:val="clear" w:color="000000" w:fill="C0C0C0"/>
            <w:noWrap/>
            <w:hideMark/>
          </w:tcPr>
          <w:p w14:paraId="67C4361A"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4,5</w:t>
            </w:r>
          </w:p>
        </w:tc>
        <w:tc>
          <w:tcPr>
            <w:tcW w:w="409" w:type="pct"/>
            <w:shd w:val="clear" w:color="000000" w:fill="C0C0C0"/>
            <w:noWrap/>
            <w:hideMark/>
          </w:tcPr>
          <w:p w14:paraId="6D5C6CB8"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32,79</w:t>
            </w:r>
          </w:p>
        </w:tc>
        <w:tc>
          <w:tcPr>
            <w:tcW w:w="466" w:type="pct"/>
            <w:shd w:val="clear" w:color="auto" w:fill="auto"/>
            <w:noWrap/>
            <w:hideMark/>
          </w:tcPr>
          <w:p w14:paraId="0DC3B08E" w14:textId="77777777" w:rsidR="00FF0ED7" w:rsidRPr="00740C0C" w:rsidRDefault="00FF0ED7" w:rsidP="00FF0ED7">
            <w:pPr>
              <w:spacing w:after="0" w:line="240" w:lineRule="auto"/>
              <w:rPr>
                <w:rFonts w:ascii="Calibri" w:eastAsia="Times New Roman" w:hAnsi="Calibri" w:cs="Calibri"/>
                <w:color w:val="000000"/>
                <w:sz w:val="12"/>
                <w:szCs w:val="12"/>
                <w:lang w:eastAsia="es-CO"/>
              </w:rPr>
            </w:pPr>
            <w:r w:rsidRPr="00740C0C">
              <w:rPr>
                <w:rFonts w:ascii="Calibri" w:eastAsia="Times New Roman" w:hAnsi="Calibri" w:cs="Calibri"/>
                <w:color w:val="000000"/>
                <w:sz w:val="12"/>
                <w:szCs w:val="12"/>
                <w:lang w:eastAsia="es-CO"/>
              </w:rPr>
              <w:t>$ 660,00</w:t>
            </w:r>
          </w:p>
        </w:tc>
        <w:tc>
          <w:tcPr>
            <w:tcW w:w="352" w:type="pct"/>
            <w:shd w:val="clear" w:color="000000" w:fill="D9D9D9"/>
            <w:noWrap/>
            <w:hideMark/>
          </w:tcPr>
          <w:p w14:paraId="2758E5AB"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186F9FCC"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0,10</w:t>
            </w:r>
          </w:p>
        </w:tc>
        <w:tc>
          <w:tcPr>
            <w:tcW w:w="497" w:type="pct"/>
            <w:shd w:val="clear" w:color="000000" w:fill="D9D9D9"/>
            <w:noWrap/>
            <w:hideMark/>
          </w:tcPr>
          <w:p w14:paraId="0D522450"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$ 614.526,00</w:t>
            </w:r>
          </w:p>
        </w:tc>
        <w:tc>
          <w:tcPr>
            <w:tcW w:w="557" w:type="pct"/>
            <w:shd w:val="clear" w:color="000000" w:fill="D9D9D9"/>
            <w:noWrap/>
            <w:hideMark/>
          </w:tcPr>
          <w:p w14:paraId="2347C451" w14:textId="55DAD5E0"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31.340.826,00</w:t>
            </w:r>
          </w:p>
        </w:tc>
      </w:tr>
      <w:tr w:rsidR="00FF0ED7" w:rsidRPr="00740C0C" w14:paraId="347310EC" w14:textId="77777777" w:rsidTr="00FF0ED7">
        <w:trPr>
          <w:trHeight w:val="315"/>
        </w:trPr>
        <w:tc>
          <w:tcPr>
            <w:tcW w:w="253" w:type="pct"/>
            <w:shd w:val="clear" w:color="auto" w:fill="auto"/>
            <w:noWrap/>
            <w:hideMark/>
          </w:tcPr>
          <w:p w14:paraId="0F6A818F"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1972</w:t>
            </w:r>
          </w:p>
        </w:tc>
        <w:tc>
          <w:tcPr>
            <w:tcW w:w="223" w:type="pct"/>
            <w:shd w:val="clear" w:color="auto" w:fill="auto"/>
            <w:noWrap/>
            <w:hideMark/>
          </w:tcPr>
          <w:p w14:paraId="03F8F1B1"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181" w:type="pct"/>
            <w:shd w:val="clear" w:color="auto" w:fill="auto"/>
            <w:noWrap/>
            <w:hideMark/>
          </w:tcPr>
          <w:p w14:paraId="005CC342"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w:t>
            </w:r>
          </w:p>
        </w:tc>
        <w:tc>
          <w:tcPr>
            <w:tcW w:w="253" w:type="pct"/>
            <w:shd w:val="clear" w:color="auto" w:fill="auto"/>
            <w:noWrap/>
            <w:hideMark/>
          </w:tcPr>
          <w:p w14:paraId="01BB780C"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1972</w:t>
            </w:r>
          </w:p>
        </w:tc>
        <w:tc>
          <w:tcPr>
            <w:tcW w:w="223" w:type="pct"/>
            <w:shd w:val="clear" w:color="auto" w:fill="auto"/>
            <w:noWrap/>
            <w:hideMark/>
          </w:tcPr>
          <w:p w14:paraId="0FF91943"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12</w:t>
            </w:r>
          </w:p>
        </w:tc>
        <w:tc>
          <w:tcPr>
            <w:tcW w:w="182" w:type="pct"/>
            <w:shd w:val="clear" w:color="auto" w:fill="auto"/>
            <w:noWrap/>
            <w:hideMark/>
          </w:tcPr>
          <w:p w14:paraId="624AEA54" w14:textId="77777777" w:rsidR="00FF0ED7" w:rsidRPr="00740C0C" w:rsidRDefault="00FF0ED7" w:rsidP="00FF0ED7">
            <w:pPr>
              <w:spacing w:after="0" w:line="240" w:lineRule="auto"/>
              <w:rPr>
                <w:rFonts w:ascii="Calibri" w:eastAsia="Times New Roman" w:hAnsi="Calibri" w:cs="Calibri"/>
                <w:color w:val="000000"/>
                <w:sz w:val="12"/>
                <w:szCs w:val="12"/>
                <w:lang w:eastAsia="es-CO"/>
              </w:rPr>
            </w:pPr>
            <w:r w:rsidRPr="00740C0C">
              <w:rPr>
                <w:rFonts w:ascii="Calibri" w:eastAsia="Times New Roman" w:hAnsi="Calibri" w:cs="Calibri"/>
                <w:color w:val="000000"/>
                <w:sz w:val="12"/>
                <w:szCs w:val="12"/>
                <w:lang w:eastAsia="es-CO"/>
              </w:rPr>
              <w:t>31</w:t>
            </w:r>
          </w:p>
        </w:tc>
        <w:tc>
          <w:tcPr>
            <w:tcW w:w="319" w:type="pct"/>
            <w:shd w:val="clear" w:color="000000" w:fill="C0C0C0"/>
            <w:noWrap/>
            <w:hideMark/>
          </w:tcPr>
          <w:p w14:paraId="6F0C9202"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364</w:t>
            </w:r>
          </w:p>
        </w:tc>
        <w:tc>
          <w:tcPr>
            <w:tcW w:w="358" w:type="pct"/>
            <w:shd w:val="clear" w:color="000000" w:fill="C0C0C0"/>
            <w:noWrap/>
            <w:hideMark/>
          </w:tcPr>
          <w:p w14:paraId="504A580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52,00</w:t>
            </w:r>
          </w:p>
        </w:tc>
        <w:tc>
          <w:tcPr>
            <w:tcW w:w="339" w:type="pct"/>
            <w:shd w:val="clear" w:color="000000" w:fill="C0C0C0"/>
            <w:noWrap/>
            <w:hideMark/>
          </w:tcPr>
          <w:p w14:paraId="4F20D858"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4,5</w:t>
            </w:r>
          </w:p>
        </w:tc>
        <w:tc>
          <w:tcPr>
            <w:tcW w:w="409" w:type="pct"/>
            <w:shd w:val="clear" w:color="000000" w:fill="C0C0C0"/>
            <w:noWrap/>
            <w:hideMark/>
          </w:tcPr>
          <w:p w14:paraId="3A1877D8"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234,00</w:t>
            </w:r>
          </w:p>
        </w:tc>
        <w:tc>
          <w:tcPr>
            <w:tcW w:w="466" w:type="pct"/>
            <w:shd w:val="clear" w:color="auto" w:fill="auto"/>
            <w:noWrap/>
            <w:hideMark/>
          </w:tcPr>
          <w:p w14:paraId="57BA6512" w14:textId="77777777" w:rsidR="00FF0ED7" w:rsidRPr="00740C0C" w:rsidRDefault="00FF0ED7" w:rsidP="00FF0ED7">
            <w:pPr>
              <w:spacing w:after="0" w:line="240" w:lineRule="auto"/>
              <w:rPr>
                <w:rFonts w:ascii="Calibri" w:eastAsia="Times New Roman" w:hAnsi="Calibri" w:cs="Calibri"/>
                <w:color w:val="000000"/>
                <w:sz w:val="12"/>
                <w:szCs w:val="12"/>
                <w:lang w:eastAsia="es-CO"/>
              </w:rPr>
            </w:pPr>
            <w:r w:rsidRPr="00740C0C">
              <w:rPr>
                <w:rFonts w:ascii="Calibri" w:eastAsia="Times New Roman" w:hAnsi="Calibri" w:cs="Calibri"/>
                <w:color w:val="000000"/>
                <w:sz w:val="12"/>
                <w:szCs w:val="12"/>
                <w:lang w:eastAsia="es-CO"/>
              </w:rPr>
              <w:t>$ 1.770,00</w:t>
            </w:r>
          </w:p>
        </w:tc>
        <w:tc>
          <w:tcPr>
            <w:tcW w:w="352" w:type="pct"/>
            <w:shd w:val="clear" w:color="000000" w:fill="D9D9D9"/>
            <w:noWrap/>
            <w:hideMark/>
          </w:tcPr>
          <w:p w14:paraId="24C447F2"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1908D1A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0,14</w:t>
            </w:r>
          </w:p>
        </w:tc>
        <w:tc>
          <w:tcPr>
            <w:tcW w:w="497" w:type="pct"/>
            <w:shd w:val="clear" w:color="000000" w:fill="D9D9D9"/>
            <w:noWrap/>
            <w:hideMark/>
          </w:tcPr>
          <w:p w14:paraId="0260AD9F"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$ 1.177.176,43</w:t>
            </w:r>
          </w:p>
        </w:tc>
        <w:tc>
          <w:tcPr>
            <w:tcW w:w="557" w:type="pct"/>
            <w:shd w:val="clear" w:color="000000" w:fill="D9D9D9"/>
            <w:noWrap/>
            <w:hideMark/>
          </w:tcPr>
          <w:p w14:paraId="51F16315" w14:textId="44E888FE"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428.492.220,00</w:t>
            </w:r>
          </w:p>
        </w:tc>
      </w:tr>
      <w:tr w:rsidR="00FF0ED7" w:rsidRPr="00740C0C" w14:paraId="3285E5B0" w14:textId="77777777" w:rsidTr="00FF0ED7">
        <w:trPr>
          <w:trHeight w:val="315"/>
        </w:trPr>
        <w:tc>
          <w:tcPr>
            <w:tcW w:w="253" w:type="pct"/>
            <w:shd w:val="clear" w:color="auto" w:fill="auto"/>
            <w:noWrap/>
            <w:hideMark/>
          </w:tcPr>
          <w:p w14:paraId="3D5CF49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1973</w:t>
            </w:r>
          </w:p>
        </w:tc>
        <w:tc>
          <w:tcPr>
            <w:tcW w:w="223" w:type="pct"/>
            <w:shd w:val="clear" w:color="auto" w:fill="auto"/>
            <w:noWrap/>
            <w:hideMark/>
          </w:tcPr>
          <w:p w14:paraId="322124CB"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181" w:type="pct"/>
            <w:shd w:val="clear" w:color="auto" w:fill="auto"/>
            <w:noWrap/>
            <w:hideMark/>
          </w:tcPr>
          <w:p w14:paraId="3C8D5FF4"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253" w:type="pct"/>
            <w:shd w:val="clear" w:color="auto" w:fill="auto"/>
            <w:noWrap/>
            <w:hideMark/>
          </w:tcPr>
          <w:p w14:paraId="16A6F62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1973</w:t>
            </w:r>
          </w:p>
        </w:tc>
        <w:tc>
          <w:tcPr>
            <w:tcW w:w="223" w:type="pct"/>
            <w:shd w:val="clear" w:color="auto" w:fill="auto"/>
            <w:noWrap/>
            <w:hideMark/>
          </w:tcPr>
          <w:p w14:paraId="1E3ECA5B"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w:t>
            </w:r>
          </w:p>
        </w:tc>
        <w:tc>
          <w:tcPr>
            <w:tcW w:w="182" w:type="pct"/>
            <w:shd w:val="clear" w:color="auto" w:fill="auto"/>
            <w:noWrap/>
            <w:hideMark/>
          </w:tcPr>
          <w:p w14:paraId="69E5CCC3" w14:textId="77777777" w:rsidR="00FF0ED7" w:rsidRPr="00740C0C" w:rsidRDefault="00FF0ED7" w:rsidP="00FF0ED7">
            <w:pPr>
              <w:spacing w:after="0" w:line="240" w:lineRule="auto"/>
              <w:rPr>
                <w:rFonts w:ascii="Calibri" w:eastAsia="Times New Roman" w:hAnsi="Calibri" w:cs="Calibri"/>
                <w:color w:val="000000"/>
                <w:sz w:val="12"/>
                <w:szCs w:val="12"/>
                <w:lang w:eastAsia="es-CO"/>
              </w:rPr>
            </w:pPr>
            <w:r w:rsidRPr="00740C0C">
              <w:rPr>
                <w:rFonts w:ascii="Calibri" w:eastAsia="Times New Roman" w:hAnsi="Calibri" w:cs="Calibri"/>
                <w:color w:val="000000"/>
                <w:sz w:val="12"/>
                <w:szCs w:val="12"/>
                <w:lang w:eastAsia="es-CO"/>
              </w:rPr>
              <w:t>30</w:t>
            </w:r>
          </w:p>
        </w:tc>
        <w:tc>
          <w:tcPr>
            <w:tcW w:w="319" w:type="pct"/>
            <w:shd w:val="clear" w:color="000000" w:fill="C0C0C0"/>
            <w:noWrap/>
            <w:hideMark/>
          </w:tcPr>
          <w:p w14:paraId="2FED4E86"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273</w:t>
            </w:r>
          </w:p>
        </w:tc>
        <w:tc>
          <w:tcPr>
            <w:tcW w:w="358" w:type="pct"/>
            <w:shd w:val="clear" w:color="000000" w:fill="C0C0C0"/>
            <w:noWrap/>
            <w:hideMark/>
          </w:tcPr>
          <w:p w14:paraId="3DEA43EB"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39,00</w:t>
            </w:r>
          </w:p>
        </w:tc>
        <w:tc>
          <w:tcPr>
            <w:tcW w:w="339" w:type="pct"/>
            <w:shd w:val="clear" w:color="000000" w:fill="C0C0C0"/>
            <w:noWrap/>
            <w:hideMark/>
          </w:tcPr>
          <w:p w14:paraId="5F3C7505"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4,5</w:t>
            </w:r>
          </w:p>
        </w:tc>
        <w:tc>
          <w:tcPr>
            <w:tcW w:w="409" w:type="pct"/>
            <w:shd w:val="clear" w:color="000000" w:fill="C0C0C0"/>
            <w:noWrap/>
            <w:hideMark/>
          </w:tcPr>
          <w:p w14:paraId="2D623B2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175,50</w:t>
            </w:r>
          </w:p>
        </w:tc>
        <w:tc>
          <w:tcPr>
            <w:tcW w:w="466" w:type="pct"/>
            <w:shd w:val="clear" w:color="auto" w:fill="auto"/>
            <w:noWrap/>
            <w:hideMark/>
          </w:tcPr>
          <w:p w14:paraId="2C84F894" w14:textId="77777777" w:rsidR="00FF0ED7" w:rsidRPr="00740C0C" w:rsidRDefault="00FF0ED7" w:rsidP="00FF0ED7">
            <w:pPr>
              <w:spacing w:after="0" w:line="240" w:lineRule="auto"/>
              <w:rPr>
                <w:rFonts w:ascii="Calibri" w:eastAsia="Times New Roman" w:hAnsi="Calibri" w:cs="Calibri"/>
                <w:color w:val="000000"/>
                <w:sz w:val="12"/>
                <w:szCs w:val="12"/>
                <w:lang w:eastAsia="es-CO"/>
              </w:rPr>
            </w:pPr>
            <w:r w:rsidRPr="00740C0C">
              <w:rPr>
                <w:rFonts w:ascii="Calibri" w:eastAsia="Times New Roman" w:hAnsi="Calibri" w:cs="Calibri"/>
                <w:color w:val="000000"/>
                <w:sz w:val="12"/>
                <w:szCs w:val="12"/>
                <w:lang w:eastAsia="es-CO"/>
              </w:rPr>
              <w:t>$ 1.770,00</w:t>
            </w:r>
          </w:p>
        </w:tc>
        <w:tc>
          <w:tcPr>
            <w:tcW w:w="352" w:type="pct"/>
            <w:shd w:val="clear" w:color="000000" w:fill="D9D9D9"/>
            <w:noWrap/>
            <w:hideMark/>
          </w:tcPr>
          <w:p w14:paraId="04410755"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4DC2F8E2"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0,16</w:t>
            </w:r>
          </w:p>
        </w:tc>
        <w:tc>
          <w:tcPr>
            <w:tcW w:w="497" w:type="pct"/>
            <w:shd w:val="clear" w:color="000000" w:fill="D9D9D9"/>
            <w:noWrap/>
            <w:hideMark/>
          </w:tcPr>
          <w:p w14:paraId="4BD2C7FF"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$ 1.030.029,38</w:t>
            </w:r>
          </w:p>
        </w:tc>
        <w:tc>
          <w:tcPr>
            <w:tcW w:w="557" w:type="pct"/>
            <w:shd w:val="clear" w:color="000000" w:fill="D9D9D9"/>
            <w:noWrap/>
            <w:hideMark/>
          </w:tcPr>
          <w:p w14:paraId="704F6FEE" w14:textId="4B6C2704"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281.198.019,38</w:t>
            </w:r>
          </w:p>
        </w:tc>
      </w:tr>
      <w:tr w:rsidR="00FF0ED7" w:rsidRPr="00740C0C" w14:paraId="717A4CD1" w14:textId="77777777" w:rsidTr="00FF0ED7">
        <w:trPr>
          <w:trHeight w:val="315"/>
        </w:trPr>
        <w:tc>
          <w:tcPr>
            <w:tcW w:w="253" w:type="pct"/>
            <w:shd w:val="clear" w:color="auto" w:fill="auto"/>
            <w:noWrap/>
            <w:hideMark/>
          </w:tcPr>
          <w:p w14:paraId="55C95DE3"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1973</w:t>
            </w:r>
          </w:p>
        </w:tc>
        <w:tc>
          <w:tcPr>
            <w:tcW w:w="223" w:type="pct"/>
            <w:shd w:val="clear" w:color="auto" w:fill="auto"/>
            <w:noWrap/>
            <w:hideMark/>
          </w:tcPr>
          <w:p w14:paraId="2923BC36"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10</w:t>
            </w:r>
          </w:p>
        </w:tc>
        <w:tc>
          <w:tcPr>
            <w:tcW w:w="181" w:type="pct"/>
            <w:shd w:val="clear" w:color="auto" w:fill="auto"/>
            <w:noWrap/>
            <w:hideMark/>
          </w:tcPr>
          <w:p w14:paraId="5AF828E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253" w:type="pct"/>
            <w:shd w:val="clear" w:color="auto" w:fill="auto"/>
            <w:noWrap/>
            <w:hideMark/>
          </w:tcPr>
          <w:p w14:paraId="7D46E69C"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1973</w:t>
            </w:r>
          </w:p>
        </w:tc>
        <w:tc>
          <w:tcPr>
            <w:tcW w:w="223" w:type="pct"/>
            <w:shd w:val="clear" w:color="auto" w:fill="auto"/>
            <w:noWrap/>
            <w:hideMark/>
          </w:tcPr>
          <w:p w14:paraId="2409D8B3"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12</w:t>
            </w:r>
          </w:p>
        </w:tc>
        <w:tc>
          <w:tcPr>
            <w:tcW w:w="182" w:type="pct"/>
            <w:shd w:val="clear" w:color="auto" w:fill="auto"/>
            <w:noWrap/>
            <w:hideMark/>
          </w:tcPr>
          <w:p w14:paraId="28CAFF67" w14:textId="77777777" w:rsidR="00FF0ED7" w:rsidRPr="00740C0C" w:rsidRDefault="00FF0ED7" w:rsidP="00FF0ED7">
            <w:pPr>
              <w:spacing w:after="0" w:line="240" w:lineRule="auto"/>
              <w:rPr>
                <w:rFonts w:ascii="Calibri" w:eastAsia="Times New Roman" w:hAnsi="Calibri" w:cs="Calibri"/>
                <w:color w:val="000000"/>
                <w:sz w:val="12"/>
                <w:szCs w:val="12"/>
                <w:lang w:eastAsia="es-CO"/>
              </w:rPr>
            </w:pPr>
            <w:r w:rsidRPr="00740C0C">
              <w:rPr>
                <w:rFonts w:ascii="Calibri" w:eastAsia="Times New Roman" w:hAnsi="Calibri" w:cs="Calibri"/>
                <w:color w:val="000000"/>
                <w:sz w:val="12"/>
                <w:szCs w:val="12"/>
                <w:lang w:eastAsia="es-CO"/>
              </w:rPr>
              <w:t>31</w:t>
            </w:r>
          </w:p>
        </w:tc>
        <w:tc>
          <w:tcPr>
            <w:tcW w:w="319" w:type="pct"/>
            <w:shd w:val="clear" w:color="000000" w:fill="C0C0C0"/>
            <w:noWrap/>
            <w:hideMark/>
          </w:tcPr>
          <w:p w14:paraId="0EB4EAF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92</w:t>
            </w:r>
          </w:p>
        </w:tc>
        <w:tc>
          <w:tcPr>
            <w:tcW w:w="358" w:type="pct"/>
            <w:shd w:val="clear" w:color="000000" w:fill="C0C0C0"/>
            <w:noWrap/>
            <w:hideMark/>
          </w:tcPr>
          <w:p w14:paraId="4DA793D9"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13,14</w:t>
            </w:r>
          </w:p>
        </w:tc>
        <w:tc>
          <w:tcPr>
            <w:tcW w:w="339" w:type="pct"/>
            <w:shd w:val="clear" w:color="000000" w:fill="C0C0C0"/>
            <w:noWrap/>
            <w:hideMark/>
          </w:tcPr>
          <w:p w14:paraId="30DFBE8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4,5</w:t>
            </w:r>
          </w:p>
        </w:tc>
        <w:tc>
          <w:tcPr>
            <w:tcW w:w="409" w:type="pct"/>
            <w:shd w:val="clear" w:color="000000" w:fill="C0C0C0"/>
            <w:noWrap/>
            <w:hideMark/>
          </w:tcPr>
          <w:p w14:paraId="129E1572"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59,14</w:t>
            </w:r>
          </w:p>
        </w:tc>
        <w:tc>
          <w:tcPr>
            <w:tcW w:w="466" w:type="pct"/>
            <w:shd w:val="clear" w:color="auto" w:fill="auto"/>
            <w:noWrap/>
            <w:hideMark/>
          </w:tcPr>
          <w:p w14:paraId="55A9714F" w14:textId="77777777" w:rsidR="00FF0ED7" w:rsidRPr="00740C0C" w:rsidRDefault="00FF0ED7" w:rsidP="00FF0ED7">
            <w:pPr>
              <w:spacing w:after="0" w:line="240" w:lineRule="auto"/>
              <w:rPr>
                <w:rFonts w:ascii="Calibri" w:eastAsia="Times New Roman" w:hAnsi="Calibri" w:cs="Calibri"/>
                <w:color w:val="000000"/>
                <w:sz w:val="12"/>
                <w:szCs w:val="12"/>
                <w:lang w:eastAsia="es-CO"/>
              </w:rPr>
            </w:pPr>
            <w:r w:rsidRPr="00740C0C">
              <w:rPr>
                <w:rFonts w:ascii="Calibri" w:eastAsia="Times New Roman" w:hAnsi="Calibri" w:cs="Calibri"/>
                <w:color w:val="000000"/>
                <w:sz w:val="12"/>
                <w:szCs w:val="12"/>
                <w:lang w:eastAsia="es-CO"/>
              </w:rPr>
              <w:t>$ 2.430,00</w:t>
            </w:r>
          </w:p>
        </w:tc>
        <w:tc>
          <w:tcPr>
            <w:tcW w:w="352" w:type="pct"/>
            <w:shd w:val="clear" w:color="000000" w:fill="D9D9D9"/>
            <w:noWrap/>
            <w:hideMark/>
          </w:tcPr>
          <w:p w14:paraId="606CB4B2"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455CF811"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0,16</w:t>
            </w:r>
          </w:p>
        </w:tc>
        <w:tc>
          <w:tcPr>
            <w:tcW w:w="497" w:type="pct"/>
            <w:shd w:val="clear" w:color="000000" w:fill="D9D9D9"/>
            <w:noWrap/>
            <w:hideMark/>
          </w:tcPr>
          <w:p w14:paraId="1AA57121"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$ 1.414.108,13</w:t>
            </w:r>
          </w:p>
        </w:tc>
        <w:tc>
          <w:tcPr>
            <w:tcW w:w="557" w:type="pct"/>
            <w:shd w:val="clear" w:color="000000" w:fill="D9D9D9"/>
            <w:noWrap/>
            <w:hideMark/>
          </w:tcPr>
          <w:p w14:paraId="57F1C75E" w14:textId="17F072DA"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130.097.947,50</w:t>
            </w:r>
          </w:p>
        </w:tc>
      </w:tr>
      <w:tr w:rsidR="00FF0ED7" w:rsidRPr="00740C0C" w14:paraId="2E790F18" w14:textId="77777777" w:rsidTr="00FF0ED7">
        <w:trPr>
          <w:trHeight w:val="315"/>
        </w:trPr>
        <w:tc>
          <w:tcPr>
            <w:tcW w:w="253" w:type="pct"/>
            <w:shd w:val="clear" w:color="auto" w:fill="auto"/>
            <w:noWrap/>
            <w:hideMark/>
          </w:tcPr>
          <w:p w14:paraId="7BE1EEC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1974</w:t>
            </w:r>
          </w:p>
        </w:tc>
        <w:tc>
          <w:tcPr>
            <w:tcW w:w="223" w:type="pct"/>
            <w:shd w:val="clear" w:color="auto" w:fill="auto"/>
            <w:noWrap/>
            <w:hideMark/>
          </w:tcPr>
          <w:p w14:paraId="25931880"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181" w:type="pct"/>
            <w:shd w:val="clear" w:color="auto" w:fill="auto"/>
            <w:noWrap/>
            <w:hideMark/>
          </w:tcPr>
          <w:p w14:paraId="171F9AE1"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253" w:type="pct"/>
            <w:shd w:val="clear" w:color="auto" w:fill="auto"/>
            <w:noWrap/>
            <w:hideMark/>
          </w:tcPr>
          <w:p w14:paraId="32855BF1"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1974</w:t>
            </w:r>
          </w:p>
        </w:tc>
        <w:tc>
          <w:tcPr>
            <w:tcW w:w="223" w:type="pct"/>
            <w:shd w:val="clear" w:color="auto" w:fill="auto"/>
            <w:noWrap/>
            <w:hideMark/>
          </w:tcPr>
          <w:p w14:paraId="4124FADA"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7</w:t>
            </w:r>
          </w:p>
        </w:tc>
        <w:tc>
          <w:tcPr>
            <w:tcW w:w="182" w:type="pct"/>
            <w:shd w:val="clear" w:color="auto" w:fill="auto"/>
            <w:noWrap/>
            <w:hideMark/>
          </w:tcPr>
          <w:p w14:paraId="42B84FEB" w14:textId="77777777" w:rsidR="00FF0ED7" w:rsidRPr="00740C0C" w:rsidRDefault="00FF0ED7" w:rsidP="00FF0ED7">
            <w:pPr>
              <w:spacing w:after="0" w:line="240" w:lineRule="auto"/>
              <w:rPr>
                <w:rFonts w:ascii="Calibri" w:eastAsia="Times New Roman" w:hAnsi="Calibri" w:cs="Calibri"/>
                <w:color w:val="000000"/>
                <w:sz w:val="12"/>
                <w:szCs w:val="12"/>
                <w:lang w:eastAsia="es-CO"/>
              </w:rPr>
            </w:pPr>
            <w:r w:rsidRPr="00740C0C">
              <w:rPr>
                <w:rFonts w:ascii="Calibri" w:eastAsia="Times New Roman" w:hAnsi="Calibri" w:cs="Calibri"/>
                <w:color w:val="000000"/>
                <w:sz w:val="12"/>
                <w:szCs w:val="12"/>
                <w:lang w:eastAsia="es-CO"/>
              </w:rPr>
              <w:t>8</w:t>
            </w:r>
          </w:p>
        </w:tc>
        <w:tc>
          <w:tcPr>
            <w:tcW w:w="319" w:type="pct"/>
            <w:shd w:val="clear" w:color="000000" w:fill="C0C0C0"/>
            <w:noWrap/>
            <w:hideMark/>
          </w:tcPr>
          <w:p w14:paraId="33DEB23A"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189</w:t>
            </w:r>
          </w:p>
        </w:tc>
        <w:tc>
          <w:tcPr>
            <w:tcW w:w="358" w:type="pct"/>
            <w:shd w:val="clear" w:color="000000" w:fill="C0C0C0"/>
            <w:noWrap/>
            <w:hideMark/>
          </w:tcPr>
          <w:p w14:paraId="01683C55"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27,00</w:t>
            </w:r>
          </w:p>
        </w:tc>
        <w:tc>
          <w:tcPr>
            <w:tcW w:w="339" w:type="pct"/>
            <w:shd w:val="clear" w:color="000000" w:fill="C0C0C0"/>
            <w:noWrap/>
            <w:hideMark/>
          </w:tcPr>
          <w:p w14:paraId="16DF3384"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4,5</w:t>
            </w:r>
          </w:p>
        </w:tc>
        <w:tc>
          <w:tcPr>
            <w:tcW w:w="409" w:type="pct"/>
            <w:shd w:val="clear" w:color="000000" w:fill="C0C0C0"/>
            <w:noWrap/>
            <w:hideMark/>
          </w:tcPr>
          <w:p w14:paraId="0BC80FFF"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121,50</w:t>
            </w:r>
          </w:p>
        </w:tc>
        <w:tc>
          <w:tcPr>
            <w:tcW w:w="466" w:type="pct"/>
            <w:shd w:val="clear" w:color="auto" w:fill="auto"/>
            <w:noWrap/>
            <w:hideMark/>
          </w:tcPr>
          <w:p w14:paraId="151A5BBB" w14:textId="77777777" w:rsidR="00FF0ED7" w:rsidRPr="00740C0C" w:rsidRDefault="00FF0ED7" w:rsidP="00FF0ED7">
            <w:pPr>
              <w:spacing w:after="0" w:line="240" w:lineRule="auto"/>
              <w:rPr>
                <w:rFonts w:ascii="Calibri" w:eastAsia="Times New Roman" w:hAnsi="Calibri" w:cs="Calibri"/>
                <w:color w:val="000000"/>
                <w:sz w:val="12"/>
                <w:szCs w:val="12"/>
                <w:lang w:eastAsia="es-CO"/>
              </w:rPr>
            </w:pPr>
            <w:r w:rsidRPr="00740C0C">
              <w:rPr>
                <w:rFonts w:ascii="Calibri" w:eastAsia="Times New Roman" w:hAnsi="Calibri" w:cs="Calibri"/>
                <w:color w:val="000000"/>
                <w:sz w:val="12"/>
                <w:szCs w:val="12"/>
                <w:lang w:eastAsia="es-CO"/>
              </w:rPr>
              <w:t>$ 2.430,00</w:t>
            </w:r>
          </w:p>
        </w:tc>
        <w:tc>
          <w:tcPr>
            <w:tcW w:w="352" w:type="pct"/>
            <w:shd w:val="clear" w:color="000000" w:fill="D9D9D9"/>
            <w:noWrap/>
            <w:hideMark/>
          </w:tcPr>
          <w:p w14:paraId="2F3DC59A"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6FD26AAA"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0,20</w:t>
            </w:r>
          </w:p>
        </w:tc>
        <w:tc>
          <w:tcPr>
            <w:tcW w:w="497" w:type="pct"/>
            <w:shd w:val="clear" w:color="000000" w:fill="D9D9D9"/>
            <w:noWrap/>
            <w:hideMark/>
          </w:tcPr>
          <w:p w14:paraId="7652E96A"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$ 1.131.286,50</w:t>
            </w:r>
          </w:p>
        </w:tc>
        <w:tc>
          <w:tcPr>
            <w:tcW w:w="557" w:type="pct"/>
            <w:shd w:val="clear" w:color="000000" w:fill="D9D9D9"/>
            <w:noWrap/>
            <w:hideMark/>
          </w:tcPr>
          <w:p w14:paraId="65D16E15" w14:textId="1615EE50"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213.813.148,50</w:t>
            </w:r>
          </w:p>
        </w:tc>
      </w:tr>
      <w:tr w:rsidR="00FF0ED7" w:rsidRPr="00740C0C" w14:paraId="54B7B198" w14:textId="77777777" w:rsidTr="00FF0ED7">
        <w:trPr>
          <w:trHeight w:val="315"/>
        </w:trPr>
        <w:tc>
          <w:tcPr>
            <w:tcW w:w="253" w:type="pct"/>
            <w:shd w:val="clear" w:color="auto" w:fill="auto"/>
            <w:noWrap/>
            <w:hideMark/>
          </w:tcPr>
          <w:p w14:paraId="7544E209"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1974</w:t>
            </w:r>
          </w:p>
        </w:tc>
        <w:tc>
          <w:tcPr>
            <w:tcW w:w="223" w:type="pct"/>
            <w:shd w:val="clear" w:color="auto" w:fill="auto"/>
            <w:noWrap/>
            <w:hideMark/>
          </w:tcPr>
          <w:p w14:paraId="6EA056B2"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7</w:t>
            </w:r>
          </w:p>
        </w:tc>
        <w:tc>
          <w:tcPr>
            <w:tcW w:w="181" w:type="pct"/>
            <w:shd w:val="clear" w:color="auto" w:fill="auto"/>
            <w:noWrap/>
            <w:hideMark/>
          </w:tcPr>
          <w:p w14:paraId="182AEC5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w:t>
            </w:r>
          </w:p>
        </w:tc>
        <w:tc>
          <w:tcPr>
            <w:tcW w:w="253" w:type="pct"/>
            <w:shd w:val="clear" w:color="auto" w:fill="auto"/>
            <w:noWrap/>
            <w:hideMark/>
          </w:tcPr>
          <w:p w14:paraId="41BA95CF"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1974</w:t>
            </w:r>
          </w:p>
        </w:tc>
        <w:tc>
          <w:tcPr>
            <w:tcW w:w="223" w:type="pct"/>
            <w:shd w:val="clear" w:color="auto" w:fill="auto"/>
            <w:noWrap/>
            <w:hideMark/>
          </w:tcPr>
          <w:p w14:paraId="2E1200D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12</w:t>
            </w:r>
          </w:p>
        </w:tc>
        <w:tc>
          <w:tcPr>
            <w:tcW w:w="182" w:type="pct"/>
            <w:shd w:val="clear" w:color="auto" w:fill="auto"/>
            <w:noWrap/>
            <w:hideMark/>
          </w:tcPr>
          <w:p w14:paraId="03B7EFE3" w14:textId="77777777" w:rsidR="00FF0ED7" w:rsidRPr="00740C0C" w:rsidRDefault="00FF0ED7" w:rsidP="00FF0ED7">
            <w:pPr>
              <w:spacing w:after="0" w:line="240" w:lineRule="auto"/>
              <w:rPr>
                <w:rFonts w:ascii="Calibri" w:eastAsia="Times New Roman" w:hAnsi="Calibri" w:cs="Calibri"/>
                <w:color w:val="000000"/>
                <w:sz w:val="12"/>
                <w:szCs w:val="12"/>
                <w:lang w:eastAsia="es-CO"/>
              </w:rPr>
            </w:pPr>
            <w:r w:rsidRPr="00740C0C">
              <w:rPr>
                <w:rFonts w:ascii="Calibri" w:eastAsia="Times New Roman" w:hAnsi="Calibri" w:cs="Calibri"/>
                <w:color w:val="000000"/>
                <w:sz w:val="12"/>
                <w:szCs w:val="12"/>
                <w:lang w:eastAsia="es-CO"/>
              </w:rPr>
              <w:t>31</w:t>
            </w:r>
          </w:p>
        </w:tc>
        <w:tc>
          <w:tcPr>
            <w:tcW w:w="319" w:type="pct"/>
            <w:shd w:val="clear" w:color="000000" w:fill="C0C0C0"/>
            <w:noWrap/>
            <w:hideMark/>
          </w:tcPr>
          <w:p w14:paraId="427A8386"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176</w:t>
            </w:r>
          </w:p>
        </w:tc>
        <w:tc>
          <w:tcPr>
            <w:tcW w:w="358" w:type="pct"/>
            <w:shd w:val="clear" w:color="000000" w:fill="C0C0C0"/>
            <w:noWrap/>
            <w:hideMark/>
          </w:tcPr>
          <w:p w14:paraId="71147E06"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25,14</w:t>
            </w:r>
          </w:p>
        </w:tc>
        <w:tc>
          <w:tcPr>
            <w:tcW w:w="339" w:type="pct"/>
            <w:shd w:val="clear" w:color="000000" w:fill="C0C0C0"/>
            <w:noWrap/>
            <w:hideMark/>
          </w:tcPr>
          <w:p w14:paraId="3A339DEC"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4,5</w:t>
            </w:r>
          </w:p>
        </w:tc>
        <w:tc>
          <w:tcPr>
            <w:tcW w:w="409" w:type="pct"/>
            <w:shd w:val="clear" w:color="000000" w:fill="C0C0C0"/>
            <w:noWrap/>
            <w:hideMark/>
          </w:tcPr>
          <w:p w14:paraId="693E3662"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113,14</w:t>
            </w:r>
          </w:p>
        </w:tc>
        <w:tc>
          <w:tcPr>
            <w:tcW w:w="466" w:type="pct"/>
            <w:shd w:val="clear" w:color="auto" w:fill="auto"/>
            <w:noWrap/>
            <w:hideMark/>
          </w:tcPr>
          <w:p w14:paraId="12B92AAA" w14:textId="77777777" w:rsidR="00FF0ED7" w:rsidRPr="00740C0C" w:rsidRDefault="00FF0ED7" w:rsidP="00FF0ED7">
            <w:pPr>
              <w:spacing w:after="0" w:line="240" w:lineRule="auto"/>
              <w:rPr>
                <w:rFonts w:ascii="Calibri" w:eastAsia="Times New Roman" w:hAnsi="Calibri" w:cs="Calibri"/>
                <w:color w:val="000000"/>
                <w:sz w:val="12"/>
                <w:szCs w:val="12"/>
                <w:lang w:eastAsia="es-CO"/>
              </w:rPr>
            </w:pPr>
            <w:r w:rsidRPr="00740C0C">
              <w:rPr>
                <w:rFonts w:ascii="Calibri" w:eastAsia="Times New Roman" w:hAnsi="Calibri" w:cs="Calibri"/>
                <w:color w:val="000000"/>
                <w:sz w:val="12"/>
                <w:szCs w:val="12"/>
                <w:lang w:eastAsia="es-CO"/>
              </w:rPr>
              <w:t>$ 3.300,00</w:t>
            </w:r>
          </w:p>
        </w:tc>
        <w:tc>
          <w:tcPr>
            <w:tcW w:w="352" w:type="pct"/>
            <w:shd w:val="clear" w:color="000000" w:fill="D9D9D9"/>
            <w:noWrap/>
            <w:hideMark/>
          </w:tcPr>
          <w:p w14:paraId="64A68629"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6375BAE5"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0,20</w:t>
            </w:r>
          </w:p>
        </w:tc>
        <w:tc>
          <w:tcPr>
            <w:tcW w:w="497" w:type="pct"/>
            <w:shd w:val="clear" w:color="000000" w:fill="D9D9D9"/>
            <w:noWrap/>
            <w:hideMark/>
          </w:tcPr>
          <w:p w14:paraId="368FC187"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$ 1.536.315,00</w:t>
            </w:r>
          </w:p>
        </w:tc>
        <w:tc>
          <w:tcPr>
            <w:tcW w:w="557" w:type="pct"/>
            <w:shd w:val="clear" w:color="000000" w:fill="D9D9D9"/>
            <w:noWrap/>
            <w:hideMark/>
          </w:tcPr>
          <w:p w14:paraId="440025D2" w14:textId="3818C2F1"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270.391.440,00</w:t>
            </w:r>
          </w:p>
        </w:tc>
      </w:tr>
      <w:tr w:rsidR="00FF0ED7" w:rsidRPr="00740C0C" w14:paraId="002B2DDF" w14:textId="77777777" w:rsidTr="00FF0ED7">
        <w:trPr>
          <w:trHeight w:val="315"/>
        </w:trPr>
        <w:tc>
          <w:tcPr>
            <w:tcW w:w="253" w:type="pct"/>
            <w:shd w:val="clear" w:color="auto" w:fill="auto"/>
            <w:noWrap/>
            <w:hideMark/>
          </w:tcPr>
          <w:p w14:paraId="2624F8E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1975</w:t>
            </w:r>
          </w:p>
        </w:tc>
        <w:tc>
          <w:tcPr>
            <w:tcW w:w="223" w:type="pct"/>
            <w:shd w:val="clear" w:color="auto" w:fill="auto"/>
            <w:noWrap/>
            <w:hideMark/>
          </w:tcPr>
          <w:p w14:paraId="736E545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181" w:type="pct"/>
            <w:shd w:val="clear" w:color="auto" w:fill="auto"/>
            <w:noWrap/>
            <w:hideMark/>
          </w:tcPr>
          <w:p w14:paraId="6AA783CC"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253" w:type="pct"/>
            <w:shd w:val="clear" w:color="auto" w:fill="auto"/>
            <w:noWrap/>
            <w:hideMark/>
          </w:tcPr>
          <w:p w14:paraId="37780772"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1975</w:t>
            </w:r>
          </w:p>
        </w:tc>
        <w:tc>
          <w:tcPr>
            <w:tcW w:w="223" w:type="pct"/>
            <w:shd w:val="clear" w:color="auto" w:fill="auto"/>
            <w:noWrap/>
            <w:hideMark/>
          </w:tcPr>
          <w:p w14:paraId="12C26E31"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w:t>
            </w:r>
          </w:p>
        </w:tc>
        <w:tc>
          <w:tcPr>
            <w:tcW w:w="182" w:type="pct"/>
            <w:shd w:val="clear" w:color="auto" w:fill="auto"/>
            <w:noWrap/>
            <w:hideMark/>
          </w:tcPr>
          <w:p w14:paraId="480A161B" w14:textId="77777777" w:rsidR="00FF0ED7" w:rsidRPr="00740C0C" w:rsidRDefault="00FF0ED7" w:rsidP="00FF0ED7">
            <w:pPr>
              <w:spacing w:after="0" w:line="240" w:lineRule="auto"/>
              <w:rPr>
                <w:rFonts w:ascii="Calibri" w:eastAsia="Times New Roman" w:hAnsi="Calibri" w:cs="Calibri"/>
                <w:color w:val="000000"/>
                <w:sz w:val="12"/>
                <w:szCs w:val="12"/>
                <w:lang w:eastAsia="es-CO"/>
              </w:rPr>
            </w:pPr>
            <w:r w:rsidRPr="00740C0C">
              <w:rPr>
                <w:rFonts w:ascii="Calibri" w:eastAsia="Times New Roman" w:hAnsi="Calibri" w:cs="Calibri"/>
                <w:color w:val="000000"/>
                <w:sz w:val="12"/>
                <w:szCs w:val="12"/>
                <w:lang w:eastAsia="es-CO"/>
              </w:rPr>
              <w:t>1</w:t>
            </w:r>
          </w:p>
        </w:tc>
        <w:tc>
          <w:tcPr>
            <w:tcW w:w="319" w:type="pct"/>
            <w:shd w:val="clear" w:color="000000" w:fill="C0C0C0"/>
            <w:noWrap/>
            <w:hideMark/>
          </w:tcPr>
          <w:p w14:paraId="45FEEE83"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60</w:t>
            </w:r>
          </w:p>
        </w:tc>
        <w:tc>
          <w:tcPr>
            <w:tcW w:w="358" w:type="pct"/>
            <w:shd w:val="clear" w:color="000000" w:fill="C0C0C0"/>
            <w:noWrap/>
            <w:hideMark/>
          </w:tcPr>
          <w:p w14:paraId="6010F639"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8,57</w:t>
            </w:r>
          </w:p>
        </w:tc>
        <w:tc>
          <w:tcPr>
            <w:tcW w:w="339" w:type="pct"/>
            <w:shd w:val="clear" w:color="000000" w:fill="C0C0C0"/>
            <w:noWrap/>
            <w:hideMark/>
          </w:tcPr>
          <w:p w14:paraId="05C2D25C"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4,5</w:t>
            </w:r>
          </w:p>
        </w:tc>
        <w:tc>
          <w:tcPr>
            <w:tcW w:w="409" w:type="pct"/>
            <w:shd w:val="clear" w:color="000000" w:fill="C0C0C0"/>
            <w:noWrap/>
            <w:hideMark/>
          </w:tcPr>
          <w:p w14:paraId="1E0CCB3F"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38,57</w:t>
            </w:r>
          </w:p>
        </w:tc>
        <w:tc>
          <w:tcPr>
            <w:tcW w:w="466" w:type="pct"/>
            <w:shd w:val="clear" w:color="auto" w:fill="auto"/>
            <w:noWrap/>
            <w:hideMark/>
          </w:tcPr>
          <w:p w14:paraId="6BDDEFB9" w14:textId="77777777" w:rsidR="00FF0ED7" w:rsidRPr="00740C0C" w:rsidRDefault="00FF0ED7" w:rsidP="00FF0ED7">
            <w:pPr>
              <w:spacing w:after="0" w:line="240" w:lineRule="auto"/>
              <w:rPr>
                <w:rFonts w:ascii="Calibri" w:eastAsia="Times New Roman" w:hAnsi="Calibri" w:cs="Calibri"/>
                <w:color w:val="000000"/>
                <w:sz w:val="12"/>
                <w:szCs w:val="12"/>
                <w:lang w:eastAsia="es-CO"/>
              </w:rPr>
            </w:pPr>
            <w:r w:rsidRPr="00740C0C">
              <w:rPr>
                <w:rFonts w:ascii="Calibri" w:eastAsia="Times New Roman" w:hAnsi="Calibri" w:cs="Calibri"/>
                <w:color w:val="000000"/>
                <w:sz w:val="12"/>
                <w:szCs w:val="12"/>
                <w:lang w:eastAsia="es-CO"/>
              </w:rPr>
              <w:t>$ 3.300,00</w:t>
            </w:r>
          </w:p>
        </w:tc>
        <w:tc>
          <w:tcPr>
            <w:tcW w:w="352" w:type="pct"/>
            <w:shd w:val="clear" w:color="000000" w:fill="D9D9D9"/>
            <w:noWrap/>
            <w:hideMark/>
          </w:tcPr>
          <w:p w14:paraId="3C42831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5EACF9E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0,25</w:t>
            </w:r>
          </w:p>
        </w:tc>
        <w:tc>
          <w:tcPr>
            <w:tcW w:w="497" w:type="pct"/>
            <w:shd w:val="clear" w:color="000000" w:fill="D9D9D9"/>
            <w:noWrap/>
            <w:hideMark/>
          </w:tcPr>
          <w:p w14:paraId="2CFCE5BF"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$ 1.229.052,00</w:t>
            </w:r>
          </w:p>
        </w:tc>
        <w:tc>
          <w:tcPr>
            <w:tcW w:w="557" w:type="pct"/>
            <w:shd w:val="clear" w:color="000000" w:fill="D9D9D9"/>
            <w:noWrap/>
            <w:hideMark/>
          </w:tcPr>
          <w:p w14:paraId="7D069265" w14:textId="51061D54"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73.743.120,00</w:t>
            </w:r>
          </w:p>
        </w:tc>
      </w:tr>
      <w:tr w:rsidR="00FF0ED7" w:rsidRPr="00740C0C" w14:paraId="58DAAB0A" w14:textId="77777777" w:rsidTr="00FF0ED7">
        <w:trPr>
          <w:trHeight w:val="315"/>
        </w:trPr>
        <w:tc>
          <w:tcPr>
            <w:tcW w:w="253" w:type="pct"/>
            <w:shd w:val="clear" w:color="auto" w:fill="auto"/>
            <w:noWrap/>
            <w:hideMark/>
          </w:tcPr>
          <w:p w14:paraId="138B7D2F"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1975</w:t>
            </w:r>
          </w:p>
        </w:tc>
        <w:tc>
          <w:tcPr>
            <w:tcW w:w="223" w:type="pct"/>
            <w:shd w:val="clear" w:color="auto" w:fill="auto"/>
            <w:noWrap/>
            <w:hideMark/>
          </w:tcPr>
          <w:p w14:paraId="694E3E41"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w:t>
            </w:r>
          </w:p>
        </w:tc>
        <w:tc>
          <w:tcPr>
            <w:tcW w:w="181" w:type="pct"/>
            <w:shd w:val="clear" w:color="auto" w:fill="auto"/>
            <w:noWrap/>
            <w:hideMark/>
          </w:tcPr>
          <w:p w14:paraId="79B72513"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10</w:t>
            </w:r>
          </w:p>
        </w:tc>
        <w:tc>
          <w:tcPr>
            <w:tcW w:w="253" w:type="pct"/>
            <w:shd w:val="clear" w:color="auto" w:fill="auto"/>
            <w:noWrap/>
            <w:hideMark/>
          </w:tcPr>
          <w:p w14:paraId="021637A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1975</w:t>
            </w:r>
          </w:p>
        </w:tc>
        <w:tc>
          <w:tcPr>
            <w:tcW w:w="223" w:type="pct"/>
            <w:shd w:val="clear" w:color="auto" w:fill="auto"/>
            <w:noWrap/>
            <w:hideMark/>
          </w:tcPr>
          <w:p w14:paraId="29629F5F"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7</w:t>
            </w:r>
          </w:p>
        </w:tc>
        <w:tc>
          <w:tcPr>
            <w:tcW w:w="182" w:type="pct"/>
            <w:shd w:val="clear" w:color="auto" w:fill="auto"/>
            <w:noWrap/>
            <w:hideMark/>
          </w:tcPr>
          <w:p w14:paraId="4788C9D8" w14:textId="77777777" w:rsidR="00FF0ED7" w:rsidRPr="00740C0C" w:rsidRDefault="00FF0ED7" w:rsidP="00FF0ED7">
            <w:pPr>
              <w:spacing w:after="0" w:line="240" w:lineRule="auto"/>
              <w:rPr>
                <w:rFonts w:ascii="Calibri" w:eastAsia="Times New Roman" w:hAnsi="Calibri" w:cs="Calibri"/>
                <w:color w:val="000000"/>
                <w:sz w:val="12"/>
                <w:szCs w:val="12"/>
                <w:lang w:eastAsia="es-CO"/>
              </w:rPr>
            </w:pPr>
            <w:r w:rsidRPr="00740C0C">
              <w:rPr>
                <w:rFonts w:ascii="Calibri" w:eastAsia="Times New Roman" w:hAnsi="Calibri" w:cs="Calibri"/>
                <w:color w:val="000000"/>
                <w:sz w:val="12"/>
                <w:szCs w:val="12"/>
                <w:lang w:eastAsia="es-CO"/>
              </w:rPr>
              <w:t>31</w:t>
            </w:r>
          </w:p>
        </w:tc>
        <w:tc>
          <w:tcPr>
            <w:tcW w:w="319" w:type="pct"/>
            <w:shd w:val="clear" w:color="000000" w:fill="C0C0C0"/>
            <w:noWrap/>
            <w:hideMark/>
          </w:tcPr>
          <w:p w14:paraId="65B43523"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144</w:t>
            </w:r>
          </w:p>
        </w:tc>
        <w:tc>
          <w:tcPr>
            <w:tcW w:w="358" w:type="pct"/>
            <w:shd w:val="clear" w:color="000000" w:fill="C0C0C0"/>
            <w:noWrap/>
            <w:hideMark/>
          </w:tcPr>
          <w:p w14:paraId="4D677F78"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20,57</w:t>
            </w:r>
          </w:p>
        </w:tc>
        <w:tc>
          <w:tcPr>
            <w:tcW w:w="339" w:type="pct"/>
            <w:shd w:val="clear" w:color="000000" w:fill="C0C0C0"/>
            <w:noWrap/>
            <w:hideMark/>
          </w:tcPr>
          <w:p w14:paraId="1691ECD2"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4,5</w:t>
            </w:r>
          </w:p>
        </w:tc>
        <w:tc>
          <w:tcPr>
            <w:tcW w:w="409" w:type="pct"/>
            <w:shd w:val="clear" w:color="000000" w:fill="C0C0C0"/>
            <w:noWrap/>
            <w:hideMark/>
          </w:tcPr>
          <w:p w14:paraId="7737000A"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92,57</w:t>
            </w:r>
          </w:p>
        </w:tc>
        <w:tc>
          <w:tcPr>
            <w:tcW w:w="466" w:type="pct"/>
            <w:shd w:val="clear" w:color="auto" w:fill="auto"/>
            <w:noWrap/>
            <w:hideMark/>
          </w:tcPr>
          <w:p w14:paraId="140971FA" w14:textId="77777777" w:rsidR="00FF0ED7" w:rsidRPr="00740C0C" w:rsidRDefault="00FF0ED7" w:rsidP="00FF0ED7">
            <w:pPr>
              <w:spacing w:after="0" w:line="240" w:lineRule="auto"/>
              <w:rPr>
                <w:rFonts w:ascii="Calibri" w:eastAsia="Times New Roman" w:hAnsi="Calibri" w:cs="Calibri"/>
                <w:color w:val="000000"/>
                <w:sz w:val="12"/>
                <w:szCs w:val="12"/>
                <w:lang w:eastAsia="es-CO"/>
              </w:rPr>
            </w:pPr>
            <w:r w:rsidRPr="00740C0C">
              <w:rPr>
                <w:rFonts w:ascii="Calibri" w:eastAsia="Times New Roman" w:hAnsi="Calibri" w:cs="Calibri"/>
                <w:color w:val="000000"/>
                <w:sz w:val="12"/>
                <w:szCs w:val="12"/>
                <w:lang w:eastAsia="es-CO"/>
              </w:rPr>
              <w:t>$ 2.430,00</w:t>
            </w:r>
          </w:p>
        </w:tc>
        <w:tc>
          <w:tcPr>
            <w:tcW w:w="352" w:type="pct"/>
            <w:shd w:val="clear" w:color="000000" w:fill="D9D9D9"/>
            <w:noWrap/>
            <w:hideMark/>
          </w:tcPr>
          <w:p w14:paraId="49663E7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727823D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0,25</w:t>
            </w:r>
          </w:p>
        </w:tc>
        <w:tc>
          <w:tcPr>
            <w:tcW w:w="497" w:type="pct"/>
            <w:shd w:val="clear" w:color="000000" w:fill="D9D9D9"/>
            <w:noWrap/>
            <w:hideMark/>
          </w:tcPr>
          <w:p w14:paraId="0604C90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$ 905.029,20</w:t>
            </w:r>
          </w:p>
        </w:tc>
        <w:tc>
          <w:tcPr>
            <w:tcW w:w="557" w:type="pct"/>
            <w:shd w:val="clear" w:color="000000" w:fill="D9D9D9"/>
            <w:noWrap/>
            <w:hideMark/>
          </w:tcPr>
          <w:p w14:paraId="00A1C3A1" w14:textId="7DBAEEE6"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130.324.204,80</w:t>
            </w:r>
          </w:p>
        </w:tc>
      </w:tr>
      <w:tr w:rsidR="00FF0ED7" w:rsidRPr="00740C0C" w14:paraId="01568013" w14:textId="77777777" w:rsidTr="00FF0ED7">
        <w:trPr>
          <w:trHeight w:val="315"/>
        </w:trPr>
        <w:tc>
          <w:tcPr>
            <w:tcW w:w="253" w:type="pct"/>
            <w:shd w:val="clear" w:color="auto" w:fill="auto"/>
            <w:noWrap/>
            <w:hideMark/>
          </w:tcPr>
          <w:p w14:paraId="57E07746"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1975</w:t>
            </w:r>
          </w:p>
        </w:tc>
        <w:tc>
          <w:tcPr>
            <w:tcW w:w="223" w:type="pct"/>
            <w:shd w:val="clear" w:color="auto" w:fill="auto"/>
            <w:noWrap/>
            <w:hideMark/>
          </w:tcPr>
          <w:p w14:paraId="594C9929"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8</w:t>
            </w:r>
          </w:p>
        </w:tc>
        <w:tc>
          <w:tcPr>
            <w:tcW w:w="181" w:type="pct"/>
            <w:shd w:val="clear" w:color="auto" w:fill="auto"/>
            <w:noWrap/>
            <w:hideMark/>
          </w:tcPr>
          <w:p w14:paraId="6A9CA6D7"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253" w:type="pct"/>
            <w:shd w:val="clear" w:color="auto" w:fill="auto"/>
            <w:noWrap/>
            <w:hideMark/>
          </w:tcPr>
          <w:p w14:paraId="16B963F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1975</w:t>
            </w:r>
          </w:p>
        </w:tc>
        <w:tc>
          <w:tcPr>
            <w:tcW w:w="223" w:type="pct"/>
            <w:shd w:val="clear" w:color="auto" w:fill="auto"/>
            <w:noWrap/>
            <w:hideMark/>
          </w:tcPr>
          <w:p w14:paraId="613DD19A"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10</w:t>
            </w:r>
          </w:p>
        </w:tc>
        <w:tc>
          <w:tcPr>
            <w:tcW w:w="182" w:type="pct"/>
            <w:shd w:val="clear" w:color="auto" w:fill="auto"/>
            <w:noWrap/>
            <w:hideMark/>
          </w:tcPr>
          <w:p w14:paraId="1B9EE1FB" w14:textId="77777777" w:rsidR="00FF0ED7" w:rsidRPr="00740C0C" w:rsidRDefault="00FF0ED7" w:rsidP="00FF0ED7">
            <w:pPr>
              <w:spacing w:after="0" w:line="240" w:lineRule="auto"/>
              <w:rPr>
                <w:rFonts w:ascii="Calibri" w:eastAsia="Times New Roman" w:hAnsi="Calibri" w:cs="Calibri"/>
                <w:color w:val="000000"/>
                <w:sz w:val="12"/>
                <w:szCs w:val="12"/>
                <w:lang w:eastAsia="es-CO"/>
              </w:rPr>
            </w:pPr>
            <w:r w:rsidRPr="00740C0C">
              <w:rPr>
                <w:rFonts w:ascii="Calibri" w:eastAsia="Times New Roman" w:hAnsi="Calibri" w:cs="Calibri"/>
                <w:color w:val="000000"/>
                <w:sz w:val="12"/>
                <w:szCs w:val="12"/>
                <w:lang w:eastAsia="es-CO"/>
              </w:rPr>
              <w:t>31</w:t>
            </w:r>
          </w:p>
        </w:tc>
        <w:tc>
          <w:tcPr>
            <w:tcW w:w="319" w:type="pct"/>
            <w:shd w:val="clear" w:color="000000" w:fill="C0C0C0"/>
            <w:noWrap/>
            <w:hideMark/>
          </w:tcPr>
          <w:p w14:paraId="39501647"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92</w:t>
            </w:r>
          </w:p>
        </w:tc>
        <w:tc>
          <w:tcPr>
            <w:tcW w:w="358" w:type="pct"/>
            <w:shd w:val="clear" w:color="000000" w:fill="C0C0C0"/>
            <w:noWrap/>
            <w:hideMark/>
          </w:tcPr>
          <w:p w14:paraId="50736F31"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13,14</w:t>
            </w:r>
          </w:p>
        </w:tc>
        <w:tc>
          <w:tcPr>
            <w:tcW w:w="339" w:type="pct"/>
            <w:shd w:val="clear" w:color="000000" w:fill="C0C0C0"/>
            <w:noWrap/>
            <w:hideMark/>
          </w:tcPr>
          <w:p w14:paraId="777D9CF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4,5</w:t>
            </w:r>
          </w:p>
        </w:tc>
        <w:tc>
          <w:tcPr>
            <w:tcW w:w="409" w:type="pct"/>
            <w:shd w:val="clear" w:color="000000" w:fill="C0C0C0"/>
            <w:noWrap/>
            <w:hideMark/>
          </w:tcPr>
          <w:p w14:paraId="28FC8F39"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59,14</w:t>
            </w:r>
          </w:p>
        </w:tc>
        <w:tc>
          <w:tcPr>
            <w:tcW w:w="466" w:type="pct"/>
            <w:shd w:val="clear" w:color="auto" w:fill="auto"/>
            <w:noWrap/>
            <w:hideMark/>
          </w:tcPr>
          <w:p w14:paraId="7C0F342D" w14:textId="77777777" w:rsidR="00FF0ED7" w:rsidRPr="00740C0C" w:rsidRDefault="00FF0ED7" w:rsidP="00FF0ED7">
            <w:pPr>
              <w:spacing w:after="0" w:line="240" w:lineRule="auto"/>
              <w:rPr>
                <w:rFonts w:ascii="Calibri" w:eastAsia="Times New Roman" w:hAnsi="Calibri" w:cs="Calibri"/>
                <w:color w:val="000000"/>
                <w:sz w:val="12"/>
                <w:szCs w:val="12"/>
                <w:lang w:eastAsia="es-CO"/>
              </w:rPr>
            </w:pPr>
            <w:r w:rsidRPr="00740C0C">
              <w:rPr>
                <w:rFonts w:ascii="Calibri" w:eastAsia="Times New Roman" w:hAnsi="Calibri" w:cs="Calibri"/>
                <w:color w:val="000000"/>
                <w:sz w:val="12"/>
                <w:szCs w:val="12"/>
                <w:lang w:eastAsia="es-CO"/>
              </w:rPr>
              <w:t>$ 3.300,00</w:t>
            </w:r>
          </w:p>
        </w:tc>
        <w:tc>
          <w:tcPr>
            <w:tcW w:w="352" w:type="pct"/>
            <w:shd w:val="clear" w:color="000000" w:fill="D9D9D9"/>
            <w:noWrap/>
            <w:hideMark/>
          </w:tcPr>
          <w:p w14:paraId="6E51A492"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4D23698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0,25</w:t>
            </w:r>
          </w:p>
        </w:tc>
        <w:tc>
          <w:tcPr>
            <w:tcW w:w="497" w:type="pct"/>
            <w:shd w:val="clear" w:color="000000" w:fill="D9D9D9"/>
            <w:noWrap/>
            <w:hideMark/>
          </w:tcPr>
          <w:p w14:paraId="62953171"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$ 1.229.052,00</w:t>
            </w:r>
          </w:p>
        </w:tc>
        <w:tc>
          <w:tcPr>
            <w:tcW w:w="557" w:type="pct"/>
            <w:shd w:val="clear" w:color="000000" w:fill="D9D9D9"/>
            <w:noWrap/>
            <w:hideMark/>
          </w:tcPr>
          <w:p w14:paraId="1096B97C" w14:textId="54366A15"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113.072.784,00</w:t>
            </w:r>
          </w:p>
        </w:tc>
      </w:tr>
      <w:tr w:rsidR="00FF0ED7" w:rsidRPr="00740C0C" w14:paraId="76B42BB0" w14:textId="77777777" w:rsidTr="00FF0ED7">
        <w:trPr>
          <w:trHeight w:val="315"/>
        </w:trPr>
        <w:tc>
          <w:tcPr>
            <w:tcW w:w="253" w:type="pct"/>
            <w:shd w:val="clear" w:color="auto" w:fill="auto"/>
            <w:noWrap/>
            <w:hideMark/>
          </w:tcPr>
          <w:p w14:paraId="6E7C0AF4"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1975</w:t>
            </w:r>
          </w:p>
        </w:tc>
        <w:tc>
          <w:tcPr>
            <w:tcW w:w="223" w:type="pct"/>
            <w:shd w:val="clear" w:color="auto" w:fill="auto"/>
            <w:noWrap/>
            <w:hideMark/>
          </w:tcPr>
          <w:p w14:paraId="27BD195F"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11</w:t>
            </w:r>
          </w:p>
        </w:tc>
        <w:tc>
          <w:tcPr>
            <w:tcW w:w="181" w:type="pct"/>
            <w:shd w:val="clear" w:color="auto" w:fill="auto"/>
            <w:noWrap/>
            <w:hideMark/>
          </w:tcPr>
          <w:p w14:paraId="1C8311BA"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253" w:type="pct"/>
            <w:shd w:val="clear" w:color="auto" w:fill="auto"/>
            <w:noWrap/>
            <w:hideMark/>
          </w:tcPr>
          <w:p w14:paraId="6B4BD998"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1975</w:t>
            </w:r>
          </w:p>
        </w:tc>
        <w:tc>
          <w:tcPr>
            <w:tcW w:w="223" w:type="pct"/>
            <w:shd w:val="clear" w:color="auto" w:fill="auto"/>
            <w:noWrap/>
            <w:hideMark/>
          </w:tcPr>
          <w:p w14:paraId="57E791E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12</w:t>
            </w:r>
          </w:p>
        </w:tc>
        <w:tc>
          <w:tcPr>
            <w:tcW w:w="182" w:type="pct"/>
            <w:shd w:val="clear" w:color="auto" w:fill="auto"/>
            <w:noWrap/>
            <w:hideMark/>
          </w:tcPr>
          <w:p w14:paraId="69D63F16" w14:textId="77777777" w:rsidR="00FF0ED7" w:rsidRPr="00740C0C" w:rsidRDefault="00FF0ED7" w:rsidP="00FF0ED7">
            <w:pPr>
              <w:spacing w:after="0" w:line="240" w:lineRule="auto"/>
              <w:rPr>
                <w:rFonts w:ascii="Calibri" w:eastAsia="Times New Roman" w:hAnsi="Calibri" w:cs="Calibri"/>
                <w:color w:val="000000"/>
                <w:sz w:val="12"/>
                <w:szCs w:val="12"/>
                <w:lang w:eastAsia="es-CO"/>
              </w:rPr>
            </w:pPr>
            <w:r w:rsidRPr="00740C0C">
              <w:rPr>
                <w:rFonts w:ascii="Calibri" w:eastAsia="Times New Roman" w:hAnsi="Calibri" w:cs="Calibri"/>
                <w:color w:val="000000"/>
                <w:sz w:val="12"/>
                <w:szCs w:val="12"/>
                <w:lang w:eastAsia="es-CO"/>
              </w:rPr>
              <w:t>31</w:t>
            </w:r>
          </w:p>
        </w:tc>
        <w:tc>
          <w:tcPr>
            <w:tcW w:w="319" w:type="pct"/>
            <w:shd w:val="clear" w:color="000000" w:fill="C0C0C0"/>
            <w:noWrap/>
            <w:hideMark/>
          </w:tcPr>
          <w:p w14:paraId="5B3F10D9"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61</w:t>
            </w:r>
          </w:p>
        </w:tc>
        <w:tc>
          <w:tcPr>
            <w:tcW w:w="358" w:type="pct"/>
            <w:shd w:val="clear" w:color="000000" w:fill="C0C0C0"/>
            <w:noWrap/>
            <w:hideMark/>
          </w:tcPr>
          <w:p w14:paraId="1D763737"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8,71</w:t>
            </w:r>
          </w:p>
        </w:tc>
        <w:tc>
          <w:tcPr>
            <w:tcW w:w="339" w:type="pct"/>
            <w:shd w:val="clear" w:color="000000" w:fill="C0C0C0"/>
            <w:noWrap/>
            <w:hideMark/>
          </w:tcPr>
          <w:p w14:paraId="5B30FF69"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4,5</w:t>
            </w:r>
          </w:p>
        </w:tc>
        <w:tc>
          <w:tcPr>
            <w:tcW w:w="409" w:type="pct"/>
            <w:shd w:val="clear" w:color="000000" w:fill="C0C0C0"/>
            <w:noWrap/>
            <w:hideMark/>
          </w:tcPr>
          <w:p w14:paraId="01C35576"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39,21</w:t>
            </w:r>
          </w:p>
        </w:tc>
        <w:tc>
          <w:tcPr>
            <w:tcW w:w="466" w:type="pct"/>
            <w:shd w:val="clear" w:color="auto" w:fill="auto"/>
            <w:noWrap/>
            <w:hideMark/>
          </w:tcPr>
          <w:p w14:paraId="3DB23C13" w14:textId="77777777" w:rsidR="00FF0ED7" w:rsidRPr="00740C0C" w:rsidRDefault="00FF0ED7" w:rsidP="00FF0ED7">
            <w:pPr>
              <w:spacing w:after="0" w:line="240" w:lineRule="auto"/>
              <w:rPr>
                <w:rFonts w:ascii="Calibri" w:eastAsia="Times New Roman" w:hAnsi="Calibri" w:cs="Calibri"/>
                <w:color w:val="000000"/>
                <w:sz w:val="12"/>
                <w:szCs w:val="12"/>
                <w:lang w:eastAsia="es-CO"/>
              </w:rPr>
            </w:pPr>
            <w:r w:rsidRPr="00740C0C">
              <w:rPr>
                <w:rFonts w:ascii="Calibri" w:eastAsia="Times New Roman" w:hAnsi="Calibri" w:cs="Calibri"/>
                <w:color w:val="000000"/>
                <w:sz w:val="12"/>
                <w:szCs w:val="12"/>
                <w:lang w:eastAsia="es-CO"/>
              </w:rPr>
              <w:t>$ 5.790,00</w:t>
            </w:r>
          </w:p>
        </w:tc>
        <w:tc>
          <w:tcPr>
            <w:tcW w:w="352" w:type="pct"/>
            <w:shd w:val="clear" w:color="000000" w:fill="D9D9D9"/>
            <w:noWrap/>
            <w:hideMark/>
          </w:tcPr>
          <w:p w14:paraId="79B7852F"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107D5C94"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0,25</w:t>
            </w:r>
          </w:p>
        </w:tc>
        <w:tc>
          <w:tcPr>
            <w:tcW w:w="497" w:type="pct"/>
            <w:shd w:val="clear" w:color="000000" w:fill="D9D9D9"/>
            <w:noWrap/>
            <w:hideMark/>
          </w:tcPr>
          <w:p w14:paraId="34556106"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$ 2.156.427,60</w:t>
            </w:r>
          </w:p>
        </w:tc>
        <w:tc>
          <w:tcPr>
            <w:tcW w:w="557" w:type="pct"/>
            <w:shd w:val="clear" w:color="000000" w:fill="D9D9D9"/>
            <w:noWrap/>
            <w:hideMark/>
          </w:tcPr>
          <w:p w14:paraId="4A77F30E" w14:textId="3253384A"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131.542.083,60</w:t>
            </w:r>
          </w:p>
        </w:tc>
      </w:tr>
      <w:tr w:rsidR="00FF0ED7" w:rsidRPr="00740C0C" w14:paraId="2D8BF9E9" w14:textId="77777777" w:rsidTr="00FF0ED7">
        <w:trPr>
          <w:trHeight w:val="315"/>
        </w:trPr>
        <w:tc>
          <w:tcPr>
            <w:tcW w:w="253" w:type="pct"/>
            <w:shd w:val="clear" w:color="auto" w:fill="auto"/>
            <w:noWrap/>
            <w:hideMark/>
          </w:tcPr>
          <w:p w14:paraId="78FCE357"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1976</w:t>
            </w:r>
          </w:p>
        </w:tc>
        <w:tc>
          <w:tcPr>
            <w:tcW w:w="223" w:type="pct"/>
            <w:shd w:val="clear" w:color="auto" w:fill="auto"/>
            <w:noWrap/>
            <w:hideMark/>
          </w:tcPr>
          <w:p w14:paraId="18AA69BC"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181" w:type="pct"/>
            <w:shd w:val="clear" w:color="auto" w:fill="auto"/>
            <w:noWrap/>
            <w:hideMark/>
          </w:tcPr>
          <w:p w14:paraId="5CA6FEC7"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253" w:type="pct"/>
            <w:shd w:val="clear" w:color="auto" w:fill="auto"/>
            <w:noWrap/>
            <w:hideMark/>
          </w:tcPr>
          <w:p w14:paraId="0D88FBF3"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1976</w:t>
            </w:r>
          </w:p>
        </w:tc>
        <w:tc>
          <w:tcPr>
            <w:tcW w:w="223" w:type="pct"/>
            <w:shd w:val="clear" w:color="auto" w:fill="auto"/>
            <w:noWrap/>
            <w:hideMark/>
          </w:tcPr>
          <w:p w14:paraId="5B366315"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182" w:type="pct"/>
            <w:shd w:val="clear" w:color="auto" w:fill="auto"/>
            <w:noWrap/>
            <w:hideMark/>
          </w:tcPr>
          <w:p w14:paraId="5083F33F" w14:textId="77777777" w:rsidR="00FF0ED7" w:rsidRPr="00740C0C" w:rsidRDefault="00FF0ED7" w:rsidP="00FF0ED7">
            <w:pPr>
              <w:spacing w:after="0" w:line="240" w:lineRule="auto"/>
              <w:rPr>
                <w:rFonts w:ascii="Calibri" w:eastAsia="Times New Roman" w:hAnsi="Calibri" w:cs="Calibri"/>
                <w:color w:val="000000"/>
                <w:sz w:val="12"/>
                <w:szCs w:val="12"/>
                <w:lang w:eastAsia="es-CO"/>
              </w:rPr>
            </w:pPr>
            <w:r w:rsidRPr="00740C0C">
              <w:rPr>
                <w:rFonts w:ascii="Calibri" w:eastAsia="Times New Roman" w:hAnsi="Calibri" w:cs="Calibri"/>
                <w:color w:val="000000"/>
                <w:sz w:val="12"/>
                <w:szCs w:val="12"/>
                <w:lang w:eastAsia="es-CO"/>
              </w:rPr>
              <w:t>31</w:t>
            </w:r>
          </w:p>
        </w:tc>
        <w:tc>
          <w:tcPr>
            <w:tcW w:w="319" w:type="pct"/>
            <w:shd w:val="clear" w:color="000000" w:fill="C0C0C0"/>
            <w:noWrap/>
            <w:hideMark/>
          </w:tcPr>
          <w:p w14:paraId="711790D3"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31</w:t>
            </w:r>
          </w:p>
        </w:tc>
        <w:tc>
          <w:tcPr>
            <w:tcW w:w="358" w:type="pct"/>
            <w:shd w:val="clear" w:color="000000" w:fill="C0C0C0"/>
            <w:noWrap/>
            <w:hideMark/>
          </w:tcPr>
          <w:p w14:paraId="301BDFCC"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4,43</w:t>
            </w:r>
          </w:p>
        </w:tc>
        <w:tc>
          <w:tcPr>
            <w:tcW w:w="339" w:type="pct"/>
            <w:shd w:val="clear" w:color="000000" w:fill="C0C0C0"/>
            <w:noWrap/>
            <w:hideMark/>
          </w:tcPr>
          <w:p w14:paraId="38655360"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4,5</w:t>
            </w:r>
          </w:p>
        </w:tc>
        <w:tc>
          <w:tcPr>
            <w:tcW w:w="409" w:type="pct"/>
            <w:shd w:val="clear" w:color="000000" w:fill="C0C0C0"/>
            <w:noWrap/>
            <w:hideMark/>
          </w:tcPr>
          <w:p w14:paraId="223C618B"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19,93</w:t>
            </w:r>
          </w:p>
        </w:tc>
        <w:tc>
          <w:tcPr>
            <w:tcW w:w="466" w:type="pct"/>
            <w:shd w:val="clear" w:color="auto" w:fill="auto"/>
            <w:noWrap/>
            <w:hideMark/>
          </w:tcPr>
          <w:p w14:paraId="0176D8E8" w14:textId="77777777" w:rsidR="00FF0ED7" w:rsidRPr="00740C0C" w:rsidRDefault="00FF0ED7" w:rsidP="00FF0ED7">
            <w:pPr>
              <w:spacing w:after="0" w:line="240" w:lineRule="auto"/>
              <w:rPr>
                <w:rFonts w:ascii="Calibri" w:eastAsia="Times New Roman" w:hAnsi="Calibri" w:cs="Calibri"/>
                <w:color w:val="000000"/>
                <w:sz w:val="12"/>
                <w:szCs w:val="12"/>
                <w:lang w:eastAsia="es-CO"/>
              </w:rPr>
            </w:pPr>
            <w:r w:rsidRPr="00740C0C">
              <w:rPr>
                <w:rFonts w:ascii="Calibri" w:eastAsia="Times New Roman" w:hAnsi="Calibri" w:cs="Calibri"/>
                <w:color w:val="000000"/>
                <w:sz w:val="12"/>
                <w:szCs w:val="12"/>
                <w:lang w:eastAsia="es-CO"/>
              </w:rPr>
              <w:t>$ 5.790,00</w:t>
            </w:r>
          </w:p>
        </w:tc>
        <w:tc>
          <w:tcPr>
            <w:tcW w:w="352" w:type="pct"/>
            <w:shd w:val="clear" w:color="000000" w:fill="D9D9D9"/>
            <w:noWrap/>
            <w:hideMark/>
          </w:tcPr>
          <w:p w14:paraId="476BF3BA"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1372104C"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0,29</w:t>
            </w:r>
          </w:p>
        </w:tc>
        <w:tc>
          <w:tcPr>
            <w:tcW w:w="497" w:type="pct"/>
            <w:shd w:val="clear" w:color="000000" w:fill="D9D9D9"/>
            <w:noWrap/>
            <w:hideMark/>
          </w:tcPr>
          <w:p w14:paraId="19E7FDD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$ 1.858.989,31</w:t>
            </w:r>
          </w:p>
        </w:tc>
        <w:tc>
          <w:tcPr>
            <w:tcW w:w="557" w:type="pct"/>
            <w:shd w:val="clear" w:color="000000" w:fill="D9D9D9"/>
            <w:noWrap/>
            <w:hideMark/>
          </w:tcPr>
          <w:p w14:paraId="7402E159" w14:textId="3C7D0F21"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57.628.668,62</w:t>
            </w:r>
          </w:p>
        </w:tc>
      </w:tr>
      <w:tr w:rsidR="00FF0ED7" w:rsidRPr="00740C0C" w14:paraId="6BBB5E92" w14:textId="77777777" w:rsidTr="00FF0ED7">
        <w:trPr>
          <w:trHeight w:val="315"/>
        </w:trPr>
        <w:tc>
          <w:tcPr>
            <w:tcW w:w="253" w:type="pct"/>
            <w:shd w:val="clear" w:color="auto" w:fill="auto"/>
            <w:noWrap/>
            <w:hideMark/>
          </w:tcPr>
          <w:p w14:paraId="6DFF2CB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1976</w:t>
            </w:r>
          </w:p>
        </w:tc>
        <w:tc>
          <w:tcPr>
            <w:tcW w:w="223" w:type="pct"/>
            <w:shd w:val="clear" w:color="auto" w:fill="auto"/>
            <w:noWrap/>
            <w:hideMark/>
          </w:tcPr>
          <w:p w14:paraId="716471B4"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2</w:t>
            </w:r>
          </w:p>
        </w:tc>
        <w:tc>
          <w:tcPr>
            <w:tcW w:w="181" w:type="pct"/>
            <w:shd w:val="clear" w:color="auto" w:fill="auto"/>
            <w:noWrap/>
            <w:hideMark/>
          </w:tcPr>
          <w:p w14:paraId="356AE9D2"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253" w:type="pct"/>
            <w:shd w:val="clear" w:color="auto" w:fill="auto"/>
            <w:noWrap/>
            <w:hideMark/>
          </w:tcPr>
          <w:p w14:paraId="6198F8A0"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1976</w:t>
            </w:r>
          </w:p>
        </w:tc>
        <w:tc>
          <w:tcPr>
            <w:tcW w:w="223" w:type="pct"/>
            <w:shd w:val="clear" w:color="auto" w:fill="auto"/>
            <w:noWrap/>
            <w:hideMark/>
          </w:tcPr>
          <w:p w14:paraId="4486FC13"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12</w:t>
            </w:r>
          </w:p>
        </w:tc>
        <w:tc>
          <w:tcPr>
            <w:tcW w:w="182" w:type="pct"/>
            <w:shd w:val="clear" w:color="auto" w:fill="auto"/>
            <w:noWrap/>
            <w:hideMark/>
          </w:tcPr>
          <w:p w14:paraId="0981389A" w14:textId="77777777" w:rsidR="00FF0ED7" w:rsidRPr="00740C0C" w:rsidRDefault="00FF0ED7" w:rsidP="00FF0ED7">
            <w:pPr>
              <w:spacing w:after="0" w:line="240" w:lineRule="auto"/>
              <w:rPr>
                <w:rFonts w:ascii="Calibri" w:eastAsia="Times New Roman" w:hAnsi="Calibri" w:cs="Calibri"/>
                <w:color w:val="000000"/>
                <w:sz w:val="12"/>
                <w:szCs w:val="12"/>
                <w:lang w:eastAsia="es-CO"/>
              </w:rPr>
            </w:pPr>
            <w:r w:rsidRPr="00740C0C">
              <w:rPr>
                <w:rFonts w:ascii="Calibri" w:eastAsia="Times New Roman" w:hAnsi="Calibri" w:cs="Calibri"/>
                <w:color w:val="000000"/>
                <w:sz w:val="12"/>
                <w:szCs w:val="12"/>
                <w:lang w:eastAsia="es-CO"/>
              </w:rPr>
              <w:t>31</w:t>
            </w:r>
          </w:p>
        </w:tc>
        <w:tc>
          <w:tcPr>
            <w:tcW w:w="319" w:type="pct"/>
            <w:shd w:val="clear" w:color="000000" w:fill="C0C0C0"/>
            <w:noWrap/>
            <w:hideMark/>
          </w:tcPr>
          <w:p w14:paraId="3D651B4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335</w:t>
            </w:r>
          </w:p>
        </w:tc>
        <w:tc>
          <w:tcPr>
            <w:tcW w:w="358" w:type="pct"/>
            <w:shd w:val="clear" w:color="000000" w:fill="C0C0C0"/>
            <w:noWrap/>
            <w:hideMark/>
          </w:tcPr>
          <w:p w14:paraId="6AD52B04"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47,86</w:t>
            </w:r>
          </w:p>
        </w:tc>
        <w:tc>
          <w:tcPr>
            <w:tcW w:w="339" w:type="pct"/>
            <w:shd w:val="clear" w:color="000000" w:fill="C0C0C0"/>
            <w:noWrap/>
            <w:hideMark/>
          </w:tcPr>
          <w:p w14:paraId="0EE034B0"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4,5</w:t>
            </w:r>
          </w:p>
        </w:tc>
        <w:tc>
          <w:tcPr>
            <w:tcW w:w="409" w:type="pct"/>
            <w:shd w:val="clear" w:color="000000" w:fill="C0C0C0"/>
            <w:noWrap/>
            <w:hideMark/>
          </w:tcPr>
          <w:p w14:paraId="4A51FDB5"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215,36</w:t>
            </w:r>
          </w:p>
        </w:tc>
        <w:tc>
          <w:tcPr>
            <w:tcW w:w="466" w:type="pct"/>
            <w:shd w:val="clear" w:color="auto" w:fill="auto"/>
            <w:noWrap/>
            <w:hideMark/>
          </w:tcPr>
          <w:p w14:paraId="467EE451" w14:textId="77777777" w:rsidR="00FF0ED7" w:rsidRPr="00740C0C" w:rsidRDefault="00FF0ED7" w:rsidP="00FF0ED7">
            <w:pPr>
              <w:spacing w:after="0" w:line="240" w:lineRule="auto"/>
              <w:rPr>
                <w:rFonts w:ascii="Calibri" w:eastAsia="Times New Roman" w:hAnsi="Calibri" w:cs="Calibri"/>
                <w:color w:val="000000"/>
                <w:sz w:val="12"/>
                <w:szCs w:val="12"/>
                <w:lang w:eastAsia="es-CO"/>
              </w:rPr>
            </w:pPr>
            <w:r w:rsidRPr="00740C0C">
              <w:rPr>
                <w:rFonts w:ascii="Calibri" w:eastAsia="Times New Roman" w:hAnsi="Calibri" w:cs="Calibri"/>
                <w:color w:val="000000"/>
                <w:sz w:val="12"/>
                <w:szCs w:val="12"/>
                <w:lang w:eastAsia="es-CO"/>
              </w:rPr>
              <w:t>$ 7.470,00</w:t>
            </w:r>
          </w:p>
        </w:tc>
        <w:tc>
          <w:tcPr>
            <w:tcW w:w="352" w:type="pct"/>
            <w:shd w:val="clear" w:color="000000" w:fill="D9D9D9"/>
            <w:noWrap/>
            <w:hideMark/>
          </w:tcPr>
          <w:p w14:paraId="0D09CFEB"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4C7A31B4"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0,29</w:t>
            </w:r>
          </w:p>
        </w:tc>
        <w:tc>
          <w:tcPr>
            <w:tcW w:w="497" w:type="pct"/>
            <w:shd w:val="clear" w:color="000000" w:fill="D9D9D9"/>
            <w:noWrap/>
            <w:hideMark/>
          </w:tcPr>
          <w:p w14:paraId="06D19D3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$ 2.398.385,17</w:t>
            </w:r>
          </w:p>
        </w:tc>
        <w:tc>
          <w:tcPr>
            <w:tcW w:w="557" w:type="pct"/>
            <w:shd w:val="clear" w:color="000000" w:fill="D9D9D9"/>
            <w:noWrap/>
            <w:hideMark/>
          </w:tcPr>
          <w:p w14:paraId="3289CE48" w14:textId="174E4519"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803.459.032,76</w:t>
            </w:r>
          </w:p>
        </w:tc>
      </w:tr>
      <w:tr w:rsidR="00FF0ED7" w:rsidRPr="00740C0C" w14:paraId="2ACC527A" w14:textId="77777777" w:rsidTr="00FF0ED7">
        <w:trPr>
          <w:trHeight w:val="315"/>
        </w:trPr>
        <w:tc>
          <w:tcPr>
            <w:tcW w:w="253" w:type="pct"/>
            <w:shd w:val="clear" w:color="auto" w:fill="auto"/>
            <w:noWrap/>
            <w:hideMark/>
          </w:tcPr>
          <w:p w14:paraId="0E27ECA5"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1977</w:t>
            </w:r>
          </w:p>
        </w:tc>
        <w:tc>
          <w:tcPr>
            <w:tcW w:w="223" w:type="pct"/>
            <w:shd w:val="clear" w:color="auto" w:fill="auto"/>
            <w:noWrap/>
            <w:hideMark/>
          </w:tcPr>
          <w:p w14:paraId="2CAE351C"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181" w:type="pct"/>
            <w:shd w:val="clear" w:color="auto" w:fill="auto"/>
            <w:noWrap/>
            <w:hideMark/>
          </w:tcPr>
          <w:p w14:paraId="32382B5F"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253" w:type="pct"/>
            <w:shd w:val="clear" w:color="auto" w:fill="auto"/>
            <w:noWrap/>
            <w:hideMark/>
          </w:tcPr>
          <w:p w14:paraId="2FE497D5"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1977</w:t>
            </w:r>
          </w:p>
        </w:tc>
        <w:tc>
          <w:tcPr>
            <w:tcW w:w="223" w:type="pct"/>
            <w:shd w:val="clear" w:color="auto" w:fill="auto"/>
            <w:noWrap/>
            <w:hideMark/>
          </w:tcPr>
          <w:p w14:paraId="6FA18252"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6</w:t>
            </w:r>
          </w:p>
        </w:tc>
        <w:tc>
          <w:tcPr>
            <w:tcW w:w="182" w:type="pct"/>
            <w:shd w:val="clear" w:color="auto" w:fill="auto"/>
            <w:noWrap/>
            <w:hideMark/>
          </w:tcPr>
          <w:p w14:paraId="2211699E" w14:textId="77777777" w:rsidR="00FF0ED7" w:rsidRPr="00740C0C" w:rsidRDefault="00FF0ED7" w:rsidP="00FF0ED7">
            <w:pPr>
              <w:spacing w:after="0" w:line="240" w:lineRule="auto"/>
              <w:rPr>
                <w:rFonts w:ascii="Calibri" w:eastAsia="Times New Roman" w:hAnsi="Calibri" w:cs="Calibri"/>
                <w:color w:val="000000"/>
                <w:sz w:val="12"/>
                <w:szCs w:val="12"/>
                <w:lang w:eastAsia="es-CO"/>
              </w:rPr>
            </w:pPr>
            <w:r w:rsidRPr="00740C0C">
              <w:rPr>
                <w:rFonts w:ascii="Calibri" w:eastAsia="Times New Roman" w:hAnsi="Calibri" w:cs="Calibri"/>
                <w:color w:val="000000"/>
                <w:sz w:val="12"/>
                <w:szCs w:val="12"/>
                <w:lang w:eastAsia="es-CO"/>
              </w:rPr>
              <w:t>30</w:t>
            </w:r>
          </w:p>
        </w:tc>
        <w:tc>
          <w:tcPr>
            <w:tcW w:w="319" w:type="pct"/>
            <w:shd w:val="clear" w:color="000000" w:fill="C0C0C0"/>
            <w:noWrap/>
            <w:hideMark/>
          </w:tcPr>
          <w:p w14:paraId="110DA68C"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181</w:t>
            </w:r>
          </w:p>
        </w:tc>
        <w:tc>
          <w:tcPr>
            <w:tcW w:w="358" w:type="pct"/>
            <w:shd w:val="clear" w:color="000000" w:fill="C0C0C0"/>
            <w:noWrap/>
            <w:hideMark/>
          </w:tcPr>
          <w:p w14:paraId="53BAFBA9"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25,86</w:t>
            </w:r>
          </w:p>
        </w:tc>
        <w:tc>
          <w:tcPr>
            <w:tcW w:w="339" w:type="pct"/>
            <w:shd w:val="clear" w:color="000000" w:fill="C0C0C0"/>
            <w:noWrap/>
            <w:hideMark/>
          </w:tcPr>
          <w:p w14:paraId="47556214"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4,5</w:t>
            </w:r>
          </w:p>
        </w:tc>
        <w:tc>
          <w:tcPr>
            <w:tcW w:w="409" w:type="pct"/>
            <w:shd w:val="clear" w:color="000000" w:fill="C0C0C0"/>
            <w:noWrap/>
            <w:hideMark/>
          </w:tcPr>
          <w:p w14:paraId="31A07162"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116,36</w:t>
            </w:r>
          </w:p>
        </w:tc>
        <w:tc>
          <w:tcPr>
            <w:tcW w:w="466" w:type="pct"/>
            <w:shd w:val="clear" w:color="auto" w:fill="auto"/>
            <w:noWrap/>
            <w:hideMark/>
          </w:tcPr>
          <w:p w14:paraId="732A8774" w14:textId="77777777" w:rsidR="00FF0ED7" w:rsidRPr="00740C0C" w:rsidRDefault="00FF0ED7" w:rsidP="00FF0ED7">
            <w:pPr>
              <w:spacing w:after="0" w:line="240" w:lineRule="auto"/>
              <w:rPr>
                <w:rFonts w:ascii="Calibri" w:eastAsia="Times New Roman" w:hAnsi="Calibri" w:cs="Calibri"/>
                <w:color w:val="000000"/>
                <w:sz w:val="12"/>
                <w:szCs w:val="12"/>
                <w:lang w:eastAsia="es-CO"/>
              </w:rPr>
            </w:pPr>
            <w:r w:rsidRPr="00740C0C">
              <w:rPr>
                <w:rFonts w:ascii="Calibri" w:eastAsia="Times New Roman" w:hAnsi="Calibri" w:cs="Calibri"/>
                <w:color w:val="000000"/>
                <w:sz w:val="12"/>
                <w:szCs w:val="12"/>
                <w:lang w:eastAsia="es-CO"/>
              </w:rPr>
              <w:t>$ 9.480,00</w:t>
            </w:r>
          </w:p>
        </w:tc>
        <w:tc>
          <w:tcPr>
            <w:tcW w:w="352" w:type="pct"/>
            <w:shd w:val="clear" w:color="000000" w:fill="D9D9D9"/>
            <w:noWrap/>
            <w:hideMark/>
          </w:tcPr>
          <w:p w14:paraId="419B5897"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7FA25E9C"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0,37</w:t>
            </w:r>
          </w:p>
        </w:tc>
        <w:tc>
          <w:tcPr>
            <w:tcW w:w="497" w:type="pct"/>
            <w:shd w:val="clear" w:color="000000" w:fill="D9D9D9"/>
            <w:noWrap/>
            <w:hideMark/>
          </w:tcPr>
          <w:p w14:paraId="13148B00"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$ 2.385.629,19</w:t>
            </w:r>
          </w:p>
        </w:tc>
        <w:tc>
          <w:tcPr>
            <w:tcW w:w="557" w:type="pct"/>
            <w:shd w:val="clear" w:color="000000" w:fill="D9D9D9"/>
            <w:noWrap/>
            <w:hideMark/>
          </w:tcPr>
          <w:p w14:paraId="16252A16" w14:textId="7141B88F"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431.798.883,24</w:t>
            </w:r>
          </w:p>
        </w:tc>
      </w:tr>
      <w:tr w:rsidR="00FF0ED7" w:rsidRPr="00740C0C" w14:paraId="2077A2BC" w14:textId="77777777" w:rsidTr="00FF0ED7">
        <w:trPr>
          <w:trHeight w:val="315"/>
        </w:trPr>
        <w:tc>
          <w:tcPr>
            <w:tcW w:w="253" w:type="pct"/>
            <w:shd w:val="clear" w:color="auto" w:fill="auto"/>
            <w:noWrap/>
            <w:hideMark/>
          </w:tcPr>
          <w:p w14:paraId="7B84ECE8"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1977</w:t>
            </w:r>
          </w:p>
        </w:tc>
        <w:tc>
          <w:tcPr>
            <w:tcW w:w="223" w:type="pct"/>
            <w:shd w:val="clear" w:color="auto" w:fill="auto"/>
            <w:noWrap/>
            <w:hideMark/>
          </w:tcPr>
          <w:p w14:paraId="35817146"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7</w:t>
            </w:r>
          </w:p>
        </w:tc>
        <w:tc>
          <w:tcPr>
            <w:tcW w:w="181" w:type="pct"/>
            <w:shd w:val="clear" w:color="auto" w:fill="auto"/>
            <w:noWrap/>
            <w:hideMark/>
          </w:tcPr>
          <w:p w14:paraId="41E360F9"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253" w:type="pct"/>
            <w:shd w:val="clear" w:color="auto" w:fill="auto"/>
            <w:noWrap/>
            <w:hideMark/>
          </w:tcPr>
          <w:p w14:paraId="4B0C026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1977</w:t>
            </w:r>
          </w:p>
        </w:tc>
        <w:tc>
          <w:tcPr>
            <w:tcW w:w="223" w:type="pct"/>
            <w:shd w:val="clear" w:color="auto" w:fill="auto"/>
            <w:noWrap/>
            <w:hideMark/>
          </w:tcPr>
          <w:p w14:paraId="26C604D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12</w:t>
            </w:r>
          </w:p>
        </w:tc>
        <w:tc>
          <w:tcPr>
            <w:tcW w:w="182" w:type="pct"/>
            <w:shd w:val="clear" w:color="auto" w:fill="auto"/>
            <w:noWrap/>
            <w:hideMark/>
          </w:tcPr>
          <w:p w14:paraId="15B55007" w14:textId="77777777" w:rsidR="00FF0ED7" w:rsidRPr="00740C0C" w:rsidRDefault="00FF0ED7" w:rsidP="00FF0ED7">
            <w:pPr>
              <w:spacing w:after="0" w:line="240" w:lineRule="auto"/>
              <w:rPr>
                <w:rFonts w:ascii="Calibri" w:eastAsia="Times New Roman" w:hAnsi="Calibri" w:cs="Calibri"/>
                <w:color w:val="000000"/>
                <w:sz w:val="12"/>
                <w:szCs w:val="12"/>
                <w:lang w:eastAsia="es-CO"/>
              </w:rPr>
            </w:pPr>
            <w:r w:rsidRPr="00740C0C">
              <w:rPr>
                <w:rFonts w:ascii="Calibri" w:eastAsia="Times New Roman" w:hAnsi="Calibri" w:cs="Calibri"/>
                <w:color w:val="000000"/>
                <w:sz w:val="12"/>
                <w:szCs w:val="12"/>
                <w:lang w:eastAsia="es-CO"/>
              </w:rPr>
              <w:t>31</w:t>
            </w:r>
          </w:p>
        </w:tc>
        <w:tc>
          <w:tcPr>
            <w:tcW w:w="319" w:type="pct"/>
            <w:shd w:val="clear" w:color="000000" w:fill="C0C0C0"/>
            <w:noWrap/>
            <w:hideMark/>
          </w:tcPr>
          <w:p w14:paraId="67CBE9CB"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184</w:t>
            </w:r>
          </w:p>
        </w:tc>
        <w:tc>
          <w:tcPr>
            <w:tcW w:w="358" w:type="pct"/>
            <w:shd w:val="clear" w:color="000000" w:fill="C0C0C0"/>
            <w:noWrap/>
            <w:hideMark/>
          </w:tcPr>
          <w:p w14:paraId="14D4F501"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26,29</w:t>
            </w:r>
          </w:p>
        </w:tc>
        <w:tc>
          <w:tcPr>
            <w:tcW w:w="339" w:type="pct"/>
            <w:shd w:val="clear" w:color="000000" w:fill="C0C0C0"/>
            <w:noWrap/>
            <w:hideMark/>
          </w:tcPr>
          <w:p w14:paraId="48C7DC30"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4,5</w:t>
            </w:r>
          </w:p>
        </w:tc>
        <w:tc>
          <w:tcPr>
            <w:tcW w:w="409" w:type="pct"/>
            <w:shd w:val="clear" w:color="000000" w:fill="C0C0C0"/>
            <w:noWrap/>
            <w:hideMark/>
          </w:tcPr>
          <w:p w14:paraId="3656F973"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118,29</w:t>
            </w:r>
          </w:p>
        </w:tc>
        <w:tc>
          <w:tcPr>
            <w:tcW w:w="466" w:type="pct"/>
            <w:shd w:val="clear" w:color="auto" w:fill="auto"/>
            <w:noWrap/>
            <w:hideMark/>
          </w:tcPr>
          <w:p w14:paraId="41AC8CB7" w14:textId="77777777" w:rsidR="00FF0ED7" w:rsidRPr="00740C0C" w:rsidRDefault="00FF0ED7" w:rsidP="00FF0ED7">
            <w:pPr>
              <w:spacing w:after="0" w:line="240" w:lineRule="auto"/>
              <w:rPr>
                <w:rFonts w:ascii="Calibri" w:eastAsia="Times New Roman" w:hAnsi="Calibri" w:cs="Calibri"/>
                <w:color w:val="000000"/>
                <w:sz w:val="12"/>
                <w:szCs w:val="12"/>
                <w:lang w:eastAsia="es-CO"/>
              </w:rPr>
            </w:pPr>
            <w:r w:rsidRPr="00740C0C">
              <w:rPr>
                <w:rFonts w:ascii="Calibri" w:eastAsia="Times New Roman" w:hAnsi="Calibri" w:cs="Calibri"/>
                <w:color w:val="000000"/>
                <w:sz w:val="12"/>
                <w:szCs w:val="12"/>
                <w:lang w:eastAsia="es-CO"/>
              </w:rPr>
              <w:t>$ 11.850,00</w:t>
            </w:r>
          </w:p>
        </w:tc>
        <w:tc>
          <w:tcPr>
            <w:tcW w:w="352" w:type="pct"/>
            <w:shd w:val="clear" w:color="000000" w:fill="D9D9D9"/>
            <w:noWrap/>
            <w:hideMark/>
          </w:tcPr>
          <w:p w14:paraId="139F1D74"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5A399DD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0,37</w:t>
            </w:r>
          </w:p>
        </w:tc>
        <w:tc>
          <w:tcPr>
            <w:tcW w:w="497" w:type="pct"/>
            <w:shd w:val="clear" w:color="000000" w:fill="D9D9D9"/>
            <w:noWrap/>
            <w:hideMark/>
          </w:tcPr>
          <w:p w14:paraId="6F6A265C"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$ 2.982.036,49</w:t>
            </w:r>
          </w:p>
        </w:tc>
        <w:tc>
          <w:tcPr>
            <w:tcW w:w="557" w:type="pct"/>
            <w:shd w:val="clear" w:color="000000" w:fill="D9D9D9"/>
            <w:noWrap/>
            <w:hideMark/>
          </w:tcPr>
          <w:p w14:paraId="564E9A05" w14:textId="4A0CD280"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548.694.713,51</w:t>
            </w:r>
          </w:p>
        </w:tc>
      </w:tr>
      <w:tr w:rsidR="00FF0ED7" w:rsidRPr="00740C0C" w14:paraId="3EBD4143" w14:textId="77777777" w:rsidTr="00FF0ED7">
        <w:trPr>
          <w:trHeight w:val="315"/>
        </w:trPr>
        <w:tc>
          <w:tcPr>
            <w:tcW w:w="253" w:type="pct"/>
            <w:shd w:val="clear" w:color="auto" w:fill="auto"/>
            <w:noWrap/>
            <w:hideMark/>
          </w:tcPr>
          <w:p w14:paraId="28AAD5DF"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1978</w:t>
            </w:r>
          </w:p>
        </w:tc>
        <w:tc>
          <w:tcPr>
            <w:tcW w:w="223" w:type="pct"/>
            <w:shd w:val="clear" w:color="auto" w:fill="auto"/>
            <w:noWrap/>
            <w:hideMark/>
          </w:tcPr>
          <w:p w14:paraId="3CDBA21B"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181" w:type="pct"/>
            <w:shd w:val="clear" w:color="auto" w:fill="auto"/>
            <w:noWrap/>
            <w:hideMark/>
          </w:tcPr>
          <w:p w14:paraId="50E6B455"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253" w:type="pct"/>
            <w:shd w:val="clear" w:color="auto" w:fill="auto"/>
            <w:noWrap/>
            <w:hideMark/>
          </w:tcPr>
          <w:p w14:paraId="3DA10881"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1978</w:t>
            </w:r>
          </w:p>
        </w:tc>
        <w:tc>
          <w:tcPr>
            <w:tcW w:w="223" w:type="pct"/>
            <w:shd w:val="clear" w:color="auto" w:fill="auto"/>
            <w:noWrap/>
            <w:hideMark/>
          </w:tcPr>
          <w:p w14:paraId="65D01EB8"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182" w:type="pct"/>
            <w:shd w:val="clear" w:color="auto" w:fill="auto"/>
            <w:noWrap/>
            <w:hideMark/>
          </w:tcPr>
          <w:p w14:paraId="7C375B39" w14:textId="77777777" w:rsidR="00FF0ED7" w:rsidRPr="00740C0C" w:rsidRDefault="00FF0ED7" w:rsidP="00FF0ED7">
            <w:pPr>
              <w:spacing w:after="0" w:line="240" w:lineRule="auto"/>
              <w:rPr>
                <w:rFonts w:ascii="Calibri" w:eastAsia="Times New Roman" w:hAnsi="Calibri" w:cs="Calibri"/>
                <w:color w:val="000000"/>
                <w:sz w:val="12"/>
                <w:szCs w:val="12"/>
                <w:lang w:eastAsia="es-CO"/>
              </w:rPr>
            </w:pPr>
            <w:r w:rsidRPr="00740C0C">
              <w:rPr>
                <w:rFonts w:ascii="Calibri" w:eastAsia="Times New Roman" w:hAnsi="Calibri" w:cs="Calibri"/>
                <w:color w:val="000000"/>
                <w:sz w:val="12"/>
                <w:szCs w:val="12"/>
                <w:lang w:eastAsia="es-CO"/>
              </w:rPr>
              <w:t>31</w:t>
            </w:r>
          </w:p>
        </w:tc>
        <w:tc>
          <w:tcPr>
            <w:tcW w:w="319" w:type="pct"/>
            <w:shd w:val="clear" w:color="000000" w:fill="C0C0C0"/>
            <w:noWrap/>
            <w:hideMark/>
          </w:tcPr>
          <w:p w14:paraId="72B38680"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31</w:t>
            </w:r>
          </w:p>
        </w:tc>
        <w:tc>
          <w:tcPr>
            <w:tcW w:w="358" w:type="pct"/>
            <w:shd w:val="clear" w:color="000000" w:fill="C0C0C0"/>
            <w:noWrap/>
            <w:hideMark/>
          </w:tcPr>
          <w:p w14:paraId="6C3BD2CF"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4,43</w:t>
            </w:r>
          </w:p>
        </w:tc>
        <w:tc>
          <w:tcPr>
            <w:tcW w:w="339" w:type="pct"/>
            <w:shd w:val="clear" w:color="000000" w:fill="C0C0C0"/>
            <w:noWrap/>
            <w:hideMark/>
          </w:tcPr>
          <w:p w14:paraId="4E134835"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4,5</w:t>
            </w:r>
          </w:p>
        </w:tc>
        <w:tc>
          <w:tcPr>
            <w:tcW w:w="409" w:type="pct"/>
            <w:shd w:val="clear" w:color="000000" w:fill="C0C0C0"/>
            <w:noWrap/>
            <w:hideMark/>
          </w:tcPr>
          <w:p w14:paraId="54C60094"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19,93</w:t>
            </w:r>
          </w:p>
        </w:tc>
        <w:tc>
          <w:tcPr>
            <w:tcW w:w="466" w:type="pct"/>
            <w:shd w:val="clear" w:color="auto" w:fill="auto"/>
            <w:noWrap/>
            <w:hideMark/>
          </w:tcPr>
          <w:p w14:paraId="4B111A1D" w14:textId="77777777" w:rsidR="00FF0ED7" w:rsidRPr="00740C0C" w:rsidRDefault="00FF0ED7" w:rsidP="00FF0ED7">
            <w:pPr>
              <w:spacing w:after="0" w:line="240" w:lineRule="auto"/>
              <w:rPr>
                <w:rFonts w:ascii="Calibri" w:eastAsia="Times New Roman" w:hAnsi="Calibri" w:cs="Calibri"/>
                <w:color w:val="000000"/>
                <w:sz w:val="12"/>
                <w:szCs w:val="12"/>
                <w:lang w:eastAsia="es-CO"/>
              </w:rPr>
            </w:pPr>
            <w:r w:rsidRPr="00740C0C">
              <w:rPr>
                <w:rFonts w:ascii="Calibri" w:eastAsia="Times New Roman" w:hAnsi="Calibri" w:cs="Calibri"/>
                <w:color w:val="000000"/>
                <w:sz w:val="12"/>
                <w:szCs w:val="12"/>
                <w:lang w:eastAsia="es-CO"/>
              </w:rPr>
              <w:t>$ 11.850,00</w:t>
            </w:r>
          </w:p>
        </w:tc>
        <w:tc>
          <w:tcPr>
            <w:tcW w:w="352" w:type="pct"/>
            <w:shd w:val="clear" w:color="000000" w:fill="D9D9D9"/>
            <w:noWrap/>
            <w:hideMark/>
          </w:tcPr>
          <w:p w14:paraId="6A239709"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72661F90"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0,47</w:t>
            </w:r>
          </w:p>
        </w:tc>
        <w:tc>
          <w:tcPr>
            <w:tcW w:w="497" w:type="pct"/>
            <w:shd w:val="clear" w:color="000000" w:fill="D9D9D9"/>
            <w:noWrap/>
            <w:hideMark/>
          </w:tcPr>
          <w:p w14:paraId="52D5DBB6"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$ 2.347.560,64</w:t>
            </w:r>
          </w:p>
        </w:tc>
        <w:tc>
          <w:tcPr>
            <w:tcW w:w="557" w:type="pct"/>
            <w:shd w:val="clear" w:color="000000" w:fill="D9D9D9"/>
            <w:noWrap/>
            <w:hideMark/>
          </w:tcPr>
          <w:p w14:paraId="715AAD74" w14:textId="022CB80B"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72.774.379,79</w:t>
            </w:r>
          </w:p>
        </w:tc>
      </w:tr>
      <w:tr w:rsidR="00FF0ED7" w:rsidRPr="00740C0C" w14:paraId="07605264" w14:textId="77777777" w:rsidTr="00FF0ED7">
        <w:trPr>
          <w:trHeight w:val="315"/>
        </w:trPr>
        <w:tc>
          <w:tcPr>
            <w:tcW w:w="253" w:type="pct"/>
            <w:shd w:val="clear" w:color="auto" w:fill="auto"/>
            <w:noWrap/>
            <w:hideMark/>
          </w:tcPr>
          <w:p w14:paraId="7D7D8692"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1978</w:t>
            </w:r>
          </w:p>
        </w:tc>
        <w:tc>
          <w:tcPr>
            <w:tcW w:w="223" w:type="pct"/>
            <w:shd w:val="clear" w:color="auto" w:fill="auto"/>
            <w:noWrap/>
            <w:hideMark/>
          </w:tcPr>
          <w:p w14:paraId="53A08A12"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2</w:t>
            </w:r>
          </w:p>
        </w:tc>
        <w:tc>
          <w:tcPr>
            <w:tcW w:w="181" w:type="pct"/>
            <w:shd w:val="clear" w:color="auto" w:fill="auto"/>
            <w:noWrap/>
            <w:hideMark/>
          </w:tcPr>
          <w:p w14:paraId="50DDB845"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253" w:type="pct"/>
            <w:shd w:val="clear" w:color="auto" w:fill="auto"/>
            <w:noWrap/>
            <w:hideMark/>
          </w:tcPr>
          <w:p w14:paraId="64F2FFD6"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1978</w:t>
            </w:r>
          </w:p>
        </w:tc>
        <w:tc>
          <w:tcPr>
            <w:tcW w:w="223" w:type="pct"/>
            <w:shd w:val="clear" w:color="auto" w:fill="auto"/>
            <w:noWrap/>
            <w:hideMark/>
          </w:tcPr>
          <w:p w14:paraId="594DAD9A"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2</w:t>
            </w:r>
          </w:p>
        </w:tc>
        <w:tc>
          <w:tcPr>
            <w:tcW w:w="182" w:type="pct"/>
            <w:shd w:val="clear" w:color="auto" w:fill="auto"/>
            <w:noWrap/>
            <w:hideMark/>
          </w:tcPr>
          <w:p w14:paraId="1409C643" w14:textId="77777777" w:rsidR="00FF0ED7" w:rsidRPr="00740C0C" w:rsidRDefault="00FF0ED7" w:rsidP="00FF0ED7">
            <w:pPr>
              <w:spacing w:after="0" w:line="240" w:lineRule="auto"/>
              <w:rPr>
                <w:rFonts w:ascii="Calibri" w:eastAsia="Times New Roman" w:hAnsi="Calibri" w:cs="Calibri"/>
                <w:color w:val="000000"/>
                <w:sz w:val="12"/>
                <w:szCs w:val="12"/>
                <w:lang w:eastAsia="es-CO"/>
              </w:rPr>
            </w:pPr>
            <w:r w:rsidRPr="00740C0C">
              <w:rPr>
                <w:rFonts w:ascii="Calibri" w:eastAsia="Times New Roman" w:hAnsi="Calibri" w:cs="Calibri"/>
                <w:color w:val="000000"/>
                <w:sz w:val="12"/>
                <w:szCs w:val="12"/>
                <w:lang w:eastAsia="es-CO"/>
              </w:rPr>
              <w:t>28</w:t>
            </w:r>
          </w:p>
        </w:tc>
        <w:tc>
          <w:tcPr>
            <w:tcW w:w="319" w:type="pct"/>
            <w:shd w:val="clear" w:color="000000" w:fill="C0C0C0"/>
            <w:noWrap/>
            <w:hideMark/>
          </w:tcPr>
          <w:p w14:paraId="5607BF98"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28</w:t>
            </w:r>
          </w:p>
        </w:tc>
        <w:tc>
          <w:tcPr>
            <w:tcW w:w="358" w:type="pct"/>
            <w:shd w:val="clear" w:color="000000" w:fill="C0C0C0"/>
            <w:noWrap/>
            <w:hideMark/>
          </w:tcPr>
          <w:p w14:paraId="024E2076"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4,00</w:t>
            </w:r>
          </w:p>
        </w:tc>
        <w:tc>
          <w:tcPr>
            <w:tcW w:w="339" w:type="pct"/>
            <w:shd w:val="clear" w:color="000000" w:fill="C0C0C0"/>
            <w:noWrap/>
            <w:hideMark/>
          </w:tcPr>
          <w:p w14:paraId="0A3FF41C"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4,5</w:t>
            </w:r>
          </w:p>
        </w:tc>
        <w:tc>
          <w:tcPr>
            <w:tcW w:w="409" w:type="pct"/>
            <w:shd w:val="clear" w:color="000000" w:fill="C0C0C0"/>
            <w:noWrap/>
            <w:hideMark/>
          </w:tcPr>
          <w:p w14:paraId="52849437"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18,00</w:t>
            </w:r>
          </w:p>
        </w:tc>
        <w:tc>
          <w:tcPr>
            <w:tcW w:w="466" w:type="pct"/>
            <w:shd w:val="clear" w:color="auto" w:fill="auto"/>
            <w:noWrap/>
            <w:hideMark/>
          </w:tcPr>
          <w:p w14:paraId="4336DBBC" w14:textId="77777777" w:rsidR="00FF0ED7" w:rsidRPr="00740C0C" w:rsidRDefault="00FF0ED7" w:rsidP="00FF0ED7">
            <w:pPr>
              <w:spacing w:after="0" w:line="240" w:lineRule="auto"/>
              <w:rPr>
                <w:rFonts w:ascii="Calibri" w:eastAsia="Times New Roman" w:hAnsi="Calibri" w:cs="Calibri"/>
                <w:color w:val="000000"/>
                <w:sz w:val="12"/>
                <w:szCs w:val="12"/>
                <w:lang w:eastAsia="es-CO"/>
              </w:rPr>
            </w:pPr>
            <w:r w:rsidRPr="00740C0C">
              <w:rPr>
                <w:rFonts w:ascii="Calibri" w:eastAsia="Times New Roman" w:hAnsi="Calibri" w:cs="Calibri"/>
                <w:color w:val="000000"/>
                <w:sz w:val="12"/>
                <w:szCs w:val="12"/>
                <w:lang w:eastAsia="es-CO"/>
              </w:rPr>
              <w:t>$ 2.430,00</w:t>
            </w:r>
          </w:p>
        </w:tc>
        <w:tc>
          <w:tcPr>
            <w:tcW w:w="352" w:type="pct"/>
            <w:shd w:val="clear" w:color="000000" w:fill="D9D9D9"/>
            <w:noWrap/>
            <w:hideMark/>
          </w:tcPr>
          <w:p w14:paraId="2A989D14"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3BCEE3A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0,47</w:t>
            </w:r>
          </w:p>
        </w:tc>
        <w:tc>
          <w:tcPr>
            <w:tcW w:w="497" w:type="pct"/>
            <w:shd w:val="clear" w:color="000000" w:fill="D9D9D9"/>
            <w:noWrap/>
            <w:hideMark/>
          </w:tcPr>
          <w:p w14:paraId="0B0154C5"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$ 481.398,51</w:t>
            </w:r>
          </w:p>
        </w:tc>
        <w:tc>
          <w:tcPr>
            <w:tcW w:w="557" w:type="pct"/>
            <w:shd w:val="clear" w:color="000000" w:fill="D9D9D9"/>
            <w:noWrap/>
            <w:hideMark/>
          </w:tcPr>
          <w:p w14:paraId="4D1DB2C7" w14:textId="1300EF4E"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13.479.158,30</w:t>
            </w:r>
          </w:p>
        </w:tc>
      </w:tr>
      <w:tr w:rsidR="00FF0ED7" w:rsidRPr="00740C0C" w14:paraId="79053B69" w14:textId="77777777" w:rsidTr="00FF0ED7">
        <w:trPr>
          <w:trHeight w:val="315"/>
        </w:trPr>
        <w:tc>
          <w:tcPr>
            <w:tcW w:w="253" w:type="pct"/>
            <w:shd w:val="clear" w:color="auto" w:fill="auto"/>
            <w:noWrap/>
            <w:hideMark/>
          </w:tcPr>
          <w:p w14:paraId="15456E7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1978</w:t>
            </w:r>
          </w:p>
        </w:tc>
        <w:tc>
          <w:tcPr>
            <w:tcW w:w="223" w:type="pct"/>
            <w:shd w:val="clear" w:color="auto" w:fill="auto"/>
            <w:noWrap/>
            <w:hideMark/>
          </w:tcPr>
          <w:p w14:paraId="23AC990A"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w:t>
            </w:r>
          </w:p>
        </w:tc>
        <w:tc>
          <w:tcPr>
            <w:tcW w:w="181" w:type="pct"/>
            <w:shd w:val="clear" w:color="auto" w:fill="auto"/>
            <w:noWrap/>
            <w:hideMark/>
          </w:tcPr>
          <w:p w14:paraId="2F77D021"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253" w:type="pct"/>
            <w:shd w:val="clear" w:color="auto" w:fill="auto"/>
            <w:noWrap/>
            <w:hideMark/>
          </w:tcPr>
          <w:p w14:paraId="22783E02"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1978</w:t>
            </w:r>
          </w:p>
        </w:tc>
        <w:tc>
          <w:tcPr>
            <w:tcW w:w="223" w:type="pct"/>
            <w:shd w:val="clear" w:color="auto" w:fill="auto"/>
            <w:noWrap/>
            <w:hideMark/>
          </w:tcPr>
          <w:p w14:paraId="79EF9928"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12</w:t>
            </w:r>
          </w:p>
        </w:tc>
        <w:tc>
          <w:tcPr>
            <w:tcW w:w="182" w:type="pct"/>
            <w:shd w:val="clear" w:color="auto" w:fill="auto"/>
            <w:noWrap/>
            <w:hideMark/>
          </w:tcPr>
          <w:p w14:paraId="77D389D7" w14:textId="77777777" w:rsidR="00FF0ED7" w:rsidRPr="00740C0C" w:rsidRDefault="00FF0ED7" w:rsidP="00FF0ED7">
            <w:pPr>
              <w:spacing w:after="0" w:line="240" w:lineRule="auto"/>
              <w:rPr>
                <w:rFonts w:ascii="Calibri" w:eastAsia="Times New Roman" w:hAnsi="Calibri" w:cs="Calibri"/>
                <w:color w:val="000000"/>
                <w:sz w:val="12"/>
                <w:szCs w:val="12"/>
                <w:lang w:eastAsia="es-CO"/>
              </w:rPr>
            </w:pPr>
            <w:r w:rsidRPr="00740C0C">
              <w:rPr>
                <w:rFonts w:ascii="Calibri" w:eastAsia="Times New Roman" w:hAnsi="Calibri" w:cs="Calibri"/>
                <w:color w:val="000000"/>
                <w:sz w:val="12"/>
                <w:szCs w:val="12"/>
                <w:lang w:eastAsia="es-CO"/>
              </w:rPr>
              <w:t>31</w:t>
            </w:r>
          </w:p>
        </w:tc>
        <w:tc>
          <w:tcPr>
            <w:tcW w:w="319" w:type="pct"/>
            <w:shd w:val="clear" w:color="000000" w:fill="C0C0C0"/>
            <w:noWrap/>
            <w:hideMark/>
          </w:tcPr>
          <w:p w14:paraId="095BF61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306</w:t>
            </w:r>
          </w:p>
        </w:tc>
        <w:tc>
          <w:tcPr>
            <w:tcW w:w="358" w:type="pct"/>
            <w:shd w:val="clear" w:color="000000" w:fill="C0C0C0"/>
            <w:noWrap/>
            <w:hideMark/>
          </w:tcPr>
          <w:p w14:paraId="27FD9DD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43,71</w:t>
            </w:r>
          </w:p>
        </w:tc>
        <w:tc>
          <w:tcPr>
            <w:tcW w:w="339" w:type="pct"/>
            <w:shd w:val="clear" w:color="000000" w:fill="C0C0C0"/>
            <w:noWrap/>
            <w:hideMark/>
          </w:tcPr>
          <w:p w14:paraId="479DED45"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4,5</w:t>
            </w:r>
          </w:p>
        </w:tc>
        <w:tc>
          <w:tcPr>
            <w:tcW w:w="409" w:type="pct"/>
            <w:shd w:val="clear" w:color="000000" w:fill="C0C0C0"/>
            <w:noWrap/>
            <w:hideMark/>
          </w:tcPr>
          <w:p w14:paraId="10A43C92"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196,71</w:t>
            </w:r>
          </w:p>
        </w:tc>
        <w:tc>
          <w:tcPr>
            <w:tcW w:w="466" w:type="pct"/>
            <w:shd w:val="clear" w:color="auto" w:fill="auto"/>
            <w:noWrap/>
            <w:hideMark/>
          </w:tcPr>
          <w:p w14:paraId="07B471FA" w14:textId="77777777" w:rsidR="00FF0ED7" w:rsidRPr="00740C0C" w:rsidRDefault="00FF0ED7" w:rsidP="00FF0ED7">
            <w:pPr>
              <w:spacing w:after="0" w:line="240" w:lineRule="auto"/>
              <w:rPr>
                <w:rFonts w:ascii="Calibri" w:eastAsia="Times New Roman" w:hAnsi="Calibri" w:cs="Calibri"/>
                <w:color w:val="000000"/>
                <w:sz w:val="12"/>
                <w:szCs w:val="12"/>
                <w:lang w:eastAsia="es-CO"/>
              </w:rPr>
            </w:pPr>
            <w:r w:rsidRPr="00740C0C">
              <w:rPr>
                <w:rFonts w:ascii="Calibri" w:eastAsia="Times New Roman" w:hAnsi="Calibri" w:cs="Calibri"/>
                <w:color w:val="000000"/>
                <w:sz w:val="12"/>
                <w:szCs w:val="12"/>
                <w:lang w:eastAsia="es-CO"/>
              </w:rPr>
              <w:t>$ 17.790,00</w:t>
            </w:r>
          </w:p>
        </w:tc>
        <w:tc>
          <w:tcPr>
            <w:tcW w:w="352" w:type="pct"/>
            <w:shd w:val="clear" w:color="000000" w:fill="D9D9D9"/>
            <w:noWrap/>
            <w:hideMark/>
          </w:tcPr>
          <w:p w14:paraId="30853B7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0248290B"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0,47</w:t>
            </w:r>
          </w:p>
        </w:tc>
        <w:tc>
          <w:tcPr>
            <w:tcW w:w="497" w:type="pct"/>
            <w:shd w:val="clear" w:color="000000" w:fill="D9D9D9"/>
            <w:noWrap/>
            <w:hideMark/>
          </w:tcPr>
          <w:p w14:paraId="255B3D6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$ 3.524.312,55</w:t>
            </w:r>
          </w:p>
        </w:tc>
        <w:tc>
          <w:tcPr>
            <w:tcW w:w="557" w:type="pct"/>
            <w:shd w:val="clear" w:color="000000" w:fill="D9D9D9"/>
            <w:noWrap/>
            <w:hideMark/>
          </w:tcPr>
          <w:p w14:paraId="38503B71" w14:textId="0004D276"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1.078.439.641,28</w:t>
            </w:r>
          </w:p>
        </w:tc>
      </w:tr>
      <w:tr w:rsidR="00FF0ED7" w:rsidRPr="00740C0C" w14:paraId="663796C5" w14:textId="77777777" w:rsidTr="00FF0ED7">
        <w:trPr>
          <w:trHeight w:val="315"/>
        </w:trPr>
        <w:tc>
          <w:tcPr>
            <w:tcW w:w="253" w:type="pct"/>
            <w:shd w:val="clear" w:color="auto" w:fill="auto"/>
            <w:noWrap/>
            <w:hideMark/>
          </w:tcPr>
          <w:p w14:paraId="58C5116C"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1979</w:t>
            </w:r>
          </w:p>
        </w:tc>
        <w:tc>
          <w:tcPr>
            <w:tcW w:w="223" w:type="pct"/>
            <w:shd w:val="clear" w:color="auto" w:fill="auto"/>
            <w:noWrap/>
            <w:hideMark/>
          </w:tcPr>
          <w:p w14:paraId="1B3A33D4"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181" w:type="pct"/>
            <w:shd w:val="clear" w:color="auto" w:fill="auto"/>
            <w:noWrap/>
            <w:hideMark/>
          </w:tcPr>
          <w:p w14:paraId="22E30C75"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253" w:type="pct"/>
            <w:shd w:val="clear" w:color="auto" w:fill="auto"/>
            <w:noWrap/>
            <w:hideMark/>
          </w:tcPr>
          <w:p w14:paraId="7B61A012"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1979</w:t>
            </w:r>
          </w:p>
        </w:tc>
        <w:tc>
          <w:tcPr>
            <w:tcW w:w="223" w:type="pct"/>
            <w:shd w:val="clear" w:color="auto" w:fill="auto"/>
            <w:noWrap/>
            <w:hideMark/>
          </w:tcPr>
          <w:p w14:paraId="6B46BBE3"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2</w:t>
            </w:r>
          </w:p>
        </w:tc>
        <w:tc>
          <w:tcPr>
            <w:tcW w:w="182" w:type="pct"/>
            <w:shd w:val="clear" w:color="auto" w:fill="auto"/>
            <w:noWrap/>
            <w:hideMark/>
          </w:tcPr>
          <w:p w14:paraId="13A2DC4B" w14:textId="77777777" w:rsidR="00FF0ED7" w:rsidRPr="00740C0C" w:rsidRDefault="00FF0ED7" w:rsidP="00FF0ED7">
            <w:pPr>
              <w:spacing w:after="0" w:line="240" w:lineRule="auto"/>
              <w:rPr>
                <w:rFonts w:ascii="Calibri" w:eastAsia="Times New Roman" w:hAnsi="Calibri" w:cs="Calibri"/>
                <w:color w:val="000000"/>
                <w:sz w:val="12"/>
                <w:szCs w:val="12"/>
                <w:lang w:eastAsia="es-CO"/>
              </w:rPr>
            </w:pPr>
            <w:r w:rsidRPr="00740C0C">
              <w:rPr>
                <w:rFonts w:ascii="Calibri" w:eastAsia="Times New Roman" w:hAnsi="Calibri" w:cs="Calibri"/>
                <w:color w:val="000000"/>
                <w:sz w:val="12"/>
                <w:szCs w:val="12"/>
                <w:lang w:eastAsia="es-CO"/>
              </w:rPr>
              <w:t>28</w:t>
            </w:r>
          </w:p>
        </w:tc>
        <w:tc>
          <w:tcPr>
            <w:tcW w:w="319" w:type="pct"/>
            <w:shd w:val="clear" w:color="000000" w:fill="C0C0C0"/>
            <w:noWrap/>
            <w:hideMark/>
          </w:tcPr>
          <w:p w14:paraId="69E9E137"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59</w:t>
            </w:r>
          </w:p>
        </w:tc>
        <w:tc>
          <w:tcPr>
            <w:tcW w:w="358" w:type="pct"/>
            <w:shd w:val="clear" w:color="000000" w:fill="C0C0C0"/>
            <w:noWrap/>
            <w:hideMark/>
          </w:tcPr>
          <w:p w14:paraId="4C71EF1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8,43</w:t>
            </w:r>
          </w:p>
        </w:tc>
        <w:tc>
          <w:tcPr>
            <w:tcW w:w="339" w:type="pct"/>
            <w:shd w:val="clear" w:color="000000" w:fill="C0C0C0"/>
            <w:noWrap/>
            <w:hideMark/>
          </w:tcPr>
          <w:p w14:paraId="49EF4091"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4,5</w:t>
            </w:r>
          </w:p>
        </w:tc>
        <w:tc>
          <w:tcPr>
            <w:tcW w:w="409" w:type="pct"/>
            <w:shd w:val="clear" w:color="000000" w:fill="C0C0C0"/>
            <w:noWrap/>
            <w:hideMark/>
          </w:tcPr>
          <w:p w14:paraId="7A8CDF60"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37,93</w:t>
            </w:r>
          </w:p>
        </w:tc>
        <w:tc>
          <w:tcPr>
            <w:tcW w:w="466" w:type="pct"/>
            <w:shd w:val="clear" w:color="auto" w:fill="auto"/>
            <w:noWrap/>
            <w:hideMark/>
          </w:tcPr>
          <w:p w14:paraId="09626AE0" w14:textId="77777777" w:rsidR="00FF0ED7" w:rsidRPr="00740C0C" w:rsidRDefault="00FF0ED7" w:rsidP="00FF0ED7">
            <w:pPr>
              <w:spacing w:after="0" w:line="240" w:lineRule="auto"/>
              <w:rPr>
                <w:rFonts w:ascii="Calibri" w:eastAsia="Times New Roman" w:hAnsi="Calibri" w:cs="Calibri"/>
                <w:color w:val="000000"/>
                <w:sz w:val="12"/>
                <w:szCs w:val="12"/>
                <w:lang w:eastAsia="es-CO"/>
              </w:rPr>
            </w:pPr>
            <w:r w:rsidRPr="00740C0C">
              <w:rPr>
                <w:rFonts w:ascii="Calibri" w:eastAsia="Times New Roman" w:hAnsi="Calibri" w:cs="Calibri"/>
                <w:color w:val="000000"/>
                <w:sz w:val="12"/>
                <w:szCs w:val="12"/>
                <w:lang w:eastAsia="es-CO"/>
              </w:rPr>
              <w:t>$ 17.790,00</w:t>
            </w:r>
          </w:p>
        </w:tc>
        <w:tc>
          <w:tcPr>
            <w:tcW w:w="352" w:type="pct"/>
            <w:shd w:val="clear" w:color="000000" w:fill="D9D9D9"/>
            <w:noWrap/>
            <w:hideMark/>
          </w:tcPr>
          <w:p w14:paraId="1FAAD6B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77FCCF72"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0,56</w:t>
            </w:r>
          </w:p>
        </w:tc>
        <w:tc>
          <w:tcPr>
            <w:tcW w:w="497" w:type="pct"/>
            <w:shd w:val="clear" w:color="000000" w:fill="D9D9D9"/>
            <w:noWrap/>
            <w:hideMark/>
          </w:tcPr>
          <w:p w14:paraId="38AF50DC"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$ 2.957.905,18</w:t>
            </w:r>
          </w:p>
        </w:tc>
        <w:tc>
          <w:tcPr>
            <w:tcW w:w="557" w:type="pct"/>
            <w:shd w:val="clear" w:color="000000" w:fill="D9D9D9"/>
            <w:noWrap/>
            <w:hideMark/>
          </w:tcPr>
          <w:p w14:paraId="38BDD8EC" w14:textId="37E014F3"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174.516.405,54</w:t>
            </w:r>
          </w:p>
        </w:tc>
      </w:tr>
      <w:tr w:rsidR="00FF0ED7" w:rsidRPr="00740C0C" w14:paraId="61F5B145" w14:textId="77777777" w:rsidTr="00FF0ED7">
        <w:trPr>
          <w:trHeight w:val="315"/>
        </w:trPr>
        <w:tc>
          <w:tcPr>
            <w:tcW w:w="253" w:type="pct"/>
            <w:shd w:val="clear" w:color="auto" w:fill="auto"/>
            <w:noWrap/>
            <w:hideMark/>
          </w:tcPr>
          <w:p w14:paraId="7D9FF6E1"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1979</w:t>
            </w:r>
          </w:p>
        </w:tc>
        <w:tc>
          <w:tcPr>
            <w:tcW w:w="223" w:type="pct"/>
            <w:shd w:val="clear" w:color="auto" w:fill="auto"/>
            <w:noWrap/>
            <w:hideMark/>
          </w:tcPr>
          <w:p w14:paraId="7CCF047B"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w:t>
            </w:r>
          </w:p>
        </w:tc>
        <w:tc>
          <w:tcPr>
            <w:tcW w:w="181" w:type="pct"/>
            <w:shd w:val="clear" w:color="auto" w:fill="auto"/>
            <w:noWrap/>
            <w:hideMark/>
          </w:tcPr>
          <w:p w14:paraId="2CEBCE82"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253" w:type="pct"/>
            <w:shd w:val="clear" w:color="auto" w:fill="auto"/>
            <w:noWrap/>
            <w:hideMark/>
          </w:tcPr>
          <w:p w14:paraId="6D5E1363"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1979</w:t>
            </w:r>
          </w:p>
        </w:tc>
        <w:tc>
          <w:tcPr>
            <w:tcW w:w="223" w:type="pct"/>
            <w:shd w:val="clear" w:color="auto" w:fill="auto"/>
            <w:noWrap/>
            <w:hideMark/>
          </w:tcPr>
          <w:p w14:paraId="4D1AA5B7"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12</w:t>
            </w:r>
          </w:p>
        </w:tc>
        <w:tc>
          <w:tcPr>
            <w:tcW w:w="182" w:type="pct"/>
            <w:shd w:val="clear" w:color="auto" w:fill="auto"/>
            <w:noWrap/>
            <w:hideMark/>
          </w:tcPr>
          <w:p w14:paraId="125434ED" w14:textId="77777777" w:rsidR="00FF0ED7" w:rsidRPr="00740C0C" w:rsidRDefault="00FF0ED7" w:rsidP="00FF0ED7">
            <w:pPr>
              <w:spacing w:after="0" w:line="240" w:lineRule="auto"/>
              <w:rPr>
                <w:rFonts w:ascii="Calibri" w:eastAsia="Times New Roman" w:hAnsi="Calibri" w:cs="Calibri"/>
                <w:color w:val="000000"/>
                <w:sz w:val="12"/>
                <w:szCs w:val="12"/>
                <w:lang w:eastAsia="es-CO"/>
              </w:rPr>
            </w:pPr>
            <w:r w:rsidRPr="00740C0C">
              <w:rPr>
                <w:rFonts w:ascii="Calibri" w:eastAsia="Times New Roman" w:hAnsi="Calibri" w:cs="Calibri"/>
                <w:color w:val="000000"/>
                <w:sz w:val="12"/>
                <w:szCs w:val="12"/>
                <w:lang w:eastAsia="es-CO"/>
              </w:rPr>
              <w:t>31</w:t>
            </w:r>
          </w:p>
        </w:tc>
        <w:tc>
          <w:tcPr>
            <w:tcW w:w="319" w:type="pct"/>
            <w:shd w:val="clear" w:color="000000" w:fill="C0C0C0"/>
            <w:noWrap/>
            <w:hideMark/>
          </w:tcPr>
          <w:p w14:paraId="437F1A99"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306</w:t>
            </w:r>
          </w:p>
        </w:tc>
        <w:tc>
          <w:tcPr>
            <w:tcW w:w="358" w:type="pct"/>
            <w:shd w:val="clear" w:color="000000" w:fill="C0C0C0"/>
            <w:noWrap/>
            <w:hideMark/>
          </w:tcPr>
          <w:p w14:paraId="7E2C49C0"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43,71</w:t>
            </w:r>
          </w:p>
        </w:tc>
        <w:tc>
          <w:tcPr>
            <w:tcW w:w="339" w:type="pct"/>
            <w:shd w:val="clear" w:color="000000" w:fill="C0C0C0"/>
            <w:noWrap/>
            <w:hideMark/>
          </w:tcPr>
          <w:p w14:paraId="041659B8"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4,5</w:t>
            </w:r>
          </w:p>
        </w:tc>
        <w:tc>
          <w:tcPr>
            <w:tcW w:w="409" w:type="pct"/>
            <w:shd w:val="clear" w:color="000000" w:fill="C0C0C0"/>
            <w:noWrap/>
            <w:hideMark/>
          </w:tcPr>
          <w:p w14:paraId="687C8AD5"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196,71</w:t>
            </w:r>
          </w:p>
        </w:tc>
        <w:tc>
          <w:tcPr>
            <w:tcW w:w="466" w:type="pct"/>
            <w:shd w:val="clear" w:color="auto" w:fill="auto"/>
            <w:noWrap/>
            <w:hideMark/>
          </w:tcPr>
          <w:p w14:paraId="0CE706EB" w14:textId="77777777" w:rsidR="00FF0ED7" w:rsidRPr="00740C0C" w:rsidRDefault="00FF0ED7" w:rsidP="00FF0ED7">
            <w:pPr>
              <w:spacing w:after="0" w:line="240" w:lineRule="auto"/>
              <w:rPr>
                <w:rFonts w:ascii="Calibri" w:eastAsia="Times New Roman" w:hAnsi="Calibri" w:cs="Calibri"/>
                <w:color w:val="000000"/>
                <w:sz w:val="12"/>
                <w:szCs w:val="12"/>
                <w:lang w:eastAsia="es-CO"/>
              </w:rPr>
            </w:pPr>
            <w:r w:rsidRPr="00740C0C">
              <w:rPr>
                <w:rFonts w:ascii="Calibri" w:eastAsia="Times New Roman" w:hAnsi="Calibri" w:cs="Calibri"/>
                <w:color w:val="000000"/>
                <w:sz w:val="12"/>
                <w:szCs w:val="12"/>
                <w:lang w:eastAsia="es-CO"/>
              </w:rPr>
              <w:t>$ 21.420,00</w:t>
            </w:r>
          </w:p>
        </w:tc>
        <w:tc>
          <w:tcPr>
            <w:tcW w:w="352" w:type="pct"/>
            <w:shd w:val="clear" w:color="000000" w:fill="D9D9D9"/>
            <w:noWrap/>
            <w:hideMark/>
          </w:tcPr>
          <w:p w14:paraId="16010A50"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40F56798"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0,56</w:t>
            </w:r>
          </w:p>
        </w:tc>
        <w:tc>
          <w:tcPr>
            <w:tcW w:w="497" w:type="pct"/>
            <w:shd w:val="clear" w:color="000000" w:fill="D9D9D9"/>
            <w:noWrap/>
            <w:hideMark/>
          </w:tcPr>
          <w:p w14:paraId="21940577"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$ 3.561.457,50</w:t>
            </w:r>
          </w:p>
        </w:tc>
        <w:tc>
          <w:tcPr>
            <w:tcW w:w="557" w:type="pct"/>
            <w:shd w:val="clear" w:color="000000" w:fill="D9D9D9"/>
            <w:noWrap/>
            <w:hideMark/>
          </w:tcPr>
          <w:p w14:paraId="46A27880" w14:textId="0549FE02"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1.089.805.995,00</w:t>
            </w:r>
          </w:p>
        </w:tc>
      </w:tr>
      <w:tr w:rsidR="00FF0ED7" w:rsidRPr="00740C0C" w14:paraId="3836BC25" w14:textId="77777777" w:rsidTr="00FF0ED7">
        <w:trPr>
          <w:trHeight w:val="315"/>
        </w:trPr>
        <w:tc>
          <w:tcPr>
            <w:tcW w:w="253" w:type="pct"/>
            <w:shd w:val="clear" w:color="auto" w:fill="auto"/>
            <w:noWrap/>
            <w:hideMark/>
          </w:tcPr>
          <w:p w14:paraId="299E9E0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1980</w:t>
            </w:r>
          </w:p>
        </w:tc>
        <w:tc>
          <w:tcPr>
            <w:tcW w:w="223" w:type="pct"/>
            <w:shd w:val="clear" w:color="auto" w:fill="auto"/>
            <w:noWrap/>
            <w:hideMark/>
          </w:tcPr>
          <w:p w14:paraId="45222779"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181" w:type="pct"/>
            <w:shd w:val="clear" w:color="auto" w:fill="auto"/>
            <w:noWrap/>
            <w:hideMark/>
          </w:tcPr>
          <w:p w14:paraId="4A512320"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253" w:type="pct"/>
            <w:shd w:val="clear" w:color="auto" w:fill="auto"/>
            <w:noWrap/>
            <w:hideMark/>
          </w:tcPr>
          <w:p w14:paraId="25BD581F"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1980</w:t>
            </w:r>
          </w:p>
        </w:tc>
        <w:tc>
          <w:tcPr>
            <w:tcW w:w="223" w:type="pct"/>
            <w:shd w:val="clear" w:color="auto" w:fill="auto"/>
            <w:noWrap/>
            <w:hideMark/>
          </w:tcPr>
          <w:p w14:paraId="6BEA5A67"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2</w:t>
            </w:r>
          </w:p>
        </w:tc>
        <w:tc>
          <w:tcPr>
            <w:tcW w:w="182" w:type="pct"/>
            <w:shd w:val="clear" w:color="auto" w:fill="auto"/>
            <w:noWrap/>
            <w:hideMark/>
          </w:tcPr>
          <w:p w14:paraId="189B03A7"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29</w:t>
            </w:r>
          </w:p>
        </w:tc>
        <w:tc>
          <w:tcPr>
            <w:tcW w:w="319" w:type="pct"/>
            <w:shd w:val="clear" w:color="000000" w:fill="C0C0C0"/>
            <w:noWrap/>
            <w:hideMark/>
          </w:tcPr>
          <w:p w14:paraId="0DE7D63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60</w:t>
            </w:r>
          </w:p>
        </w:tc>
        <w:tc>
          <w:tcPr>
            <w:tcW w:w="358" w:type="pct"/>
            <w:shd w:val="clear" w:color="000000" w:fill="C0C0C0"/>
            <w:noWrap/>
            <w:hideMark/>
          </w:tcPr>
          <w:p w14:paraId="1212C152"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8,57</w:t>
            </w:r>
          </w:p>
        </w:tc>
        <w:tc>
          <w:tcPr>
            <w:tcW w:w="339" w:type="pct"/>
            <w:shd w:val="clear" w:color="000000" w:fill="C0C0C0"/>
            <w:noWrap/>
            <w:hideMark/>
          </w:tcPr>
          <w:p w14:paraId="748F347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4,5</w:t>
            </w:r>
          </w:p>
        </w:tc>
        <w:tc>
          <w:tcPr>
            <w:tcW w:w="409" w:type="pct"/>
            <w:shd w:val="clear" w:color="000000" w:fill="C0C0C0"/>
            <w:noWrap/>
            <w:hideMark/>
          </w:tcPr>
          <w:p w14:paraId="34DD871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38,57</w:t>
            </w:r>
          </w:p>
        </w:tc>
        <w:tc>
          <w:tcPr>
            <w:tcW w:w="466" w:type="pct"/>
            <w:shd w:val="clear" w:color="auto" w:fill="auto"/>
            <w:noWrap/>
            <w:hideMark/>
          </w:tcPr>
          <w:p w14:paraId="319525FF"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$ 21.420,00</w:t>
            </w:r>
          </w:p>
        </w:tc>
        <w:tc>
          <w:tcPr>
            <w:tcW w:w="352" w:type="pct"/>
            <w:shd w:val="clear" w:color="000000" w:fill="D9D9D9"/>
            <w:noWrap/>
            <w:hideMark/>
          </w:tcPr>
          <w:p w14:paraId="41DF85E6"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37208F5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0,72</w:t>
            </w:r>
          </w:p>
        </w:tc>
        <w:tc>
          <w:tcPr>
            <w:tcW w:w="497" w:type="pct"/>
            <w:shd w:val="clear" w:color="000000" w:fill="D9D9D9"/>
            <w:noWrap/>
            <w:hideMark/>
          </w:tcPr>
          <w:p w14:paraId="7728AF35"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$ 2.770.022,50</w:t>
            </w:r>
          </w:p>
        </w:tc>
        <w:tc>
          <w:tcPr>
            <w:tcW w:w="557" w:type="pct"/>
            <w:shd w:val="clear" w:color="000000" w:fill="D9D9D9"/>
            <w:noWrap/>
            <w:hideMark/>
          </w:tcPr>
          <w:p w14:paraId="6ED68EF2" w14:textId="238C2BAC"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166.201.350,00</w:t>
            </w:r>
          </w:p>
        </w:tc>
      </w:tr>
      <w:tr w:rsidR="00FF0ED7" w:rsidRPr="00740C0C" w14:paraId="0AF0F9B4" w14:textId="77777777" w:rsidTr="00FF0ED7">
        <w:trPr>
          <w:trHeight w:val="315"/>
        </w:trPr>
        <w:tc>
          <w:tcPr>
            <w:tcW w:w="253" w:type="pct"/>
            <w:shd w:val="clear" w:color="auto" w:fill="auto"/>
            <w:noWrap/>
            <w:hideMark/>
          </w:tcPr>
          <w:p w14:paraId="26DCB661"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1980</w:t>
            </w:r>
          </w:p>
        </w:tc>
        <w:tc>
          <w:tcPr>
            <w:tcW w:w="223" w:type="pct"/>
            <w:shd w:val="clear" w:color="auto" w:fill="auto"/>
            <w:noWrap/>
            <w:hideMark/>
          </w:tcPr>
          <w:p w14:paraId="7C4D6008"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w:t>
            </w:r>
          </w:p>
        </w:tc>
        <w:tc>
          <w:tcPr>
            <w:tcW w:w="181" w:type="pct"/>
            <w:shd w:val="clear" w:color="auto" w:fill="auto"/>
            <w:noWrap/>
            <w:hideMark/>
          </w:tcPr>
          <w:p w14:paraId="3F6A06F8"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253" w:type="pct"/>
            <w:shd w:val="clear" w:color="auto" w:fill="auto"/>
            <w:noWrap/>
            <w:hideMark/>
          </w:tcPr>
          <w:p w14:paraId="619A3FD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1980</w:t>
            </w:r>
          </w:p>
        </w:tc>
        <w:tc>
          <w:tcPr>
            <w:tcW w:w="223" w:type="pct"/>
            <w:shd w:val="clear" w:color="auto" w:fill="auto"/>
            <w:noWrap/>
            <w:hideMark/>
          </w:tcPr>
          <w:p w14:paraId="75911770"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w:t>
            </w:r>
          </w:p>
        </w:tc>
        <w:tc>
          <w:tcPr>
            <w:tcW w:w="182" w:type="pct"/>
            <w:shd w:val="clear" w:color="auto" w:fill="auto"/>
            <w:noWrap/>
            <w:hideMark/>
          </w:tcPr>
          <w:p w14:paraId="5A3D2430"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15</w:t>
            </w:r>
          </w:p>
        </w:tc>
        <w:tc>
          <w:tcPr>
            <w:tcW w:w="319" w:type="pct"/>
            <w:shd w:val="clear" w:color="000000" w:fill="C0C0C0"/>
            <w:noWrap/>
            <w:hideMark/>
          </w:tcPr>
          <w:p w14:paraId="76A2330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199</w:t>
            </w:r>
          </w:p>
        </w:tc>
        <w:tc>
          <w:tcPr>
            <w:tcW w:w="358" w:type="pct"/>
            <w:shd w:val="clear" w:color="000000" w:fill="C0C0C0"/>
            <w:noWrap/>
            <w:hideMark/>
          </w:tcPr>
          <w:p w14:paraId="478D9653"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28,43</w:t>
            </w:r>
          </w:p>
        </w:tc>
        <w:tc>
          <w:tcPr>
            <w:tcW w:w="339" w:type="pct"/>
            <w:shd w:val="clear" w:color="000000" w:fill="C0C0C0"/>
            <w:noWrap/>
            <w:hideMark/>
          </w:tcPr>
          <w:p w14:paraId="1DCCB9E8"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4,5</w:t>
            </w:r>
          </w:p>
        </w:tc>
        <w:tc>
          <w:tcPr>
            <w:tcW w:w="409" w:type="pct"/>
            <w:shd w:val="clear" w:color="000000" w:fill="C0C0C0"/>
            <w:noWrap/>
            <w:hideMark/>
          </w:tcPr>
          <w:p w14:paraId="5204C542"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127,93</w:t>
            </w:r>
          </w:p>
        </w:tc>
        <w:tc>
          <w:tcPr>
            <w:tcW w:w="466" w:type="pct"/>
            <w:shd w:val="clear" w:color="auto" w:fill="auto"/>
            <w:noWrap/>
            <w:hideMark/>
          </w:tcPr>
          <w:p w14:paraId="1C1055D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$ 30.150,00</w:t>
            </w:r>
          </w:p>
        </w:tc>
        <w:tc>
          <w:tcPr>
            <w:tcW w:w="352" w:type="pct"/>
            <w:shd w:val="clear" w:color="000000" w:fill="D9D9D9"/>
            <w:noWrap/>
            <w:hideMark/>
          </w:tcPr>
          <w:p w14:paraId="39BAAD71"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499C9DB2"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0,72</w:t>
            </w:r>
          </w:p>
        </w:tc>
        <w:tc>
          <w:tcPr>
            <w:tcW w:w="497" w:type="pct"/>
            <w:shd w:val="clear" w:color="000000" w:fill="D9D9D9"/>
            <w:noWrap/>
            <w:hideMark/>
          </w:tcPr>
          <w:p w14:paraId="185A80BF"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$ 3.898.981,25</w:t>
            </w:r>
          </w:p>
        </w:tc>
        <w:tc>
          <w:tcPr>
            <w:tcW w:w="557" w:type="pct"/>
            <w:shd w:val="clear" w:color="000000" w:fill="D9D9D9"/>
            <w:noWrap/>
            <w:hideMark/>
          </w:tcPr>
          <w:p w14:paraId="6309D303" w14:textId="2ABD1DB6"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775.897.268,75</w:t>
            </w:r>
          </w:p>
        </w:tc>
      </w:tr>
      <w:tr w:rsidR="00FF0ED7" w:rsidRPr="00740C0C" w14:paraId="27D8B44E" w14:textId="77777777" w:rsidTr="00FF0ED7">
        <w:trPr>
          <w:trHeight w:val="315"/>
        </w:trPr>
        <w:tc>
          <w:tcPr>
            <w:tcW w:w="253" w:type="pct"/>
            <w:shd w:val="clear" w:color="auto" w:fill="auto"/>
            <w:noWrap/>
            <w:hideMark/>
          </w:tcPr>
          <w:p w14:paraId="59A8192C"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1980</w:t>
            </w:r>
          </w:p>
        </w:tc>
        <w:tc>
          <w:tcPr>
            <w:tcW w:w="223" w:type="pct"/>
            <w:shd w:val="clear" w:color="auto" w:fill="auto"/>
            <w:noWrap/>
            <w:hideMark/>
          </w:tcPr>
          <w:p w14:paraId="20DAA253"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w:t>
            </w:r>
          </w:p>
        </w:tc>
        <w:tc>
          <w:tcPr>
            <w:tcW w:w="181" w:type="pct"/>
            <w:shd w:val="clear" w:color="auto" w:fill="auto"/>
            <w:noWrap/>
            <w:hideMark/>
          </w:tcPr>
          <w:p w14:paraId="7E920EDC"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16</w:t>
            </w:r>
          </w:p>
        </w:tc>
        <w:tc>
          <w:tcPr>
            <w:tcW w:w="253" w:type="pct"/>
            <w:shd w:val="clear" w:color="auto" w:fill="auto"/>
            <w:noWrap/>
            <w:hideMark/>
          </w:tcPr>
          <w:p w14:paraId="4450FD6A"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1980</w:t>
            </w:r>
          </w:p>
        </w:tc>
        <w:tc>
          <w:tcPr>
            <w:tcW w:w="223" w:type="pct"/>
            <w:shd w:val="clear" w:color="auto" w:fill="auto"/>
            <w:noWrap/>
            <w:hideMark/>
          </w:tcPr>
          <w:p w14:paraId="7216B022"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12</w:t>
            </w:r>
          </w:p>
        </w:tc>
        <w:tc>
          <w:tcPr>
            <w:tcW w:w="182" w:type="pct"/>
            <w:shd w:val="clear" w:color="auto" w:fill="auto"/>
            <w:noWrap/>
            <w:hideMark/>
          </w:tcPr>
          <w:p w14:paraId="6B700661"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31</w:t>
            </w:r>
          </w:p>
        </w:tc>
        <w:tc>
          <w:tcPr>
            <w:tcW w:w="319" w:type="pct"/>
            <w:shd w:val="clear" w:color="000000" w:fill="C0C0C0"/>
            <w:noWrap/>
            <w:hideMark/>
          </w:tcPr>
          <w:p w14:paraId="43B1A528"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107</w:t>
            </w:r>
          </w:p>
        </w:tc>
        <w:tc>
          <w:tcPr>
            <w:tcW w:w="358" w:type="pct"/>
            <w:shd w:val="clear" w:color="000000" w:fill="C0C0C0"/>
            <w:noWrap/>
            <w:hideMark/>
          </w:tcPr>
          <w:p w14:paraId="1119DB5B"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15,29</w:t>
            </w:r>
          </w:p>
        </w:tc>
        <w:tc>
          <w:tcPr>
            <w:tcW w:w="339" w:type="pct"/>
            <w:shd w:val="clear" w:color="000000" w:fill="C0C0C0"/>
            <w:noWrap/>
            <w:hideMark/>
          </w:tcPr>
          <w:p w14:paraId="2800F426"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4,5</w:t>
            </w:r>
          </w:p>
        </w:tc>
        <w:tc>
          <w:tcPr>
            <w:tcW w:w="409" w:type="pct"/>
            <w:shd w:val="clear" w:color="000000" w:fill="C0C0C0"/>
            <w:noWrap/>
            <w:hideMark/>
          </w:tcPr>
          <w:p w14:paraId="47A31139"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68,79</w:t>
            </w:r>
          </w:p>
        </w:tc>
        <w:tc>
          <w:tcPr>
            <w:tcW w:w="466" w:type="pct"/>
            <w:shd w:val="clear" w:color="auto" w:fill="auto"/>
            <w:noWrap/>
            <w:hideMark/>
          </w:tcPr>
          <w:p w14:paraId="55D8931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$ 30.150,00</w:t>
            </w:r>
          </w:p>
        </w:tc>
        <w:tc>
          <w:tcPr>
            <w:tcW w:w="352" w:type="pct"/>
            <w:shd w:val="clear" w:color="000000" w:fill="D9D9D9"/>
            <w:noWrap/>
            <w:hideMark/>
          </w:tcPr>
          <w:p w14:paraId="7090D6D0"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7F8DDF7F"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0,72</w:t>
            </w:r>
          </w:p>
        </w:tc>
        <w:tc>
          <w:tcPr>
            <w:tcW w:w="497" w:type="pct"/>
            <w:shd w:val="clear" w:color="000000" w:fill="D9D9D9"/>
            <w:noWrap/>
            <w:hideMark/>
          </w:tcPr>
          <w:p w14:paraId="00C407BF"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$ 3.898.981,25</w:t>
            </w:r>
          </w:p>
        </w:tc>
        <w:tc>
          <w:tcPr>
            <w:tcW w:w="557" w:type="pct"/>
            <w:shd w:val="clear" w:color="000000" w:fill="D9D9D9"/>
            <w:noWrap/>
            <w:hideMark/>
          </w:tcPr>
          <w:p w14:paraId="7B69E08E" w14:textId="3CAB3788"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417.190.993,75</w:t>
            </w:r>
          </w:p>
        </w:tc>
      </w:tr>
      <w:tr w:rsidR="00FF0ED7" w:rsidRPr="00740C0C" w14:paraId="4289B7CA" w14:textId="77777777" w:rsidTr="00FF0ED7">
        <w:trPr>
          <w:trHeight w:val="315"/>
        </w:trPr>
        <w:tc>
          <w:tcPr>
            <w:tcW w:w="253" w:type="pct"/>
            <w:shd w:val="clear" w:color="auto" w:fill="auto"/>
            <w:noWrap/>
            <w:hideMark/>
          </w:tcPr>
          <w:p w14:paraId="3F89D7FF"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1981</w:t>
            </w:r>
          </w:p>
        </w:tc>
        <w:tc>
          <w:tcPr>
            <w:tcW w:w="223" w:type="pct"/>
            <w:shd w:val="clear" w:color="auto" w:fill="auto"/>
            <w:noWrap/>
            <w:hideMark/>
          </w:tcPr>
          <w:p w14:paraId="26302C4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181" w:type="pct"/>
            <w:shd w:val="clear" w:color="auto" w:fill="auto"/>
            <w:noWrap/>
            <w:hideMark/>
          </w:tcPr>
          <w:p w14:paraId="21205792"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253" w:type="pct"/>
            <w:shd w:val="clear" w:color="auto" w:fill="auto"/>
            <w:noWrap/>
            <w:hideMark/>
          </w:tcPr>
          <w:p w14:paraId="70CC4E75"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1981</w:t>
            </w:r>
          </w:p>
        </w:tc>
        <w:tc>
          <w:tcPr>
            <w:tcW w:w="223" w:type="pct"/>
            <w:shd w:val="clear" w:color="auto" w:fill="auto"/>
            <w:noWrap/>
            <w:hideMark/>
          </w:tcPr>
          <w:p w14:paraId="68EAD736"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8</w:t>
            </w:r>
          </w:p>
        </w:tc>
        <w:tc>
          <w:tcPr>
            <w:tcW w:w="182" w:type="pct"/>
            <w:shd w:val="clear" w:color="auto" w:fill="auto"/>
            <w:noWrap/>
            <w:hideMark/>
          </w:tcPr>
          <w:p w14:paraId="144F2470"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18</w:t>
            </w:r>
          </w:p>
        </w:tc>
        <w:tc>
          <w:tcPr>
            <w:tcW w:w="319" w:type="pct"/>
            <w:shd w:val="clear" w:color="000000" w:fill="C0C0C0"/>
            <w:noWrap/>
            <w:hideMark/>
          </w:tcPr>
          <w:p w14:paraId="3B358CCB"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230</w:t>
            </w:r>
          </w:p>
        </w:tc>
        <w:tc>
          <w:tcPr>
            <w:tcW w:w="358" w:type="pct"/>
            <w:shd w:val="clear" w:color="000000" w:fill="C0C0C0"/>
            <w:noWrap/>
            <w:hideMark/>
          </w:tcPr>
          <w:p w14:paraId="106712C1"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32,86</w:t>
            </w:r>
          </w:p>
        </w:tc>
        <w:tc>
          <w:tcPr>
            <w:tcW w:w="339" w:type="pct"/>
            <w:shd w:val="clear" w:color="000000" w:fill="C0C0C0"/>
            <w:noWrap/>
            <w:hideMark/>
          </w:tcPr>
          <w:p w14:paraId="5D4722C5"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4,5</w:t>
            </w:r>
          </w:p>
        </w:tc>
        <w:tc>
          <w:tcPr>
            <w:tcW w:w="409" w:type="pct"/>
            <w:shd w:val="clear" w:color="000000" w:fill="C0C0C0"/>
            <w:noWrap/>
            <w:hideMark/>
          </w:tcPr>
          <w:p w14:paraId="0D0DC34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147,86</w:t>
            </w:r>
          </w:p>
        </w:tc>
        <w:tc>
          <w:tcPr>
            <w:tcW w:w="466" w:type="pct"/>
            <w:shd w:val="clear" w:color="auto" w:fill="auto"/>
            <w:noWrap/>
            <w:hideMark/>
          </w:tcPr>
          <w:p w14:paraId="640A0B61"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$ 30.150,00</w:t>
            </w:r>
          </w:p>
        </w:tc>
        <w:tc>
          <w:tcPr>
            <w:tcW w:w="352" w:type="pct"/>
            <w:shd w:val="clear" w:color="000000" w:fill="D9D9D9"/>
            <w:noWrap/>
            <w:hideMark/>
          </w:tcPr>
          <w:p w14:paraId="70638118"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345C7566"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0,91</w:t>
            </w:r>
          </w:p>
        </w:tc>
        <w:tc>
          <w:tcPr>
            <w:tcW w:w="497" w:type="pct"/>
            <w:shd w:val="clear" w:color="000000" w:fill="D9D9D9"/>
            <w:noWrap/>
            <w:hideMark/>
          </w:tcPr>
          <w:p w14:paraId="5A10914F"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$ 3.084.908,24</w:t>
            </w:r>
          </w:p>
        </w:tc>
        <w:tc>
          <w:tcPr>
            <w:tcW w:w="557" w:type="pct"/>
            <w:shd w:val="clear" w:color="000000" w:fill="D9D9D9"/>
            <w:noWrap/>
            <w:hideMark/>
          </w:tcPr>
          <w:p w14:paraId="48A379F0" w14:textId="761F55A3"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709.528.895,60</w:t>
            </w:r>
          </w:p>
        </w:tc>
      </w:tr>
      <w:tr w:rsidR="00FF0ED7" w:rsidRPr="00740C0C" w14:paraId="04D56EB0" w14:textId="77777777" w:rsidTr="00FF0ED7">
        <w:trPr>
          <w:trHeight w:val="315"/>
        </w:trPr>
        <w:tc>
          <w:tcPr>
            <w:tcW w:w="253" w:type="pct"/>
            <w:shd w:val="clear" w:color="auto" w:fill="auto"/>
            <w:noWrap/>
            <w:hideMark/>
          </w:tcPr>
          <w:p w14:paraId="385CA4CA"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1981</w:t>
            </w:r>
          </w:p>
        </w:tc>
        <w:tc>
          <w:tcPr>
            <w:tcW w:w="223" w:type="pct"/>
            <w:shd w:val="clear" w:color="auto" w:fill="auto"/>
            <w:noWrap/>
            <w:hideMark/>
          </w:tcPr>
          <w:p w14:paraId="552A9C25"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w:t>
            </w:r>
          </w:p>
        </w:tc>
        <w:tc>
          <w:tcPr>
            <w:tcW w:w="181" w:type="pct"/>
            <w:shd w:val="clear" w:color="auto" w:fill="auto"/>
            <w:noWrap/>
            <w:hideMark/>
          </w:tcPr>
          <w:p w14:paraId="5EB50B36"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253" w:type="pct"/>
            <w:shd w:val="clear" w:color="auto" w:fill="auto"/>
            <w:noWrap/>
            <w:hideMark/>
          </w:tcPr>
          <w:p w14:paraId="627BF34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1981</w:t>
            </w:r>
          </w:p>
        </w:tc>
        <w:tc>
          <w:tcPr>
            <w:tcW w:w="223" w:type="pct"/>
            <w:shd w:val="clear" w:color="auto" w:fill="auto"/>
            <w:noWrap/>
            <w:hideMark/>
          </w:tcPr>
          <w:p w14:paraId="4831C543"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12</w:t>
            </w:r>
          </w:p>
        </w:tc>
        <w:tc>
          <w:tcPr>
            <w:tcW w:w="182" w:type="pct"/>
            <w:shd w:val="clear" w:color="auto" w:fill="auto"/>
            <w:noWrap/>
            <w:hideMark/>
          </w:tcPr>
          <w:p w14:paraId="38697195"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31</w:t>
            </w:r>
          </w:p>
        </w:tc>
        <w:tc>
          <w:tcPr>
            <w:tcW w:w="319" w:type="pct"/>
            <w:shd w:val="clear" w:color="000000" w:fill="C0C0C0"/>
            <w:noWrap/>
            <w:hideMark/>
          </w:tcPr>
          <w:p w14:paraId="40373D97"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122</w:t>
            </w:r>
          </w:p>
        </w:tc>
        <w:tc>
          <w:tcPr>
            <w:tcW w:w="358" w:type="pct"/>
            <w:shd w:val="clear" w:color="000000" w:fill="C0C0C0"/>
            <w:noWrap/>
            <w:hideMark/>
          </w:tcPr>
          <w:p w14:paraId="2242A93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17,43</w:t>
            </w:r>
          </w:p>
        </w:tc>
        <w:tc>
          <w:tcPr>
            <w:tcW w:w="339" w:type="pct"/>
            <w:shd w:val="clear" w:color="000000" w:fill="C0C0C0"/>
            <w:noWrap/>
            <w:hideMark/>
          </w:tcPr>
          <w:p w14:paraId="72636BC3"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4,5</w:t>
            </w:r>
          </w:p>
        </w:tc>
        <w:tc>
          <w:tcPr>
            <w:tcW w:w="409" w:type="pct"/>
            <w:shd w:val="clear" w:color="000000" w:fill="C0C0C0"/>
            <w:noWrap/>
            <w:hideMark/>
          </w:tcPr>
          <w:p w14:paraId="6B2A198A"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78,43</w:t>
            </w:r>
          </w:p>
        </w:tc>
        <w:tc>
          <w:tcPr>
            <w:tcW w:w="466" w:type="pct"/>
            <w:shd w:val="clear" w:color="auto" w:fill="auto"/>
            <w:noWrap/>
            <w:hideMark/>
          </w:tcPr>
          <w:p w14:paraId="4922AD28"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$ 41.040,00</w:t>
            </w:r>
          </w:p>
        </w:tc>
        <w:tc>
          <w:tcPr>
            <w:tcW w:w="352" w:type="pct"/>
            <w:shd w:val="clear" w:color="000000" w:fill="D9D9D9"/>
            <w:noWrap/>
            <w:hideMark/>
          </w:tcPr>
          <w:p w14:paraId="5259B245"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5618D9A1"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0,91</w:t>
            </w:r>
          </w:p>
        </w:tc>
        <w:tc>
          <w:tcPr>
            <w:tcW w:w="497" w:type="pct"/>
            <w:shd w:val="clear" w:color="000000" w:fill="D9D9D9"/>
            <w:noWrap/>
            <w:hideMark/>
          </w:tcPr>
          <w:p w14:paraId="1261EA28"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$ 4.199.158,68</w:t>
            </w:r>
          </w:p>
        </w:tc>
        <w:tc>
          <w:tcPr>
            <w:tcW w:w="557" w:type="pct"/>
            <w:shd w:val="clear" w:color="000000" w:fill="D9D9D9"/>
            <w:noWrap/>
            <w:hideMark/>
          </w:tcPr>
          <w:p w14:paraId="5160ACE3" w14:textId="4E5B71EE"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512.297.359,12</w:t>
            </w:r>
          </w:p>
        </w:tc>
      </w:tr>
      <w:tr w:rsidR="00FF0ED7" w:rsidRPr="00740C0C" w14:paraId="2E23CEBC" w14:textId="77777777" w:rsidTr="00FF0ED7">
        <w:trPr>
          <w:trHeight w:val="315"/>
        </w:trPr>
        <w:tc>
          <w:tcPr>
            <w:tcW w:w="253" w:type="pct"/>
            <w:shd w:val="clear" w:color="auto" w:fill="auto"/>
            <w:noWrap/>
            <w:hideMark/>
          </w:tcPr>
          <w:p w14:paraId="0B0410D6"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1982</w:t>
            </w:r>
          </w:p>
        </w:tc>
        <w:tc>
          <w:tcPr>
            <w:tcW w:w="223" w:type="pct"/>
            <w:shd w:val="clear" w:color="auto" w:fill="auto"/>
            <w:noWrap/>
            <w:hideMark/>
          </w:tcPr>
          <w:p w14:paraId="36068C61"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181" w:type="pct"/>
            <w:shd w:val="clear" w:color="auto" w:fill="auto"/>
            <w:noWrap/>
            <w:hideMark/>
          </w:tcPr>
          <w:p w14:paraId="34442647"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253" w:type="pct"/>
            <w:shd w:val="clear" w:color="auto" w:fill="auto"/>
            <w:noWrap/>
            <w:hideMark/>
          </w:tcPr>
          <w:p w14:paraId="357D3EBF"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1982</w:t>
            </w:r>
          </w:p>
        </w:tc>
        <w:tc>
          <w:tcPr>
            <w:tcW w:w="223" w:type="pct"/>
            <w:shd w:val="clear" w:color="auto" w:fill="auto"/>
            <w:noWrap/>
            <w:hideMark/>
          </w:tcPr>
          <w:p w14:paraId="20DCEDC5"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7</w:t>
            </w:r>
          </w:p>
        </w:tc>
        <w:tc>
          <w:tcPr>
            <w:tcW w:w="182" w:type="pct"/>
            <w:shd w:val="clear" w:color="auto" w:fill="auto"/>
            <w:noWrap/>
            <w:hideMark/>
          </w:tcPr>
          <w:p w14:paraId="569A63E0"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31</w:t>
            </w:r>
          </w:p>
        </w:tc>
        <w:tc>
          <w:tcPr>
            <w:tcW w:w="319" w:type="pct"/>
            <w:shd w:val="clear" w:color="000000" w:fill="C0C0C0"/>
            <w:noWrap/>
            <w:hideMark/>
          </w:tcPr>
          <w:p w14:paraId="7BF662E3"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212</w:t>
            </w:r>
          </w:p>
        </w:tc>
        <w:tc>
          <w:tcPr>
            <w:tcW w:w="358" w:type="pct"/>
            <w:shd w:val="clear" w:color="000000" w:fill="C0C0C0"/>
            <w:noWrap/>
            <w:hideMark/>
          </w:tcPr>
          <w:p w14:paraId="363C887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30,29</w:t>
            </w:r>
          </w:p>
        </w:tc>
        <w:tc>
          <w:tcPr>
            <w:tcW w:w="339" w:type="pct"/>
            <w:shd w:val="clear" w:color="000000" w:fill="C0C0C0"/>
            <w:noWrap/>
            <w:hideMark/>
          </w:tcPr>
          <w:p w14:paraId="4B4CFE26"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4,5</w:t>
            </w:r>
          </w:p>
        </w:tc>
        <w:tc>
          <w:tcPr>
            <w:tcW w:w="409" w:type="pct"/>
            <w:shd w:val="clear" w:color="000000" w:fill="C0C0C0"/>
            <w:noWrap/>
            <w:hideMark/>
          </w:tcPr>
          <w:p w14:paraId="63BED05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136,29</w:t>
            </w:r>
          </w:p>
        </w:tc>
        <w:tc>
          <w:tcPr>
            <w:tcW w:w="466" w:type="pct"/>
            <w:shd w:val="clear" w:color="auto" w:fill="auto"/>
            <w:noWrap/>
            <w:hideMark/>
          </w:tcPr>
          <w:p w14:paraId="2A4C9AD0"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$ 41.040,00</w:t>
            </w:r>
          </w:p>
        </w:tc>
        <w:tc>
          <w:tcPr>
            <w:tcW w:w="352" w:type="pct"/>
            <w:shd w:val="clear" w:color="000000" w:fill="D9D9D9"/>
            <w:noWrap/>
            <w:hideMark/>
          </w:tcPr>
          <w:p w14:paraId="57DBF048"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2B9DE861"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1,14</w:t>
            </w:r>
          </w:p>
        </w:tc>
        <w:tc>
          <w:tcPr>
            <w:tcW w:w="497" w:type="pct"/>
            <w:shd w:val="clear" w:color="000000" w:fill="D9D9D9"/>
            <w:noWrap/>
            <w:hideMark/>
          </w:tcPr>
          <w:p w14:paraId="63E88C21"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$ 3.351.960,00</w:t>
            </w:r>
          </w:p>
        </w:tc>
        <w:tc>
          <w:tcPr>
            <w:tcW w:w="557" w:type="pct"/>
            <w:shd w:val="clear" w:color="000000" w:fill="D9D9D9"/>
            <w:noWrap/>
            <w:hideMark/>
          </w:tcPr>
          <w:p w14:paraId="6B54C559" w14:textId="064CAB5D"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710.615.520,00</w:t>
            </w:r>
          </w:p>
        </w:tc>
      </w:tr>
      <w:tr w:rsidR="00FF0ED7" w:rsidRPr="00740C0C" w14:paraId="7A4CB4CF" w14:textId="77777777" w:rsidTr="00FF0ED7">
        <w:trPr>
          <w:trHeight w:val="315"/>
        </w:trPr>
        <w:tc>
          <w:tcPr>
            <w:tcW w:w="253" w:type="pct"/>
            <w:shd w:val="clear" w:color="auto" w:fill="auto"/>
            <w:noWrap/>
            <w:hideMark/>
          </w:tcPr>
          <w:p w14:paraId="2EBECF40"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1982</w:t>
            </w:r>
          </w:p>
        </w:tc>
        <w:tc>
          <w:tcPr>
            <w:tcW w:w="223" w:type="pct"/>
            <w:shd w:val="clear" w:color="auto" w:fill="auto"/>
            <w:noWrap/>
            <w:hideMark/>
          </w:tcPr>
          <w:p w14:paraId="692192A1"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8</w:t>
            </w:r>
          </w:p>
        </w:tc>
        <w:tc>
          <w:tcPr>
            <w:tcW w:w="181" w:type="pct"/>
            <w:shd w:val="clear" w:color="auto" w:fill="auto"/>
            <w:noWrap/>
            <w:hideMark/>
          </w:tcPr>
          <w:p w14:paraId="48031629"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253" w:type="pct"/>
            <w:shd w:val="clear" w:color="auto" w:fill="auto"/>
            <w:noWrap/>
            <w:hideMark/>
          </w:tcPr>
          <w:p w14:paraId="3975FD69"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1982</w:t>
            </w:r>
          </w:p>
        </w:tc>
        <w:tc>
          <w:tcPr>
            <w:tcW w:w="223" w:type="pct"/>
            <w:shd w:val="clear" w:color="auto" w:fill="auto"/>
            <w:noWrap/>
            <w:hideMark/>
          </w:tcPr>
          <w:p w14:paraId="7E8768C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11</w:t>
            </w:r>
          </w:p>
        </w:tc>
        <w:tc>
          <w:tcPr>
            <w:tcW w:w="182" w:type="pct"/>
            <w:shd w:val="clear" w:color="auto" w:fill="auto"/>
            <w:noWrap/>
            <w:hideMark/>
          </w:tcPr>
          <w:p w14:paraId="2BCC8180"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w:t>
            </w:r>
          </w:p>
        </w:tc>
        <w:tc>
          <w:tcPr>
            <w:tcW w:w="319" w:type="pct"/>
            <w:shd w:val="clear" w:color="000000" w:fill="C0C0C0"/>
            <w:noWrap/>
            <w:hideMark/>
          </w:tcPr>
          <w:p w14:paraId="5F90DD3F"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101</w:t>
            </w:r>
          </w:p>
        </w:tc>
        <w:tc>
          <w:tcPr>
            <w:tcW w:w="358" w:type="pct"/>
            <w:shd w:val="clear" w:color="000000" w:fill="C0C0C0"/>
            <w:noWrap/>
            <w:hideMark/>
          </w:tcPr>
          <w:p w14:paraId="53849A3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14,43</w:t>
            </w:r>
          </w:p>
        </w:tc>
        <w:tc>
          <w:tcPr>
            <w:tcW w:w="339" w:type="pct"/>
            <w:shd w:val="clear" w:color="000000" w:fill="C0C0C0"/>
            <w:noWrap/>
            <w:hideMark/>
          </w:tcPr>
          <w:p w14:paraId="211E2CF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4,5</w:t>
            </w:r>
          </w:p>
        </w:tc>
        <w:tc>
          <w:tcPr>
            <w:tcW w:w="409" w:type="pct"/>
            <w:shd w:val="clear" w:color="000000" w:fill="C0C0C0"/>
            <w:noWrap/>
            <w:hideMark/>
          </w:tcPr>
          <w:p w14:paraId="1DB0D867"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64,93</w:t>
            </w:r>
          </w:p>
        </w:tc>
        <w:tc>
          <w:tcPr>
            <w:tcW w:w="466" w:type="pct"/>
            <w:shd w:val="clear" w:color="auto" w:fill="auto"/>
            <w:noWrap/>
            <w:hideMark/>
          </w:tcPr>
          <w:p w14:paraId="246AAFE0"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$ 54.630,00</w:t>
            </w:r>
          </w:p>
        </w:tc>
        <w:tc>
          <w:tcPr>
            <w:tcW w:w="352" w:type="pct"/>
            <w:shd w:val="clear" w:color="000000" w:fill="D9D9D9"/>
            <w:noWrap/>
            <w:hideMark/>
          </w:tcPr>
          <w:p w14:paraId="2BE9F0A7"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48C20D0F"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1,14</w:t>
            </w:r>
          </w:p>
        </w:tc>
        <w:tc>
          <w:tcPr>
            <w:tcW w:w="497" w:type="pct"/>
            <w:shd w:val="clear" w:color="000000" w:fill="D9D9D9"/>
            <w:noWrap/>
            <w:hideMark/>
          </w:tcPr>
          <w:p w14:paraId="577BE2D9"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$ 4.461.929,21</w:t>
            </w:r>
          </w:p>
        </w:tc>
        <w:tc>
          <w:tcPr>
            <w:tcW w:w="557" w:type="pct"/>
            <w:shd w:val="clear" w:color="000000" w:fill="D9D9D9"/>
            <w:noWrap/>
            <w:hideMark/>
          </w:tcPr>
          <w:p w14:paraId="46BA75F9" w14:textId="0ACEA5D9"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450.654.850,26</w:t>
            </w:r>
          </w:p>
        </w:tc>
      </w:tr>
      <w:tr w:rsidR="00FF0ED7" w:rsidRPr="00740C0C" w14:paraId="1ABF25BF" w14:textId="77777777" w:rsidTr="00FF0ED7">
        <w:trPr>
          <w:trHeight w:val="315"/>
        </w:trPr>
        <w:tc>
          <w:tcPr>
            <w:tcW w:w="253" w:type="pct"/>
            <w:shd w:val="clear" w:color="auto" w:fill="auto"/>
            <w:noWrap/>
            <w:hideMark/>
          </w:tcPr>
          <w:p w14:paraId="6BC163DB"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1982</w:t>
            </w:r>
          </w:p>
        </w:tc>
        <w:tc>
          <w:tcPr>
            <w:tcW w:w="223" w:type="pct"/>
            <w:shd w:val="clear" w:color="auto" w:fill="auto"/>
            <w:noWrap/>
            <w:hideMark/>
          </w:tcPr>
          <w:p w14:paraId="7520AFBB"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11</w:t>
            </w:r>
          </w:p>
        </w:tc>
        <w:tc>
          <w:tcPr>
            <w:tcW w:w="181" w:type="pct"/>
            <w:shd w:val="clear" w:color="auto" w:fill="auto"/>
            <w:noWrap/>
            <w:hideMark/>
          </w:tcPr>
          <w:p w14:paraId="02029DC9"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10</w:t>
            </w:r>
          </w:p>
        </w:tc>
        <w:tc>
          <w:tcPr>
            <w:tcW w:w="253" w:type="pct"/>
            <w:shd w:val="clear" w:color="auto" w:fill="auto"/>
            <w:noWrap/>
            <w:hideMark/>
          </w:tcPr>
          <w:p w14:paraId="396BDD72"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1982</w:t>
            </w:r>
          </w:p>
        </w:tc>
        <w:tc>
          <w:tcPr>
            <w:tcW w:w="223" w:type="pct"/>
            <w:shd w:val="clear" w:color="auto" w:fill="auto"/>
            <w:noWrap/>
            <w:hideMark/>
          </w:tcPr>
          <w:p w14:paraId="7A1B2572"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12</w:t>
            </w:r>
          </w:p>
        </w:tc>
        <w:tc>
          <w:tcPr>
            <w:tcW w:w="182" w:type="pct"/>
            <w:shd w:val="clear" w:color="auto" w:fill="auto"/>
            <w:noWrap/>
            <w:hideMark/>
          </w:tcPr>
          <w:p w14:paraId="7E787EBF"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31</w:t>
            </w:r>
          </w:p>
        </w:tc>
        <w:tc>
          <w:tcPr>
            <w:tcW w:w="319" w:type="pct"/>
            <w:shd w:val="clear" w:color="000000" w:fill="C0C0C0"/>
            <w:noWrap/>
            <w:hideMark/>
          </w:tcPr>
          <w:p w14:paraId="6FA35ACC"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52</w:t>
            </w:r>
          </w:p>
        </w:tc>
        <w:tc>
          <w:tcPr>
            <w:tcW w:w="358" w:type="pct"/>
            <w:shd w:val="clear" w:color="000000" w:fill="C0C0C0"/>
            <w:noWrap/>
            <w:hideMark/>
          </w:tcPr>
          <w:p w14:paraId="68DF3639"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7,43</w:t>
            </w:r>
          </w:p>
        </w:tc>
        <w:tc>
          <w:tcPr>
            <w:tcW w:w="339" w:type="pct"/>
            <w:shd w:val="clear" w:color="000000" w:fill="C0C0C0"/>
            <w:noWrap/>
            <w:hideMark/>
          </w:tcPr>
          <w:p w14:paraId="56301B1F"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4,5</w:t>
            </w:r>
          </w:p>
        </w:tc>
        <w:tc>
          <w:tcPr>
            <w:tcW w:w="409" w:type="pct"/>
            <w:shd w:val="clear" w:color="000000" w:fill="C0C0C0"/>
            <w:noWrap/>
            <w:hideMark/>
          </w:tcPr>
          <w:p w14:paraId="0E8D5C1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33,43</w:t>
            </w:r>
          </w:p>
        </w:tc>
        <w:tc>
          <w:tcPr>
            <w:tcW w:w="466" w:type="pct"/>
            <w:shd w:val="clear" w:color="auto" w:fill="auto"/>
            <w:noWrap/>
            <w:hideMark/>
          </w:tcPr>
          <w:p w14:paraId="601394E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$ 54.630,00</w:t>
            </w:r>
          </w:p>
        </w:tc>
        <w:tc>
          <w:tcPr>
            <w:tcW w:w="352" w:type="pct"/>
            <w:shd w:val="clear" w:color="000000" w:fill="D9D9D9"/>
            <w:noWrap/>
            <w:hideMark/>
          </w:tcPr>
          <w:p w14:paraId="6A456AD7"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0420A807"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1,14</w:t>
            </w:r>
          </w:p>
        </w:tc>
        <w:tc>
          <w:tcPr>
            <w:tcW w:w="497" w:type="pct"/>
            <w:shd w:val="clear" w:color="000000" w:fill="D9D9D9"/>
            <w:noWrap/>
            <w:hideMark/>
          </w:tcPr>
          <w:p w14:paraId="73DAD9EC"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$ 4.461.929,21</w:t>
            </w:r>
          </w:p>
        </w:tc>
        <w:tc>
          <w:tcPr>
            <w:tcW w:w="557" w:type="pct"/>
            <w:shd w:val="clear" w:color="000000" w:fill="D9D9D9"/>
            <w:noWrap/>
            <w:hideMark/>
          </w:tcPr>
          <w:p w14:paraId="2DE73A95" w14:textId="5B1F8841"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232.020.318,95</w:t>
            </w:r>
          </w:p>
        </w:tc>
      </w:tr>
      <w:tr w:rsidR="00FF0ED7" w:rsidRPr="00740C0C" w14:paraId="28447250" w14:textId="77777777" w:rsidTr="00FF0ED7">
        <w:trPr>
          <w:trHeight w:val="315"/>
        </w:trPr>
        <w:tc>
          <w:tcPr>
            <w:tcW w:w="253" w:type="pct"/>
            <w:shd w:val="clear" w:color="auto" w:fill="auto"/>
            <w:noWrap/>
            <w:hideMark/>
          </w:tcPr>
          <w:p w14:paraId="3217CC08"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1983</w:t>
            </w:r>
          </w:p>
        </w:tc>
        <w:tc>
          <w:tcPr>
            <w:tcW w:w="223" w:type="pct"/>
            <w:shd w:val="clear" w:color="auto" w:fill="auto"/>
            <w:noWrap/>
            <w:hideMark/>
          </w:tcPr>
          <w:p w14:paraId="55FB18DC"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181" w:type="pct"/>
            <w:shd w:val="clear" w:color="auto" w:fill="auto"/>
            <w:noWrap/>
            <w:hideMark/>
          </w:tcPr>
          <w:p w14:paraId="1CF5947A"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253" w:type="pct"/>
            <w:shd w:val="clear" w:color="auto" w:fill="auto"/>
            <w:noWrap/>
            <w:hideMark/>
          </w:tcPr>
          <w:p w14:paraId="144DDD05"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1983</w:t>
            </w:r>
          </w:p>
        </w:tc>
        <w:tc>
          <w:tcPr>
            <w:tcW w:w="223" w:type="pct"/>
            <w:shd w:val="clear" w:color="auto" w:fill="auto"/>
            <w:noWrap/>
            <w:hideMark/>
          </w:tcPr>
          <w:p w14:paraId="0A24D459"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12</w:t>
            </w:r>
          </w:p>
        </w:tc>
        <w:tc>
          <w:tcPr>
            <w:tcW w:w="182" w:type="pct"/>
            <w:shd w:val="clear" w:color="auto" w:fill="auto"/>
            <w:noWrap/>
            <w:hideMark/>
          </w:tcPr>
          <w:p w14:paraId="41F31168"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31</w:t>
            </w:r>
          </w:p>
        </w:tc>
        <w:tc>
          <w:tcPr>
            <w:tcW w:w="319" w:type="pct"/>
            <w:shd w:val="clear" w:color="000000" w:fill="C0C0C0"/>
            <w:noWrap/>
            <w:hideMark/>
          </w:tcPr>
          <w:p w14:paraId="24EF89AA"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365</w:t>
            </w:r>
          </w:p>
        </w:tc>
        <w:tc>
          <w:tcPr>
            <w:tcW w:w="358" w:type="pct"/>
            <w:shd w:val="clear" w:color="000000" w:fill="C0C0C0"/>
            <w:noWrap/>
            <w:hideMark/>
          </w:tcPr>
          <w:p w14:paraId="14811228"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52,14</w:t>
            </w:r>
          </w:p>
        </w:tc>
        <w:tc>
          <w:tcPr>
            <w:tcW w:w="339" w:type="pct"/>
            <w:shd w:val="clear" w:color="000000" w:fill="C0C0C0"/>
            <w:noWrap/>
            <w:hideMark/>
          </w:tcPr>
          <w:p w14:paraId="36A24260"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4,5</w:t>
            </w:r>
          </w:p>
        </w:tc>
        <w:tc>
          <w:tcPr>
            <w:tcW w:w="409" w:type="pct"/>
            <w:shd w:val="clear" w:color="000000" w:fill="C0C0C0"/>
            <w:noWrap/>
            <w:hideMark/>
          </w:tcPr>
          <w:p w14:paraId="09D93F69"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234,64</w:t>
            </w:r>
          </w:p>
        </w:tc>
        <w:tc>
          <w:tcPr>
            <w:tcW w:w="466" w:type="pct"/>
            <w:shd w:val="clear" w:color="auto" w:fill="auto"/>
            <w:noWrap/>
            <w:hideMark/>
          </w:tcPr>
          <w:p w14:paraId="6E624D26"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$ 54.630,00</w:t>
            </w:r>
          </w:p>
        </w:tc>
        <w:tc>
          <w:tcPr>
            <w:tcW w:w="352" w:type="pct"/>
            <w:shd w:val="clear" w:color="000000" w:fill="D9D9D9"/>
            <w:noWrap/>
            <w:hideMark/>
          </w:tcPr>
          <w:p w14:paraId="4C3698E0"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65939CC5"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1,42</w:t>
            </w:r>
          </w:p>
        </w:tc>
        <w:tc>
          <w:tcPr>
            <w:tcW w:w="497" w:type="pct"/>
            <w:shd w:val="clear" w:color="000000" w:fill="D9D9D9"/>
            <w:noWrap/>
            <w:hideMark/>
          </w:tcPr>
          <w:p w14:paraId="6AF211C6"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$ 3.582.112,18</w:t>
            </w:r>
          </w:p>
        </w:tc>
        <w:tc>
          <w:tcPr>
            <w:tcW w:w="557" w:type="pct"/>
            <w:shd w:val="clear" w:color="000000" w:fill="D9D9D9"/>
            <w:noWrap/>
            <w:hideMark/>
          </w:tcPr>
          <w:p w14:paraId="63A0BB75" w14:textId="18CFAC5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1.307.470.946,83</w:t>
            </w:r>
          </w:p>
        </w:tc>
      </w:tr>
      <w:tr w:rsidR="00FF0ED7" w:rsidRPr="00740C0C" w14:paraId="3679429C" w14:textId="77777777" w:rsidTr="00FF0ED7">
        <w:trPr>
          <w:trHeight w:val="315"/>
        </w:trPr>
        <w:tc>
          <w:tcPr>
            <w:tcW w:w="253" w:type="pct"/>
            <w:shd w:val="clear" w:color="auto" w:fill="auto"/>
            <w:noWrap/>
            <w:hideMark/>
          </w:tcPr>
          <w:p w14:paraId="64E235BC"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1984</w:t>
            </w:r>
          </w:p>
        </w:tc>
        <w:tc>
          <w:tcPr>
            <w:tcW w:w="223" w:type="pct"/>
            <w:shd w:val="clear" w:color="auto" w:fill="auto"/>
            <w:noWrap/>
            <w:hideMark/>
          </w:tcPr>
          <w:p w14:paraId="553462DC"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181" w:type="pct"/>
            <w:shd w:val="clear" w:color="auto" w:fill="auto"/>
            <w:noWrap/>
            <w:hideMark/>
          </w:tcPr>
          <w:p w14:paraId="55C16B89"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253" w:type="pct"/>
            <w:shd w:val="clear" w:color="auto" w:fill="auto"/>
            <w:noWrap/>
            <w:hideMark/>
          </w:tcPr>
          <w:p w14:paraId="784749E6"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1984</w:t>
            </w:r>
          </w:p>
        </w:tc>
        <w:tc>
          <w:tcPr>
            <w:tcW w:w="223" w:type="pct"/>
            <w:shd w:val="clear" w:color="auto" w:fill="auto"/>
            <w:noWrap/>
            <w:hideMark/>
          </w:tcPr>
          <w:p w14:paraId="61EAE24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8</w:t>
            </w:r>
          </w:p>
        </w:tc>
        <w:tc>
          <w:tcPr>
            <w:tcW w:w="182" w:type="pct"/>
            <w:shd w:val="clear" w:color="auto" w:fill="auto"/>
            <w:noWrap/>
            <w:hideMark/>
          </w:tcPr>
          <w:p w14:paraId="0AF8BDF4"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14</w:t>
            </w:r>
          </w:p>
        </w:tc>
        <w:tc>
          <w:tcPr>
            <w:tcW w:w="319" w:type="pct"/>
            <w:shd w:val="clear" w:color="000000" w:fill="C0C0C0"/>
            <w:noWrap/>
            <w:hideMark/>
          </w:tcPr>
          <w:p w14:paraId="039BF789"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227</w:t>
            </w:r>
          </w:p>
        </w:tc>
        <w:tc>
          <w:tcPr>
            <w:tcW w:w="358" w:type="pct"/>
            <w:shd w:val="clear" w:color="000000" w:fill="C0C0C0"/>
            <w:noWrap/>
            <w:hideMark/>
          </w:tcPr>
          <w:p w14:paraId="1173F799"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32,43</w:t>
            </w:r>
          </w:p>
        </w:tc>
        <w:tc>
          <w:tcPr>
            <w:tcW w:w="339" w:type="pct"/>
            <w:shd w:val="clear" w:color="000000" w:fill="C0C0C0"/>
            <w:noWrap/>
            <w:hideMark/>
          </w:tcPr>
          <w:p w14:paraId="28EE5E3C"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4,5</w:t>
            </w:r>
          </w:p>
        </w:tc>
        <w:tc>
          <w:tcPr>
            <w:tcW w:w="409" w:type="pct"/>
            <w:shd w:val="clear" w:color="000000" w:fill="C0C0C0"/>
            <w:noWrap/>
            <w:hideMark/>
          </w:tcPr>
          <w:p w14:paraId="5BA1D95F"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145,93</w:t>
            </w:r>
          </w:p>
        </w:tc>
        <w:tc>
          <w:tcPr>
            <w:tcW w:w="466" w:type="pct"/>
            <w:shd w:val="clear" w:color="auto" w:fill="auto"/>
            <w:noWrap/>
            <w:hideMark/>
          </w:tcPr>
          <w:p w14:paraId="6B1CE67A"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$ 89.070,00</w:t>
            </w:r>
          </w:p>
        </w:tc>
        <w:tc>
          <w:tcPr>
            <w:tcW w:w="352" w:type="pct"/>
            <w:shd w:val="clear" w:color="000000" w:fill="D9D9D9"/>
            <w:noWrap/>
            <w:hideMark/>
          </w:tcPr>
          <w:p w14:paraId="4EC2D5C6"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238FE5B9"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1,66</w:t>
            </w:r>
          </w:p>
        </w:tc>
        <w:tc>
          <w:tcPr>
            <w:tcW w:w="497" w:type="pct"/>
            <w:shd w:val="clear" w:color="000000" w:fill="D9D9D9"/>
            <w:noWrap/>
            <w:hideMark/>
          </w:tcPr>
          <w:p w14:paraId="626CA70C"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$ 4.995.968,49</w:t>
            </w:r>
          </w:p>
        </w:tc>
        <w:tc>
          <w:tcPr>
            <w:tcW w:w="557" w:type="pct"/>
            <w:shd w:val="clear" w:color="000000" w:fill="D9D9D9"/>
            <w:noWrap/>
            <w:hideMark/>
          </w:tcPr>
          <w:p w14:paraId="7D516414" w14:textId="6828394A"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1.134.084.848,13</w:t>
            </w:r>
          </w:p>
        </w:tc>
      </w:tr>
      <w:tr w:rsidR="00FF0ED7" w:rsidRPr="00740C0C" w14:paraId="642285C0" w14:textId="77777777" w:rsidTr="00FF0ED7">
        <w:trPr>
          <w:trHeight w:val="315"/>
        </w:trPr>
        <w:tc>
          <w:tcPr>
            <w:tcW w:w="253" w:type="pct"/>
            <w:shd w:val="clear" w:color="auto" w:fill="auto"/>
            <w:noWrap/>
            <w:hideMark/>
          </w:tcPr>
          <w:p w14:paraId="64FD3183"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1988</w:t>
            </w:r>
          </w:p>
        </w:tc>
        <w:tc>
          <w:tcPr>
            <w:tcW w:w="223" w:type="pct"/>
            <w:shd w:val="clear" w:color="auto" w:fill="auto"/>
            <w:noWrap/>
            <w:hideMark/>
          </w:tcPr>
          <w:p w14:paraId="60615C6F"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181" w:type="pct"/>
            <w:shd w:val="clear" w:color="auto" w:fill="auto"/>
            <w:noWrap/>
            <w:hideMark/>
          </w:tcPr>
          <w:p w14:paraId="1223F31B"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12</w:t>
            </w:r>
          </w:p>
        </w:tc>
        <w:tc>
          <w:tcPr>
            <w:tcW w:w="253" w:type="pct"/>
            <w:shd w:val="clear" w:color="auto" w:fill="auto"/>
            <w:noWrap/>
            <w:hideMark/>
          </w:tcPr>
          <w:p w14:paraId="0832120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1988</w:t>
            </w:r>
          </w:p>
        </w:tc>
        <w:tc>
          <w:tcPr>
            <w:tcW w:w="223" w:type="pct"/>
            <w:shd w:val="clear" w:color="auto" w:fill="auto"/>
            <w:noWrap/>
            <w:hideMark/>
          </w:tcPr>
          <w:p w14:paraId="03EB3BE4"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6</w:t>
            </w:r>
          </w:p>
        </w:tc>
        <w:tc>
          <w:tcPr>
            <w:tcW w:w="182" w:type="pct"/>
            <w:shd w:val="clear" w:color="auto" w:fill="auto"/>
            <w:noWrap/>
            <w:hideMark/>
          </w:tcPr>
          <w:p w14:paraId="72655206"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30</w:t>
            </w:r>
          </w:p>
        </w:tc>
        <w:tc>
          <w:tcPr>
            <w:tcW w:w="319" w:type="pct"/>
            <w:shd w:val="clear" w:color="000000" w:fill="C0C0C0"/>
            <w:noWrap/>
            <w:hideMark/>
          </w:tcPr>
          <w:p w14:paraId="340892DC"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171</w:t>
            </w:r>
          </w:p>
        </w:tc>
        <w:tc>
          <w:tcPr>
            <w:tcW w:w="358" w:type="pct"/>
            <w:shd w:val="clear" w:color="000000" w:fill="C0C0C0"/>
            <w:noWrap/>
            <w:hideMark/>
          </w:tcPr>
          <w:p w14:paraId="47F6E44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24,43</w:t>
            </w:r>
          </w:p>
        </w:tc>
        <w:tc>
          <w:tcPr>
            <w:tcW w:w="339" w:type="pct"/>
            <w:shd w:val="clear" w:color="000000" w:fill="C0C0C0"/>
            <w:noWrap/>
            <w:hideMark/>
          </w:tcPr>
          <w:p w14:paraId="65A14AC4"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6,5</w:t>
            </w:r>
          </w:p>
        </w:tc>
        <w:tc>
          <w:tcPr>
            <w:tcW w:w="409" w:type="pct"/>
            <w:shd w:val="clear" w:color="000000" w:fill="C0C0C0"/>
            <w:noWrap/>
            <w:hideMark/>
          </w:tcPr>
          <w:p w14:paraId="77BE3783"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158,79</w:t>
            </w:r>
          </w:p>
        </w:tc>
        <w:tc>
          <w:tcPr>
            <w:tcW w:w="466" w:type="pct"/>
            <w:shd w:val="clear" w:color="auto" w:fill="auto"/>
            <w:noWrap/>
            <w:hideMark/>
          </w:tcPr>
          <w:p w14:paraId="57649586"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$ 79.290,00</w:t>
            </w:r>
          </w:p>
        </w:tc>
        <w:tc>
          <w:tcPr>
            <w:tcW w:w="352" w:type="pct"/>
            <w:shd w:val="clear" w:color="000000" w:fill="D9D9D9"/>
            <w:noWrap/>
            <w:hideMark/>
          </w:tcPr>
          <w:p w14:paraId="48C9161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6562279B"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3,60</w:t>
            </w:r>
          </w:p>
        </w:tc>
        <w:tc>
          <w:tcPr>
            <w:tcW w:w="497" w:type="pct"/>
            <w:shd w:val="clear" w:color="000000" w:fill="D9D9D9"/>
            <w:noWrap/>
            <w:hideMark/>
          </w:tcPr>
          <w:p w14:paraId="019653AF"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$ 2.050.747,75</w:t>
            </w:r>
          </w:p>
        </w:tc>
        <w:tc>
          <w:tcPr>
            <w:tcW w:w="557" w:type="pct"/>
            <w:shd w:val="clear" w:color="000000" w:fill="D9D9D9"/>
            <w:noWrap/>
            <w:hideMark/>
          </w:tcPr>
          <w:p w14:paraId="7F15030A" w14:textId="0249AEB1"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350.677.865,25</w:t>
            </w:r>
          </w:p>
        </w:tc>
      </w:tr>
      <w:tr w:rsidR="00FF0ED7" w:rsidRPr="00740C0C" w14:paraId="04D82E3E" w14:textId="77777777" w:rsidTr="00FF0ED7">
        <w:trPr>
          <w:trHeight w:val="315"/>
        </w:trPr>
        <w:tc>
          <w:tcPr>
            <w:tcW w:w="253" w:type="pct"/>
            <w:shd w:val="clear" w:color="auto" w:fill="auto"/>
            <w:noWrap/>
            <w:hideMark/>
          </w:tcPr>
          <w:p w14:paraId="1B720A84"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1988</w:t>
            </w:r>
          </w:p>
        </w:tc>
        <w:tc>
          <w:tcPr>
            <w:tcW w:w="223" w:type="pct"/>
            <w:shd w:val="clear" w:color="auto" w:fill="auto"/>
            <w:noWrap/>
            <w:hideMark/>
          </w:tcPr>
          <w:p w14:paraId="010A35C9"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7</w:t>
            </w:r>
          </w:p>
        </w:tc>
        <w:tc>
          <w:tcPr>
            <w:tcW w:w="181" w:type="pct"/>
            <w:shd w:val="clear" w:color="auto" w:fill="auto"/>
            <w:noWrap/>
            <w:hideMark/>
          </w:tcPr>
          <w:p w14:paraId="7FBE0C99"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253" w:type="pct"/>
            <w:shd w:val="clear" w:color="auto" w:fill="auto"/>
            <w:noWrap/>
            <w:hideMark/>
          </w:tcPr>
          <w:p w14:paraId="38F64CB5"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1988</w:t>
            </w:r>
          </w:p>
        </w:tc>
        <w:tc>
          <w:tcPr>
            <w:tcW w:w="223" w:type="pct"/>
            <w:shd w:val="clear" w:color="auto" w:fill="auto"/>
            <w:noWrap/>
            <w:hideMark/>
          </w:tcPr>
          <w:p w14:paraId="5BE99C2F"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12</w:t>
            </w:r>
          </w:p>
        </w:tc>
        <w:tc>
          <w:tcPr>
            <w:tcW w:w="182" w:type="pct"/>
            <w:shd w:val="clear" w:color="auto" w:fill="auto"/>
            <w:noWrap/>
            <w:hideMark/>
          </w:tcPr>
          <w:p w14:paraId="2C19AE83"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31</w:t>
            </w:r>
          </w:p>
        </w:tc>
        <w:tc>
          <w:tcPr>
            <w:tcW w:w="319" w:type="pct"/>
            <w:shd w:val="clear" w:color="000000" w:fill="C0C0C0"/>
            <w:noWrap/>
            <w:hideMark/>
          </w:tcPr>
          <w:p w14:paraId="70489F98"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184</w:t>
            </w:r>
          </w:p>
        </w:tc>
        <w:tc>
          <w:tcPr>
            <w:tcW w:w="358" w:type="pct"/>
            <w:shd w:val="clear" w:color="000000" w:fill="C0C0C0"/>
            <w:noWrap/>
            <w:hideMark/>
          </w:tcPr>
          <w:p w14:paraId="2D1F796A"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26,29</w:t>
            </w:r>
          </w:p>
        </w:tc>
        <w:tc>
          <w:tcPr>
            <w:tcW w:w="339" w:type="pct"/>
            <w:shd w:val="clear" w:color="000000" w:fill="C0C0C0"/>
            <w:noWrap/>
            <w:hideMark/>
          </w:tcPr>
          <w:p w14:paraId="2B81A044"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6,5</w:t>
            </w:r>
          </w:p>
        </w:tc>
        <w:tc>
          <w:tcPr>
            <w:tcW w:w="409" w:type="pct"/>
            <w:shd w:val="clear" w:color="000000" w:fill="C0C0C0"/>
            <w:noWrap/>
            <w:hideMark/>
          </w:tcPr>
          <w:p w14:paraId="26EE127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170,86</w:t>
            </w:r>
          </w:p>
        </w:tc>
        <w:tc>
          <w:tcPr>
            <w:tcW w:w="466" w:type="pct"/>
            <w:shd w:val="clear" w:color="auto" w:fill="auto"/>
            <w:noWrap/>
            <w:hideMark/>
          </w:tcPr>
          <w:p w14:paraId="164831AF"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$ 99.630,00</w:t>
            </w:r>
          </w:p>
        </w:tc>
        <w:tc>
          <w:tcPr>
            <w:tcW w:w="352" w:type="pct"/>
            <w:shd w:val="clear" w:color="000000" w:fill="D9D9D9"/>
            <w:noWrap/>
            <w:hideMark/>
          </w:tcPr>
          <w:p w14:paraId="6AA6CC1B"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1BF1173B"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3,60</w:t>
            </w:r>
          </w:p>
        </w:tc>
        <w:tc>
          <w:tcPr>
            <w:tcW w:w="497" w:type="pct"/>
            <w:shd w:val="clear" w:color="000000" w:fill="D9D9D9"/>
            <w:noWrap/>
            <w:hideMark/>
          </w:tcPr>
          <w:p w14:paraId="0B14E9BC"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$ 2.576.819,25</w:t>
            </w:r>
          </w:p>
        </w:tc>
        <w:tc>
          <w:tcPr>
            <w:tcW w:w="557" w:type="pct"/>
            <w:shd w:val="clear" w:color="000000" w:fill="D9D9D9"/>
            <w:noWrap/>
            <w:hideMark/>
          </w:tcPr>
          <w:p w14:paraId="3C5786B9" w14:textId="4E5DF4E6"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474.134.742,00</w:t>
            </w:r>
          </w:p>
        </w:tc>
      </w:tr>
      <w:tr w:rsidR="00FF0ED7" w:rsidRPr="00740C0C" w14:paraId="78483D8C" w14:textId="77777777" w:rsidTr="00FF0ED7">
        <w:trPr>
          <w:trHeight w:val="315"/>
        </w:trPr>
        <w:tc>
          <w:tcPr>
            <w:tcW w:w="253" w:type="pct"/>
            <w:shd w:val="clear" w:color="auto" w:fill="auto"/>
            <w:noWrap/>
            <w:hideMark/>
          </w:tcPr>
          <w:p w14:paraId="7472BB7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1989</w:t>
            </w:r>
          </w:p>
        </w:tc>
        <w:tc>
          <w:tcPr>
            <w:tcW w:w="223" w:type="pct"/>
            <w:shd w:val="clear" w:color="auto" w:fill="auto"/>
            <w:noWrap/>
            <w:hideMark/>
          </w:tcPr>
          <w:p w14:paraId="708FA8B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181" w:type="pct"/>
            <w:shd w:val="clear" w:color="auto" w:fill="auto"/>
            <w:noWrap/>
            <w:hideMark/>
          </w:tcPr>
          <w:p w14:paraId="52493E17"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253" w:type="pct"/>
            <w:shd w:val="clear" w:color="auto" w:fill="auto"/>
            <w:noWrap/>
            <w:hideMark/>
          </w:tcPr>
          <w:p w14:paraId="5EDFD3B1"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1989</w:t>
            </w:r>
          </w:p>
        </w:tc>
        <w:tc>
          <w:tcPr>
            <w:tcW w:w="223" w:type="pct"/>
            <w:shd w:val="clear" w:color="auto" w:fill="auto"/>
            <w:noWrap/>
            <w:hideMark/>
          </w:tcPr>
          <w:p w14:paraId="4BC91740"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w:t>
            </w:r>
          </w:p>
        </w:tc>
        <w:tc>
          <w:tcPr>
            <w:tcW w:w="182" w:type="pct"/>
            <w:shd w:val="clear" w:color="auto" w:fill="auto"/>
            <w:noWrap/>
            <w:hideMark/>
          </w:tcPr>
          <w:p w14:paraId="7C8DC5F1"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11</w:t>
            </w:r>
          </w:p>
        </w:tc>
        <w:tc>
          <w:tcPr>
            <w:tcW w:w="319" w:type="pct"/>
            <w:shd w:val="clear" w:color="000000" w:fill="C0C0C0"/>
            <w:noWrap/>
            <w:hideMark/>
          </w:tcPr>
          <w:p w14:paraId="65EFAAA1"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101</w:t>
            </w:r>
          </w:p>
        </w:tc>
        <w:tc>
          <w:tcPr>
            <w:tcW w:w="358" w:type="pct"/>
            <w:shd w:val="clear" w:color="000000" w:fill="C0C0C0"/>
            <w:noWrap/>
            <w:hideMark/>
          </w:tcPr>
          <w:p w14:paraId="3671DAE6"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14,43</w:t>
            </w:r>
          </w:p>
        </w:tc>
        <w:tc>
          <w:tcPr>
            <w:tcW w:w="339" w:type="pct"/>
            <w:shd w:val="clear" w:color="000000" w:fill="C0C0C0"/>
            <w:noWrap/>
            <w:hideMark/>
          </w:tcPr>
          <w:p w14:paraId="48E77F6C"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6,5</w:t>
            </w:r>
          </w:p>
        </w:tc>
        <w:tc>
          <w:tcPr>
            <w:tcW w:w="409" w:type="pct"/>
            <w:shd w:val="clear" w:color="000000" w:fill="C0C0C0"/>
            <w:noWrap/>
            <w:hideMark/>
          </w:tcPr>
          <w:p w14:paraId="74103237"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93,79</w:t>
            </w:r>
          </w:p>
        </w:tc>
        <w:tc>
          <w:tcPr>
            <w:tcW w:w="466" w:type="pct"/>
            <w:shd w:val="clear" w:color="auto" w:fill="auto"/>
            <w:noWrap/>
            <w:hideMark/>
          </w:tcPr>
          <w:p w14:paraId="2C635BF9"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$ 99.630,00</w:t>
            </w:r>
          </w:p>
        </w:tc>
        <w:tc>
          <w:tcPr>
            <w:tcW w:w="352" w:type="pct"/>
            <w:shd w:val="clear" w:color="000000" w:fill="D9D9D9"/>
            <w:noWrap/>
            <w:hideMark/>
          </w:tcPr>
          <w:p w14:paraId="7ACC19D3"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0307A09A"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4,61</w:t>
            </w:r>
          </w:p>
        </w:tc>
        <w:tc>
          <w:tcPr>
            <w:tcW w:w="497" w:type="pct"/>
            <w:shd w:val="clear" w:color="000000" w:fill="D9D9D9"/>
            <w:noWrap/>
            <w:hideMark/>
          </w:tcPr>
          <w:p w14:paraId="56A8EB9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$ 2.012.266,66</w:t>
            </w:r>
          </w:p>
        </w:tc>
        <w:tc>
          <w:tcPr>
            <w:tcW w:w="557" w:type="pct"/>
            <w:shd w:val="clear" w:color="000000" w:fill="D9D9D9"/>
            <w:noWrap/>
            <w:hideMark/>
          </w:tcPr>
          <w:p w14:paraId="2963E4AB" w14:textId="717A5E06"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203.238.932,60</w:t>
            </w:r>
          </w:p>
        </w:tc>
      </w:tr>
      <w:tr w:rsidR="00FF0ED7" w:rsidRPr="00740C0C" w14:paraId="03996FFC" w14:textId="77777777" w:rsidTr="00FF0ED7">
        <w:trPr>
          <w:trHeight w:val="315"/>
        </w:trPr>
        <w:tc>
          <w:tcPr>
            <w:tcW w:w="253" w:type="pct"/>
            <w:shd w:val="clear" w:color="auto" w:fill="auto"/>
            <w:noWrap/>
            <w:hideMark/>
          </w:tcPr>
          <w:p w14:paraId="066E245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1989</w:t>
            </w:r>
          </w:p>
        </w:tc>
        <w:tc>
          <w:tcPr>
            <w:tcW w:w="223" w:type="pct"/>
            <w:shd w:val="clear" w:color="auto" w:fill="auto"/>
            <w:noWrap/>
            <w:hideMark/>
          </w:tcPr>
          <w:p w14:paraId="4A75CB0B"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5</w:t>
            </w:r>
          </w:p>
        </w:tc>
        <w:tc>
          <w:tcPr>
            <w:tcW w:w="181" w:type="pct"/>
            <w:shd w:val="clear" w:color="auto" w:fill="auto"/>
            <w:noWrap/>
            <w:hideMark/>
          </w:tcPr>
          <w:p w14:paraId="23FB34DF"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5</w:t>
            </w:r>
          </w:p>
        </w:tc>
        <w:tc>
          <w:tcPr>
            <w:tcW w:w="253" w:type="pct"/>
            <w:shd w:val="clear" w:color="auto" w:fill="auto"/>
            <w:noWrap/>
            <w:hideMark/>
          </w:tcPr>
          <w:p w14:paraId="77281A9C"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1989</w:t>
            </w:r>
          </w:p>
        </w:tc>
        <w:tc>
          <w:tcPr>
            <w:tcW w:w="223" w:type="pct"/>
            <w:shd w:val="clear" w:color="auto" w:fill="auto"/>
            <w:noWrap/>
            <w:hideMark/>
          </w:tcPr>
          <w:p w14:paraId="5891DD70"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6</w:t>
            </w:r>
          </w:p>
        </w:tc>
        <w:tc>
          <w:tcPr>
            <w:tcW w:w="182" w:type="pct"/>
            <w:shd w:val="clear" w:color="auto" w:fill="auto"/>
            <w:noWrap/>
            <w:hideMark/>
          </w:tcPr>
          <w:p w14:paraId="6EE8FACF"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28</w:t>
            </w:r>
          </w:p>
        </w:tc>
        <w:tc>
          <w:tcPr>
            <w:tcW w:w="319" w:type="pct"/>
            <w:shd w:val="clear" w:color="000000" w:fill="C0C0C0"/>
            <w:noWrap/>
            <w:hideMark/>
          </w:tcPr>
          <w:p w14:paraId="7AEAD154"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55</w:t>
            </w:r>
          </w:p>
        </w:tc>
        <w:tc>
          <w:tcPr>
            <w:tcW w:w="358" w:type="pct"/>
            <w:shd w:val="clear" w:color="000000" w:fill="C0C0C0"/>
            <w:noWrap/>
            <w:hideMark/>
          </w:tcPr>
          <w:p w14:paraId="1D6D86B8"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7,86</w:t>
            </w:r>
          </w:p>
        </w:tc>
        <w:tc>
          <w:tcPr>
            <w:tcW w:w="339" w:type="pct"/>
            <w:shd w:val="clear" w:color="000000" w:fill="C0C0C0"/>
            <w:noWrap/>
            <w:hideMark/>
          </w:tcPr>
          <w:p w14:paraId="0DD5F66C"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6,5</w:t>
            </w:r>
          </w:p>
        </w:tc>
        <w:tc>
          <w:tcPr>
            <w:tcW w:w="409" w:type="pct"/>
            <w:shd w:val="clear" w:color="000000" w:fill="C0C0C0"/>
            <w:noWrap/>
            <w:hideMark/>
          </w:tcPr>
          <w:p w14:paraId="645B3BD6"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51,07</w:t>
            </w:r>
          </w:p>
        </w:tc>
        <w:tc>
          <w:tcPr>
            <w:tcW w:w="466" w:type="pct"/>
            <w:shd w:val="clear" w:color="auto" w:fill="auto"/>
            <w:noWrap/>
            <w:hideMark/>
          </w:tcPr>
          <w:p w14:paraId="1B138033"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$ 39.310,00</w:t>
            </w:r>
          </w:p>
        </w:tc>
        <w:tc>
          <w:tcPr>
            <w:tcW w:w="352" w:type="pct"/>
            <w:shd w:val="clear" w:color="000000" w:fill="D9D9D9"/>
            <w:noWrap/>
            <w:hideMark/>
          </w:tcPr>
          <w:p w14:paraId="5629D6E1"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1E2551FA"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4,61</w:t>
            </w:r>
          </w:p>
        </w:tc>
        <w:tc>
          <w:tcPr>
            <w:tcW w:w="497" w:type="pct"/>
            <w:shd w:val="clear" w:color="000000" w:fill="D9D9D9"/>
            <w:noWrap/>
            <w:hideMark/>
          </w:tcPr>
          <w:p w14:paraId="18C6AE4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$ 793.959,67</w:t>
            </w:r>
          </w:p>
        </w:tc>
        <w:tc>
          <w:tcPr>
            <w:tcW w:w="557" w:type="pct"/>
            <w:shd w:val="clear" w:color="000000" w:fill="D9D9D9"/>
            <w:noWrap/>
            <w:hideMark/>
          </w:tcPr>
          <w:p w14:paraId="19198895" w14:textId="12D6F124"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43.667.782,10</w:t>
            </w:r>
          </w:p>
        </w:tc>
      </w:tr>
      <w:tr w:rsidR="00FF0ED7" w:rsidRPr="00740C0C" w14:paraId="37A2C4D1" w14:textId="77777777" w:rsidTr="00FF0ED7">
        <w:trPr>
          <w:trHeight w:val="315"/>
        </w:trPr>
        <w:tc>
          <w:tcPr>
            <w:tcW w:w="253" w:type="pct"/>
            <w:shd w:val="clear" w:color="auto" w:fill="auto"/>
            <w:noWrap/>
            <w:hideMark/>
          </w:tcPr>
          <w:p w14:paraId="3069BE56"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1989</w:t>
            </w:r>
          </w:p>
        </w:tc>
        <w:tc>
          <w:tcPr>
            <w:tcW w:w="223" w:type="pct"/>
            <w:shd w:val="clear" w:color="auto" w:fill="auto"/>
            <w:noWrap/>
            <w:hideMark/>
          </w:tcPr>
          <w:p w14:paraId="63B7AE06"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7</w:t>
            </w:r>
          </w:p>
        </w:tc>
        <w:tc>
          <w:tcPr>
            <w:tcW w:w="181" w:type="pct"/>
            <w:shd w:val="clear" w:color="auto" w:fill="auto"/>
            <w:noWrap/>
            <w:hideMark/>
          </w:tcPr>
          <w:p w14:paraId="189C12A5"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18</w:t>
            </w:r>
          </w:p>
        </w:tc>
        <w:tc>
          <w:tcPr>
            <w:tcW w:w="253" w:type="pct"/>
            <w:shd w:val="clear" w:color="auto" w:fill="auto"/>
            <w:noWrap/>
            <w:hideMark/>
          </w:tcPr>
          <w:p w14:paraId="3683FE16"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1989</w:t>
            </w:r>
          </w:p>
        </w:tc>
        <w:tc>
          <w:tcPr>
            <w:tcW w:w="223" w:type="pct"/>
            <w:shd w:val="clear" w:color="auto" w:fill="auto"/>
            <w:noWrap/>
            <w:hideMark/>
          </w:tcPr>
          <w:p w14:paraId="00B76A0A"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12</w:t>
            </w:r>
          </w:p>
        </w:tc>
        <w:tc>
          <w:tcPr>
            <w:tcW w:w="182" w:type="pct"/>
            <w:shd w:val="clear" w:color="auto" w:fill="auto"/>
            <w:noWrap/>
            <w:hideMark/>
          </w:tcPr>
          <w:p w14:paraId="176B9F28"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23</w:t>
            </w:r>
          </w:p>
        </w:tc>
        <w:tc>
          <w:tcPr>
            <w:tcW w:w="319" w:type="pct"/>
            <w:shd w:val="clear" w:color="000000" w:fill="C0C0C0"/>
            <w:noWrap/>
            <w:hideMark/>
          </w:tcPr>
          <w:p w14:paraId="16C58AB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159</w:t>
            </w:r>
          </w:p>
        </w:tc>
        <w:tc>
          <w:tcPr>
            <w:tcW w:w="358" w:type="pct"/>
            <w:shd w:val="clear" w:color="000000" w:fill="C0C0C0"/>
            <w:noWrap/>
            <w:hideMark/>
          </w:tcPr>
          <w:p w14:paraId="33684566"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22,71</w:t>
            </w:r>
          </w:p>
        </w:tc>
        <w:tc>
          <w:tcPr>
            <w:tcW w:w="339" w:type="pct"/>
            <w:shd w:val="clear" w:color="000000" w:fill="C0C0C0"/>
            <w:noWrap/>
            <w:hideMark/>
          </w:tcPr>
          <w:p w14:paraId="423B15E3"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6,5</w:t>
            </w:r>
          </w:p>
        </w:tc>
        <w:tc>
          <w:tcPr>
            <w:tcW w:w="409" w:type="pct"/>
            <w:shd w:val="clear" w:color="000000" w:fill="C0C0C0"/>
            <w:noWrap/>
            <w:hideMark/>
          </w:tcPr>
          <w:p w14:paraId="6FC36DA8"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147,64</w:t>
            </w:r>
          </w:p>
        </w:tc>
        <w:tc>
          <w:tcPr>
            <w:tcW w:w="466" w:type="pct"/>
            <w:shd w:val="clear" w:color="auto" w:fill="auto"/>
            <w:noWrap/>
            <w:hideMark/>
          </w:tcPr>
          <w:p w14:paraId="3752B36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$ 41.040,00</w:t>
            </w:r>
          </w:p>
        </w:tc>
        <w:tc>
          <w:tcPr>
            <w:tcW w:w="352" w:type="pct"/>
            <w:shd w:val="clear" w:color="000000" w:fill="D9D9D9"/>
            <w:noWrap/>
            <w:hideMark/>
          </w:tcPr>
          <w:p w14:paraId="7ABA3DE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55E6AB6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4,61</w:t>
            </w:r>
          </w:p>
        </w:tc>
        <w:tc>
          <w:tcPr>
            <w:tcW w:w="497" w:type="pct"/>
            <w:shd w:val="clear" w:color="000000" w:fill="D9D9D9"/>
            <w:noWrap/>
            <w:hideMark/>
          </w:tcPr>
          <w:p w14:paraId="0D4B5808"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$ 828.901,17</w:t>
            </w:r>
          </w:p>
        </w:tc>
        <w:tc>
          <w:tcPr>
            <w:tcW w:w="557" w:type="pct"/>
            <w:shd w:val="clear" w:color="000000" w:fill="D9D9D9"/>
            <w:noWrap/>
            <w:hideMark/>
          </w:tcPr>
          <w:p w14:paraId="1E7CDFCF" w14:textId="6ACF806D"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131.795.286,25</w:t>
            </w:r>
          </w:p>
        </w:tc>
      </w:tr>
      <w:tr w:rsidR="00FF0ED7" w:rsidRPr="00740C0C" w14:paraId="2ED25089" w14:textId="77777777" w:rsidTr="00FF0ED7">
        <w:trPr>
          <w:trHeight w:val="315"/>
        </w:trPr>
        <w:tc>
          <w:tcPr>
            <w:tcW w:w="253" w:type="pct"/>
            <w:shd w:val="clear" w:color="auto" w:fill="auto"/>
            <w:noWrap/>
            <w:hideMark/>
          </w:tcPr>
          <w:p w14:paraId="7A655DB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1990</w:t>
            </w:r>
          </w:p>
        </w:tc>
        <w:tc>
          <w:tcPr>
            <w:tcW w:w="223" w:type="pct"/>
            <w:shd w:val="clear" w:color="auto" w:fill="auto"/>
            <w:noWrap/>
            <w:hideMark/>
          </w:tcPr>
          <w:p w14:paraId="1DCA175F"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7</w:t>
            </w:r>
          </w:p>
        </w:tc>
        <w:tc>
          <w:tcPr>
            <w:tcW w:w="181" w:type="pct"/>
            <w:shd w:val="clear" w:color="auto" w:fill="auto"/>
            <w:noWrap/>
            <w:hideMark/>
          </w:tcPr>
          <w:p w14:paraId="6CEF46CA"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w:t>
            </w:r>
          </w:p>
        </w:tc>
        <w:tc>
          <w:tcPr>
            <w:tcW w:w="253" w:type="pct"/>
            <w:shd w:val="clear" w:color="auto" w:fill="auto"/>
            <w:noWrap/>
            <w:hideMark/>
          </w:tcPr>
          <w:p w14:paraId="327BA4D3"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1990</w:t>
            </w:r>
          </w:p>
        </w:tc>
        <w:tc>
          <w:tcPr>
            <w:tcW w:w="223" w:type="pct"/>
            <w:shd w:val="clear" w:color="auto" w:fill="auto"/>
            <w:noWrap/>
            <w:hideMark/>
          </w:tcPr>
          <w:p w14:paraId="4C6F0CCA"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12</w:t>
            </w:r>
          </w:p>
        </w:tc>
        <w:tc>
          <w:tcPr>
            <w:tcW w:w="182" w:type="pct"/>
            <w:shd w:val="clear" w:color="auto" w:fill="auto"/>
            <w:noWrap/>
            <w:hideMark/>
          </w:tcPr>
          <w:p w14:paraId="5B4A8EE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21</w:t>
            </w:r>
          </w:p>
        </w:tc>
        <w:tc>
          <w:tcPr>
            <w:tcW w:w="319" w:type="pct"/>
            <w:shd w:val="clear" w:color="000000" w:fill="C0C0C0"/>
            <w:noWrap/>
            <w:hideMark/>
          </w:tcPr>
          <w:p w14:paraId="565A095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156</w:t>
            </w:r>
          </w:p>
        </w:tc>
        <w:tc>
          <w:tcPr>
            <w:tcW w:w="358" w:type="pct"/>
            <w:shd w:val="clear" w:color="000000" w:fill="C0C0C0"/>
            <w:noWrap/>
            <w:hideMark/>
          </w:tcPr>
          <w:p w14:paraId="57262ADF"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22,29</w:t>
            </w:r>
          </w:p>
        </w:tc>
        <w:tc>
          <w:tcPr>
            <w:tcW w:w="339" w:type="pct"/>
            <w:shd w:val="clear" w:color="000000" w:fill="C0C0C0"/>
            <w:noWrap/>
            <w:hideMark/>
          </w:tcPr>
          <w:p w14:paraId="6E47910A"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6,5</w:t>
            </w:r>
          </w:p>
        </w:tc>
        <w:tc>
          <w:tcPr>
            <w:tcW w:w="409" w:type="pct"/>
            <w:shd w:val="clear" w:color="000000" w:fill="C0C0C0"/>
            <w:noWrap/>
            <w:hideMark/>
          </w:tcPr>
          <w:p w14:paraId="4A941947"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144,86</w:t>
            </w:r>
          </w:p>
        </w:tc>
        <w:tc>
          <w:tcPr>
            <w:tcW w:w="466" w:type="pct"/>
            <w:shd w:val="clear" w:color="auto" w:fill="auto"/>
            <w:noWrap/>
            <w:hideMark/>
          </w:tcPr>
          <w:p w14:paraId="2E9AA152"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$ 47.370,00</w:t>
            </w:r>
          </w:p>
        </w:tc>
        <w:tc>
          <w:tcPr>
            <w:tcW w:w="352" w:type="pct"/>
            <w:shd w:val="clear" w:color="000000" w:fill="D9D9D9"/>
            <w:noWrap/>
            <w:hideMark/>
          </w:tcPr>
          <w:p w14:paraId="7D2B892C"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0A3A5AA5"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5,81</w:t>
            </w:r>
          </w:p>
        </w:tc>
        <w:tc>
          <w:tcPr>
            <w:tcW w:w="497" w:type="pct"/>
            <w:shd w:val="clear" w:color="000000" w:fill="D9D9D9"/>
            <w:noWrap/>
            <w:hideMark/>
          </w:tcPr>
          <w:p w14:paraId="7BB41094"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$ 759.142,98</w:t>
            </w:r>
          </w:p>
        </w:tc>
        <w:tc>
          <w:tcPr>
            <w:tcW w:w="557" w:type="pct"/>
            <w:shd w:val="clear" w:color="000000" w:fill="D9D9D9"/>
            <w:noWrap/>
            <w:hideMark/>
          </w:tcPr>
          <w:p w14:paraId="45ECF726" w14:textId="5CDA36DB"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118.426.304,51</w:t>
            </w:r>
          </w:p>
        </w:tc>
      </w:tr>
      <w:tr w:rsidR="00FF0ED7" w:rsidRPr="00740C0C" w14:paraId="16C8A90B" w14:textId="77777777" w:rsidTr="00FF0ED7">
        <w:trPr>
          <w:trHeight w:val="315"/>
        </w:trPr>
        <w:tc>
          <w:tcPr>
            <w:tcW w:w="253" w:type="pct"/>
            <w:shd w:val="clear" w:color="auto" w:fill="auto"/>
            <w:noWrap/>
            <w:hideMark/>
          </w:tcPr>
          <w:p w14:paraId="5568688B"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1991</w:t>
            </w:r>
          </w:p>
        </w:tc>
        <w:tc>
          <w:tcPr>
            <w:tcW w:w="223" w:type="pct"/>
            <w:shd w:val="clear" w:color="auto" w:fill="auto"/>
            <w:noWrap/>
            <w:hideMark/>
          </w:tcPr>
          <w:p w14:paraId="217F6EFF"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2</w:t>
            </w:r>
          </w:p>
        </w:tc>
        <w:tc>
          <w:tcPr>
            <w:tcW w:w="181" w:type="pct"/>
            <w:shd w:val="clear" w:color="auto" w:fill="auto"/>
            <w:noWrap/>
            <w:hideMark/>
          </w:tcPr>
          <w:p w14:paraId="30D1DF97"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14</w:t>
            </w:r>
          </w:p>
        </w:tc>
        <w:tc>
          <w:tcPr>
            <w:tcW w:w="253" w:type="pct"/>
            <w:shd w:val="clear" w:color="auto" w:fill="auto"/>
            <w:noWrap/>
            <w:hideMark/>
          </w:tcPr>
          <w:p w14:paraId="7E7B6B1C"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1991</w:t>
            </w:r>
          </w:p>
        </w:tc>
        <w:tc>
          <w:tcPr>
            <w:tcW w:w="223" w:type="pct"/>
            <w:shd w:val="clear" w:color="auto" w:fill="auto"/>
            <w:noWrap/>
            <w:hideMark/>
          </w:tcPr>
          <w:p w14:paraId="5FC90768"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12</w:t>
            </w:r>
          </w:p>
        </w:tc>
        <w:tc>
          <w:tcPr>
            <w:tcW w:w="182" w:type="pct"/>
            <w:shd w:val="clear" w:color="auto" w:fill="auto"/>
            <w:noWrap/>
            <w:hideMark/>
          </w:tcPr>
          <w:p w14:paraId="3E2E12E6"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21</w:t>
            </w:r>
          </w:p>
        </w:tc>
        <w:tc>
          <w:tcPr>
            <w:tcW w:w="319" w:type="pct"/>
            <w:shd w:val="clear" w:color="000000" w:fill="C0C0C0"/>
            <w:noWrap/>
            <w:hideMark/>
          </w:tcPr>
          <w:p w14:paraId="0897CD89"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311</w:t>
            </w:r>
          </w:p>
        </w:tc>
        <w:tc>
          <w:tcPr>
            <w:tcW w:w="358" w:type="pct"/>
            <w:shd w:val="clear" w:color="000000" w:fill="C0C0C0"/>
            <w:noWrap/>
            <w:hideMark/>
          </w:tcPr>
          <w:p w14:paraId="42B4BB4A"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44,43</w:t>
            </w:r>
          </w:p>
        </w:tc>
        <w:tc>
          <w:tcPr>
            <w:tcW w:w="339" w:type="pct"/>
            <w:shd w:val="clear" w:color="000000" w:fill="C0C0C0"/>
            <w:noWrap/>
            <w:hideMark/>
          </w:tcPr>
          <w:p w14:paraId="2A81DA67"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6,5</w:t>
            </w:r>
          </w:p>
        </w:tc>
        <w:tc>
          <w:tcPr>
            <w:tcW w:w="409" w:type="pct"/>
            <w:shd w:val="clear" w:color="000000" w:fill="C0C0C0"/>
            <w:noWrap/>
            <w:hideMark/>
          </w:tcPr>
          <w:p w14:paraId="52A4770F"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288,79</w:t>
            </w:r>
          </w:p>
        </w:tc>
        <w:tc>
          <w:tcPr>
            <w:tcW w:w="466" w:type="pct"/>
            <w:shd w:val="clear" w:color="auto" w:fill="auto"/>
            <w:noWrap/>
            <w:hideMark/>
          </w:tcPr>
          <w:p w14:paraId="0A786BE5"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$ 61.950,00</w:t>
            </w:r>
          </w:p>
        </w:tc>
        <w:tc>
          <w:tcPr>
            <w:tcW w:w="352" w:type="pct"/>
            <w:shd w:val="clear" w:color="000000" w:fill="D9D9D9"/>
            <w:noWrap/>
            <w:hideMark/>
          </w:tcPr>
          <w:p w14:paraId="48CFE3D1"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6A63A888"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7,69</w:t>
            </w:r>
          </w:p>
        </w:tc>
        <w:tc>
          <w:tcPr>
            <w:tcW w:w="497" w:type="pct"/>
            <w:shd w:val="clear" w:color="000000" w:fill="D9D9D9"/>
            <w:noWrap/>
            <w:hideMark/>
          </w:tcPr>
          <w:p w14:paraId="0C4560EC"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$ 750.086,41</w:t>
            </w:r>
          </w:p>
        </w:tc>
        <w:tc>
          <w:tcPr>
            <w:tcW w:w="557" w:type="pct"/>
            <w:shd w:val="clear" w:color="000000" w:fill="D9D9D9"/>
            <w:noWrap/>
            <w:hideMark/>
          </w:tcPr>
          <w:p w14:paraId="5CA3E658" w14:textId="1218C840"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233.276.873,80</w:t>
            </w:r>
          </w:p>
        </w:tc>
      </w:tr>
      <w:tr w:rsidR="00FF0ED7" w:rsidRPr="00740C0C" w14:paraId="49FA9E8A" w14:textId="77777777" w:rsidTr="00FF0ED7">
        <w:trPr>
          <w:trHeight w:val="315"/>
        </w:trPr>
        <w:tc>
          <w:tcPr>
            <w:tcW w:w="253" w:type="pct"/>
            <w:shd w:val="clear" w:color="auto" w:fill="auto"/>
            <w:noWrap/>
            <w:hideMark/>
          </w:tcPr>
          <w:p w14:paraId="2B09D421"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1992</w:t>
            </w:r>
          </w:p>
        </w:tc>
        <w:tc>
          <w:tcPr>
            <w:tcW w:w="223" w:type="pct"/>
            <w:shd w:val="clear" w:color="auto" w:fill="auto"/>
            <w:noWrap/>
            <w:hideMark/>
          </w:tcPr>
          <w:p w14:paraId="331BB441"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11</w:t>
            </w:r>
          </w:p>
        </w:tc>
        <w:tc>
          <w:tcPr>
            <w:tcW w:w="181" w:type="pct"/>
            <w:shd w:val="clear" w:color="auto" w:fill="auto"/>
            <w:noWrap/>
            <w:hideMark/>
          </w:tcPr>
          <w:p w14:paraId="48DEF947"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30</w:t>
            </w:r>
          </w:p>
        </w:tc>
        <w:tc>
          <w:tcPr>
            <w:tcW w:w="253" w:type="pct"/>
            <w:shd w:val="clear" w:color="auto" w:fill="auto"/>
            <w:noWrap/>
            <w:hideMark/>
          </w:tcPr>
          <w:p w14:paraId="2D0E0690"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1992</w:t>
            </w:r>
          </w:p>
        </w:tc>
        <w:tc>
          <w:tcPr>
            <w:tcW w:w="223" w:type="pct"/>
            <w:shd w:val="clear" w:color="auto" w:fill="auto"/>
            <w:noWrap/>
            <w:hideMark/>
          </w:tcPr>
          <w:p w14:paraId="0E1EA020"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12</w:t>
            </w:r>
          </w:p>
        </w:tc>
        <w:tc>
          <w:tcPr>
            <w:tcW w:w="182" w:type="pct"/>
            <w:shd w:val="clear" w:color="auto" w:fill="auto"/>
            <w:noWrap/>
            <w:hideMark/>
          </w:tcPr>
          <w:p w14:paraId="47F1AEFC"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31</w:t>
            </w:r>
          </w:p>
        </w:tc>
        <w:tc>
          <w:tcPr>
            <w:tcW w:w="319" w:type="pct"/>
            <w:shd w:val="clear" w:color="000000" w:fill="C0C0C0"/>
            <w:noWrap/>
            <w:hideMark/>
          </w:tcPr>
          <w:p w14:paraId="1DD2DEB4"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31</w:t>
            </w:r>
          </w:p>
        </w:tc>
        <w:tc>
          <w:tcPr>
            <w:tcW w:w="358" w:type="pct"/>
            <w:shd w:val="clear" w:color="000000" w:fill="C0C0C0"/>
            <w:noWrap/>
            <w:hideMark/>
          </w:tcPr>
          <w:p w14:paraId="3DB65B1C"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4,43</w:t>
            </w:r>
          </w:p>
        </w:tc>
        <w:tc>
          <w:tcPr>
            <w:tcW w:w="339" w:type="pct"/>
            <w:shd w:val="clear" w:color="000000" w:fill="C0C0C0"/>
            <w:noWrap/>
            <w:hideMark/>
          </w:tcPr>
          <w:p w14:paraId="17D21219"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6,5</w:t>
            </w:r>
          </w:p>
        </w:tc>
        <w:tc>
          <w:tcPr>
            <w:tcW w:w="409" w:type="pct"/>
            <w:shd w:val="clear" w:color="000000" w:fill="C0C0C0"/>
            <w:noWrap/>
            <w:hideMark/>
          </w:tcPr>
          <w:p w14:paraId="710D0326"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28,79</w:t>
            </w:r>
          </w:p>
        </w:tc>
        <w:tc>
          <w:tcPr>
            <w:tcW w:w="466" w:type="pct"/>
            <w:shd w:val="clear" w:color="auto" w:fill="auto"/>
            <w:noWrap/>
            <w:hideMark/>
          </w:tcPr>
          <w:p w14:paraId="1B3EC03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$ 79.290,00</w:t>
            </w:r>
          </w:p>
        </w:tc>
        <w:tc>
          <w:tcPr>
            <w:tcW w:w="352" w:type="pct"/>
            <w:shd w:val="clear" w:color="000000" w:fill="D9D9D9"/>
            <w:noWrap/>
            <w:hideMark/>
          </w:tcPr>
          <w:p w14:paraId="5161D2A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30DC33FB"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9,74</w:t>
            </w:r>
          </w:p>
        </w:tc>
        <w:tc>
          <w:tcPr>
            <w:tcW w:w="497" w:type="pct"/>
            <w:shd w:val="clear" w:color="000000" w:fill="D9D9D9"/>
            <w:noWrap/>
            <w:hideMark/>
          </w:tcPr>
          <w:p w14:paraId="0AC2E4B3"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$ 757.976,58</w:t>
            </w:r>
          </w:p>
        </w:tc>
        <w:tc>
          <w:tcPr>
            <w:tcW w:w="557" w:type="pct"/>
            <w:shd w:val="clear" w:color="000000" w:fill="D9D9D9"/>
            <w:noWrap/>
            <w:hideMark/>
          </w:tcPr>
          <w:p w14:paraId="71CC6990" w14:textId="79CDC193"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23.497.274,01</w:t>
            </w:r>
          </w:p>
        </w:tc>
      </w:tr>
      <w:tr w:rsidR="00FF0ED7" w:rsidRPr="00740C0C" w14:paraId="4EF425AB" w14:textId="77777777" w:rsidTr="00FF0ED7">
        <w:trPr>
          <w:trHeight w:val="315"/>
        </w:trPr>
        <w:tc>
          <w:tcPr>
            <w:tcW w:w="253" w:type="pct"/>
            <w:shd w:val="clear" w:color="auto" w:fill="auto"/>
            <w:noWrap/>
            <w:hideMark/>
          </w:tcPr>
          <w:p w14:paraId="2EA0FD42"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1993</w:t>
            </w:r>
          </w:p>
        </w:tc>
        <w:tc>
          <w:tcPr>
            <w:tcW w:w="223" w:type="pct"/>
            <w:shd w:val="clear" w:color="auto" w:fill="auto"/>
            <w:noWrap/>
            <w:hideMark/>
          </w:tcPr>
          <w:p w14:paraId="7120A0B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181" w:type="pct"/>
            <w:shd w:val="clear" w:color="auto" w:fill="auto"/>
            <w:noWrap/>
            <w:hideMark/>
          </w:tcPr>
          <w:p w14:paraId="0BC39C14"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253" w:type="pct"/>
            <w:shd w:val="clear" w:color="auto" w:fill="auto"/>
            <w:noWrap/>
            <w:hideMark/>
          </w:tcPr>
          <w:p w14:paraId="6A4752E7"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1993</w:t>
            </w:r>
          </w:p>
        </w:tc>
        <w:tc>
          <w:tcPr>
            <w:tcW w:w="223" w:type="pct"/>
            <w:shd w:val="clear" w:color="auto" w:fill="auto"/>
            <w:noWrap/>
            <w:hideMark/>
          </w:tcPr>
          <w:p w14:paraId="4D444521"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w:t>
            </w:r>
          </w:p>
        </w:tc>
        <w:tc>
          <w:tcPr>
            <w:tcW w:w="182" w:type="pct"/>
            <w:shd w:val="clear" w:color="auto" w:fill="auto"/>
            <w:noWrap/>
            <w:hideMark/>
          </w:tcPr>
          <w:p w14:paraId="4F1CDB54"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10</w:t>
            </w:r>
          </w:p>
        </w:tc>
        <w:tc>
          <w:tcPr>
            <w:tcW w:w="319" w:type="pct"/>
            <w:shd w:val="clear" w:color="000000" w:fill="C0C0C0"/>
            <w:noWrap/>
            <w:hideMark/>
          </w:tcPr>
          <w:p w14:paraId="21170547"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70</w:t>
            </w:r>
          </w:p>
        </w:tc>
        <w:tc>
          <w:tcPr>
            <w:tcW w:w="358" w:type="pct"/>
            <w:shd w:val="clear" w:color="000000" w:fill="C0C0C0"/>
            <w:noWrap/>
            <w:hideMark/>
          </w:tcPr>
          <w:p w14:paraId="0B322D84"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10,00</w:t>
            </w:r>
          </w:p>
        </w:tc>
        <w:tc>
          <w:tcPr>
            <w:tcW w:w="339" w:type="pct"/>
            <w:shd w:val="clear" w:color="000000" w:fill="C0C0C0"/>
            <w:noWrap/>
            <w:hideMark/>
          </w:tcPr>
          <w:p w14:paraId="1F08E7B0"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8</w:t>
            </w:r>
          </w:p>
        </w:tc>
        <w:tc>
          <w:tcPr>
            <w:tcW w:w="409" w:type="pct"/>
            <w:shd w:val="clear" w:color="000000" w:fill="C0C0C0"/>
            <w:noWrap/>
            <w:hideMark/>
          </w:tcPr>
          <w:p w14:paraId="33AD1066"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80,00</w:t>
            </w:r>
          </w:p>
        </w:tc>
        <w:tc>
          <w:tcPr>
            <w:tcW w:w="466" w:type="pct"/>
            <w:shd w:val="clear" w:color="auto" w:fill="auto"/>
            <w:noWrap/>
            <w:hideMark/>
          </w:tcPr>
          <w:p w14:paraId="115ADB25"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$ 89.070,00</w:t>
            </w:r>
          </w:p>
        </w:tc>
        <w:tc>
          <w:tcPr>
            <w:tcW w:w="352" w:type="pct"/>
            <w:shd w:val="clear" w:color="000000" w:fill="D9D9D9"/>
            <w:noWrap/>
            <w:hideMark/>
          </w:tcPr>
          <w:p w14:paraId="6595D5DC"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403A3456"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12,19</w:t>
            </w:r>
          </w:p>
        </w:tc>
        <w:tc>
          <w:tcPr>
            <w:tcW w:w="497" w:type="pct"/>
            <w:shd w:val="clear" w:color="000000" w:fill="D9D9D9"/>
            <w:noWrap/>
            <w:hideMark/>
          </w:tcPr>
          <w:p w14:paraId="13F691C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$ 680.336,97</w:t>
            </w:r>
          </w:p>
        </w:tc>
        <w:tc>
          <w:tcPr>
            <w:tcW w:w="557" w:type="pct"/>
            <w:shd w:val="clear" w:color="000000" w:fill="D9D9D9"/>
            <w:noWrap/>
            <w:hideMark/>
          </w:tcPr>
          <w:p w14:paraId="75440EAE" w14:textId="3463EF4C"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47.623.588,11</w:t>
            </w:r>
          </w:p>
        </w:tc>
      </w:tr>
      <w:tr w:rsidR="00FF0ED7" w:rsidRPr="00740C0C" w14:paraId="58418641" w14:textId="77777777" w:rsidTr="00FF0ED7">
        <w:trPr>
          <w:trHeight w:val="315"/>
        </w:trPr>
        <w:tc>
          <w:tcPr>
            <w:tcW w:w="253" w:type="pct"/>
            <w:shd w:val="clear" w:color="auto" w:fill="auto"/>
            <w:noWrap/>
            <w:hideMark/>
          </w:tcPr>
          <w:p w14:paraId="0755DFBA"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1993</w:t>
            </w:r>
          </w:p>
        </w:tc>
        <w:tc>
          <w:tcPr>
            <w:tcW w:w="223" w:type="pct"/>
            <w:shd w:val="clear" w:color="auto" w:fill="auto"/>
            <w:noWrap/>
            <w:hideMark/>
          </w:tcPr>
          <w:p w14:paraId="04748471"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w:t>
            </w:r>
          </w:p>
        </w:tc>
        <w:tc>
          <w:tcPr>
            <w:tcW w:w="181" w:type="pct"/>
            <w:shd w:val="clear" w:color="auto" w:fill="auto"/>
            <w:noWrap/>
            <w:hideMark/>
          </w:tcPr>
          <w:p w14:paraId="05099A6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11</w:t>
            </w:r>
          </w:p>
        </w:tc>
        <w:tc>
          <w:tcPr>
            <w:tcW w:w="253" w:type="pct"/>
            <w:shd w:val="clear" w:color="auto" w:fill="auto"/>
            <w:noWrap/>
            <w:hideMark/>
          </w:tcPr>
          <w:p w14:paraId="5C7603F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1993</w:t>
            </w:r>
          </w:p>
        </w:tc>
        <w:tc>
          <w:tcPr>
            <w:tcW w:w="223" w:type="pct"/>
            <w:shd w:val="clear" w:color="auto" w:fill="auto"/>
            <w:noWrap/>
            <w:hideMark/>
          </w:tcPr>
          <w:p w14:paraId="3683EA2F"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12</w:t>
            </w:r>
          </w:p>
        </w:tc>
        <w:tc>
          <w:tcPr>
            <w:tcW w:w="182" w:type="pct"/>
            <w:shd w:val="clear" w:color="auto" w:fill="auto"/>
            <w:noWrap/>
            <w:hideMark/>
          </w:tcPr>
          <w:p w14:paraId="7DBBEEC7"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31</w:t>
            </w:r>
          </w:p>
        </w:tc>
        <w:tc>
          <w:tcPr>
            <w:tcW w:w="319" w:type="pct"/>
            <w:shd w:val="clear" w:color="000000" w:fill="C0C0C0"/>
            <w:noWrap/>
            <w:hideMark/>
          </w:tcPr>
          <w:p w14:paraId="2DC4431A"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296</w:t>
            </w:r>
          </w:p>
        </w:tc>
        <w:tc>
          <w:tcPr>
            <w:tcW w:w="358" w:type="pct"/>
            <w:shd w:val="clear" w:color="000000" w:fill="C0C0C0"/>
            <w:noWrap/>
            <w:hideMark/>
          </w:tcPr>
          <w:p w14:paraId="5D4F0B32"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42,29</w:t>
            </w:r>
          </w:p>
        </w:tc>
        <w:tc>
          <w:tcPr>
            <w:tcW w:w="339" w:type="pct"/>
            <w:shd w:val="clear" w:color="000000" w:fill="C0C0C0"/>
            <w:noWrap/>
            <w:hideMark/>
          </w:tcPr>
          <w:p w14:paraId="3C6D5355"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8</w:t>
            </w:r>
          </w:p>
        </w:tc>
        <w:tc>
          <w:tcPr>
            <w:tcW w:w="409" w:type="pct"/>
            <w:shd w:val="clear" w:color="000000" w:fill="C0C0C0"/>
            <w:noWrap/>
            <w:hideMark/>
          </w:tcPr>
          <w:p w14:paraId="4922B95F"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338,29</w:t>
            </w:r>
          </w:p>
        </w:tc>
        <w:tc>
          <w:tcPr>
            <w:tcW w:w="466" w:type="pct"/>
            <w:shd w:val="clear" w:color="auto" w:fill="auto"/>
            <w:noWrap/>
            <w:hideMark/>
          </w:tcPr>
          <w:p w14:paraId="542E5504"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$ 79.290,00</w:t>
            </w:r>
          </w:p>
        </w:tc>
        <w:tc>
          <w:tcPr>
            <w:tcW w:w="352" w:type="pct"/>
            <w:shd w:val="clear" w:color="000000" w:fill="D9D9D9"/>
            <w:noWrap/>
            <w:hideMark/>
          </w:tcPr>
          <w:p w14:paraId="10805CB0"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2770846F"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12,19</w:t>
            </w:r>
          </w:p>
        </w:tc>
        <w:tc>
          <w:tcPr>
            <w:tcW w:w="497" w:type="pct"/>
            <w:shd w:val="clear" w:color="000000" w:fill="D9D9D9"/>
            <w:noWrap/>
            <w:hideMark/>
          </w:tcPr>
          <w:p w14:paraId="22956E84"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$ 605.635,10</w:t>
            </w:r>
          </w:p>
        </w:tc>
        <w:tc>
          <w:tcPr>
            <w:tcW w:w="557" w:type="pct"/>
            <w:shd w:val="clear" w:color="000000" w:fill="D9D9D9"/>
            <w:noWrap/>
            <w:hideMark/>
          </w:tcPr>
          <w:p w14:paraId="59BD8FC6" w14:textId="47A474C9"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179.267.990,35</w:t>
            </w:r>
          </w:p>
        </w:tc>
      </w:tr>
      <w:tr w:rsidR="00FF0ED7" w:rsidRPr="00740C0C" w14:paraId="1DA0A172" w14:textId="77777777" w:rsidTr="00FF0ED7">
        <w:trPr>
          <w:trHeight w:val="315"/>
        </w:trPr>
        <w:tc>
          <w:tcPr>
            <w:tcW w:w="253" w:type="pct"/>
            <w:shd w:val="clear" w:color="auto" w:fill="auto"/>
            <w:noWrap/>
            <w:hideMark/>
          </w:tcPr>
          <w:p w14:paraId="64C857F5"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1994</w:t>
            </w:r>
          </w:p>
        </w:tc>
        <w:tc>
          <w:tcPr>
            <w:tcW w:w="223" w:type="pct"/>
            <w:shd w:val="clear" w:color="auto" w:fill="auto"/>
            <w:noWrap/>
            <w:hideMark/>
          </w:tcPr>
          <w:p w14:paraId="74E344D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181" w:type="pct"/>
            <w:shd w:val="clear" w:color="auto" w:fill="auto"/>
            <w:noWrap/>
            <w:hideMark/>
          </w:tcPr>
          <w:p w14:paraId="4DD5E3F2"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253" w:type="pct"/>
            <w:shd w:val="clear" w:color="auto" w:fill="auto"/>
            <w:noWrap/>
            <w:hideMark/>
          </w:tcPr>
          <w:p w14:paraId="219698F4"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1994</w:t>
            </w:r>
          </w:p>
        </w:tc>
        <w:tc>
          <w:tcPr>
            <w:tcW w:w="223" w:type="pct"/>
            <w:shd w:val="clear" w:color="auto" w:fill="auto"/>
            <w:noWrap/>
            <w:hideMark/>
          </w:tcPr>
          <w:p w14:paraId="29767A8B"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02</w:t>
            </w:r>
          </w:p>
        </w:tc>
        <w:tc>
          <w:tcPr>
            <w:tcW w:w="182" w:type="pct"/>
            <w:shd w:val="clear" w:color="auto" w:fill="auto"/>
            <w:noWrap/>
            <w:hideMark/>
          </w:tcPr>
          <w:p w14:paraId="4147FF49"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28</w:t>
            </w:r>
          </w:p>
        </w:tc>
        <w:tc>
          <w:tcPr>
            <w:tcW w:w="319" w:type="pct"/>
            <w:shd w:val="clear" w:color="000000" w:fill="C0C0C0"/>
            <w:noWrap/>
            <w:hideMark/>
          </w:tcPr>
          <w:p w14:paraId="021976BB"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59</w:t>
            </w:r>
          </w:p>
        </w:tc>
        <w:tc>
          <w:tcPr>
            <w:tcW w:w="358" w:type="pct"/>
            <w:shd w:val="clear" w:color="000000" w:fill="C0C0C0"/>
            <w:noWrap/>
            <w:hideMark/>
          </w:tcPr>
          <w:p w14:paraId="25EC83E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8,43</w:t>
            </w:r>
          </w:p>
        </w:tc>
        <w:tc>
          <w:tcPr>
            <w:tcW w:w="339" w:type="pct"/>
            <w:shd w:val="clear" w:color="000000" w:fill="C0C0C0"/>
            <w:noWrap/>
            <w:hideMark/>
          </w:tcPr>
          <w:p w14:paraId="7D8E0A71"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8</w:t>
            </w:r>
          </w:p>
        </w:tc>
        <w:tc>
          <w:tcPr>
            <w:tcW w:w="409" w:type="pct"/>
            <w:shd w:val="clear" w:color="000000" w:fill="C0C0C0"/>
            <w:noWrap/>
            <w:hideMark/>
          </w:tcPr>
          <w:p w14:paraId="4D337EBF"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67,43</w:t>
            </w:r>
          </w:p>
        </w:tc>
        <w:tc>
          <w:tcPr>
            <w:tcW w:w="466" w:type="pct"/>
            <w:shd w:val="clear" w:color="auto" w:fill="auto"/>
            <w:noWrap/>
            <w:hideMark/>
          </w:tcPr>
          <w:p w14:paraId="4B923C3A"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$ 98.700,00</w:t>
            </w:r>
          </w:p>
        </w:tc>
        <w:tc>
          <w:tcPr>
            <w:tcW w:w="352" w:type="pct"/>
            <w:shd w:val="clear" w:color="000000" w:fill="D9D9D9"/>
            <w:noWrap/>
            <w:hideMark/>
          </w:tcPr>
          <w:p w14:paraId="441D6AEA"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379B77CA"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14,93</w:t>
            </w:r>
          </w:p>
        </w:tc>
        <w:tc>
          <w:tcPr>
            <w:tcW w:w="497" w:type="pct"/>
            <w:shd w:val="clear" w:color="000000" w:fill="D9D9D9"/>
            <w:noWrap/>
            <w:hideMark/>
          </w:tcPr>
          <w:p w14:paraId="624F3F9F"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$ 615.536,30</w:t>
            </w:r>
          </w:p>
        </w:tc>
        <w:tc>
          <w:tcPr>
            <w:tcW w:w="557" w:type="pct"/>
            <w:shd w:val="clear" w:color="000000" w:fill="D9D9D9"/>
            <w:noWrap/>
            <w:hideMark/>
          </w:tcPr>
          <w:p w14:paraId="15489C4B" w14:textId="0F2C434E"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36.316.641,86</w:t>
            </w:r>
          </w:p>
        </w:tc>
      </w:tr>
      <w:tr w:rsidR="00FF0ED7" w:rsidRPr="00740C0C" w14:paraId="309B82E2" w14:textId="77777777" w:rsidTr="00FF0ED7">
        <w:trPr>
          <w:trHeight w:val="315"/>
        </w:trPr>
        <w:tc>
          <w:tcPr>
            <w:tcW w:w="253" w:type="pct"/>
            <w:shd w:val="clear" w:color="auto" w:fill="auto"/>
            <w:noWrap/>
            <w:hideMark/>
          </w:tcPr>
          <w:p w14:paraId="365E4EBB"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1994</w:t>
            </w:r>
          </w:p>
        </w:tc>
        <w:tc>
          <w:tcPr>
            <w:tcW w:w="223" w:type="pct"/>
            <w:shd w:val="clear" w:color="auto" w:fill="auto"/>
            <w:noWrap/>
            <w:hideMark/>
          </w:tcPr>
          <w:p w14:paraId="5AFF3E3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03</w:t>
            </w:r>
          </w:p>
        </w:tc>
        <w:tc>
          <w:tcPr>
            <w:tcW w:w="181" w:type="pct"/>
            <w:shd w:val="clear" w:color="auto" w:fill="auto"/>
            <w:noWrap/>
            <w:hideMark/>
          </w:tcPr>
          <w:p w14:paraId="0D038FF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01</w:t>
            </w:r>
          </w:p>
        </w:tc>
        <w:tc>
          <w:tcPr>
            <w:tcW w:w="253" w:type="pct"/>
            <w:shd w:val="clear" w:color="auto" w:fill="auto"/>
            <w:noWrap/>
            <w:hideMark/>
          </w:tcPr>
          <w:p w14:paraId="5CB7B0FA"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1994</w:t>
            </w:r>
          </w:p>
        </w:tc>
        <w:tc>
          <w:tcPr>
            <w:tcW w:w="223" w:type="pct"/>
            <w:shd w:val="clear" w:color="auto" w:fill="auto"/>
            <w:noWrap/>
            <w:hideMark/>
          </w:tcPr>
          <w:p w14:paraId="0E0D5F62"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12</w:t>
            </w:r>
          </w:p>
        </w:tc>
        <w:tc>
          <w:tcPr>
            <w:tcW w:w="182" w:type="pct"/>
            <w:shd w:val="clear" w:color="auto" w:fill="auto"/>
            <w:noWrap/>
            <w:hideMark/>
          </w:tcPr>
          <w:p w14:paraId="3210F00B"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31</w:t>
            </w:r>
          </w:p>
        </w:tc>
        <w:tc>
          <w:tcPr>
            <w:tcW w:w="319" w:type="pct"/>
            <w:shd w:val="clear" w:color="000000" w:fill="C0C0C0"/>
            <w:noWrap/>
            <w:hideMark/>
          </w:tcPr>
          <w:p w14:paraId="4ED5ADB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306</w:t>
            </w:r>
          </w:p>
        </w:tc>
        <w:tc>
          <w:tcPr>
            <w:tcW w:w="358" w:type="pct"/>
            <w:shd w:val="clear" w:color="000000" w:fill="C0C0C0"/>
            <w:noWrap/>
            <w:hideMark/>
          </w:tcPr>
          <w:p w14:paraId="7676FA08"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43,71</w:t>
            </w:r>
          </w:p>
        </w:tc>
        <w:tc>
          <w:tcPr>
            <w:tcW w:w="339" w:type="pct"/>
            <w:shd w:val="clear" w:color="000000" w:fill="C0C0C0"/>
            <w:noWrap/>
            <w:hideMark/>
          </w:tcPr>
          <w:p w14:paraId="4D6304F5"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11,5</w:t>
            </w:r>
          </w:p>
        </w:tc>
        <w:tc>
          <w:tcPr>
            <w:tcW w:w="409" w:type="pct"/>
            <w:shd w:val="clear" w:color="000000" w:fill="C0C0C0"/>
            <w:noWrap/>
            <w:hideMark/>
          </w:tcPr>
          <w:p w14:paraId="6AC2152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502,71</w:t>
            </w:r>
          </w:p>
        </w:tc>
        <w:tc>
          <w:tcPr>
            <w:tcW w:w="466" w:type="pct"/>
            <w:shd w:val="clear" w:color="auto" w:fill="auto"/>
            <w:noWrap/>
            <w:hideMark/>
          </w:tcPr>
          <w:p w14:paraId="32B347F3"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$ 98.700,00</w:t>
            </w:r>
          </w:p>
        </w:tc>
        <w:tc>
          <w:tcPr>
            <w:tcW w:w="352" w:type="pct"/>
            <w:shd w:val="clear" w:color="000000" w:fill="D9D9D9"/>
            <w:noWrap/>
            <w:hideMark/>
          </w:tcPr>
          <w:p w14:paraId="22DBFEA2"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6CC46005"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14,93</w:t>
            </w:r>
          </w:p>
        </w:tc>
        <w:tc>
          <w:tcPr>
            <w:tcW w:w="497" w:type="pct"/>
            <w:shd w:val="clear" w:color="000000" w:fill="D9D9D9"/>
            <w:noWrap/>
            <w:hideMark/>
          </w:tcPr>
          <w:p w14:paraId="44A4917C"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$ 615.536,30</w:t>
            </w:r>
          </w:p>
        </w:tc>
        <w:tc>
          <w:tcPr>
            <w:tcW w:w="557" w:type="pct"/>
            <w:shd w:val="clear" w:color="000000" w:fill="D9D9D9"/>
            <w:noWrap/>
            <w:hideMark/>
          </w:tcPr>
          <w:p w14:paraId="786E0AA6" w14:textId="28197668"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188.354.108,64</w:t>
            </w:r>
          </w:p>
        </w:tc>
      </w:tr>
      <w:tr w:rsidR="00FF0ED7" w:rsidRPr="00740C0C" w14:paraId="6E7CD413" w14:textId="77777777" w:rsidTr="00FF0ED7">
        <w:trPr>
          <w:trHeight w:val="315"/>
        </w:trPr>
        <w:tc>
          <w:tcPr>
            <w:tcW w:w="253" w:type="pct"/>
            <w:shd w:val="clear" w:color="auto" w:fill="auto"/>
            <w:noWrap/>
            <w:hideMark/>
          </w:tcPr>
          <w:p w14:paraId="58F8E640"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1995</w:t>
            </w:r>
          </w:p>
        </w:tc>
        <w:tc>
          <w:tcPr>
            <w:tcW w:w="223" w:type="pct"/>
            <w:shd w:val="clear" w:color="auto" w:fill="auto"/>
            <w:noWrap/>
            <w:hideMark/>
          </w:tcPr>
          <w:p w14:paraId="5FA61065"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01</w:t>
            </w:r>
          </w:p>
        </w:tc>
        <w:tc>
          <w:tcPr>
            <w:tcW w:w="181" w:type="pct"/>
            <w:shd w:val="clear" w:color="auto" w:fill="auto"/>
            <w:noWrap/>
            <w:hideMark/>
          </w:tcPr>
          <w:p w14:paraId="00CFE928"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253" w:type="pct"/>
            <w:shd w:val="clear" w:color="auto" w:fill="auto"/>
            <w:noWrap/>
            <w:hideMark/>
          </w:tcPr>
          <w:p w14:paraId="43305DA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1995</w:t>
            </w:r>
          </w:p>
        </w:tc>
        <w:tc>
          <w:tcPr>
            <w:tcW w:w="223" w:type="pct"/>
            <w:shd w:val="clear" w:color="auto" w:fill="auto"/>
            <w:noWrap/>
            <w:hideMark/>
          </w:tcPr>
          <w:p w14:paraId="31868DE4"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01</w:t>
            </w:r>
          </w:p>
        </w:tc>
        <w:tc>
          <w:tcPr>
            <w:tcW w:w="182" w:type="pct"/>
            <w:shd w:val="clear" w:color="auto" w:fill="auto"/>
            <w:noWrap/>
            <w:hideMark/>
          </w:tcPr>
          <w:p w14:paraId="11FE332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31</w:t>
            </w:r>
          </w:p>
        </w:tc>
        <w:tc>
          <w:tcPr>
            <w:tcW w:w="319" w:type="pct"/>
            <w:shd w:val="clear" w:color="000000" w:fill="C0C0C0"/>
            <w:noWrap/>
            <w:hideMark/>
          </w:tcPr>
          <w:p w14:paraId="5FFE2CE6"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30</w:t>
            </w:r>
          </w:p>
        </w:tc>
        <w:tc>
          <w:tcPr>
            <w:tcW w:w="358" w:type="pct"/>
            <w:shd w:val="clear" w:color="000000" w:fill="C0C0C0"/>
            <w:noWrap/>
            <w:hideMark/>
          </w:tcPr>
          <w:p w14:paraId="350D4E72"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4,29</w:t>
            </w:r>
          </w:p>
        </w:tc>
        <w:tc>
          <w:tcPr>
            <w:tcW w:w="339" w:type="pct"/>
            <w:shd w:val="clear" w:color="000000" w:fill="C0C0C0"/>
            <w:noWrap/>
            <w:hideMark/>
          </w:tcPr>
          <w:p w14:paraId="5A872B8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12,5</w:t>
            </w:r>
          </w:p>
        </w:tc>
        <w:tc>
          <w:tcPr>
            <w:tcW w:w="409" w:type="pct"/>
            <w:shd w:val="clear" w:color="000000" w:fill="C0C0C0"/>
            <w:noWrap/>
            <w:hideMark/>
          </w:tcPr>
          <w:p w14:paraId="0E9EACA6"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53,57</w:t>
            </w:r>
          </w:p>
        </w:tc>
        <w:tc>
          <w:tcPr>
            <w:tcW w:w="466" w:type="pct"/>
            <w:shd w:val="clear" w:color="auto" w:fill="auto"/>
            <w:noWrap/>
            <w:hideMark/>
          </w:tcPr>
          <w:p w14:paraId="78520969"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$ 118.933,00</w:t>
            </w:r>
          </w:p>
        </w:tc>
        <w:tc>
          <w:tcPr>
            <w:tcW w:w="352" w:type="pct"/>
            <w:shd w:val="clear" w:color="000000" w:fill="D9D9D9"/>
            <w:noWrap/>
            <w:hideMark/>
          </w:tcPr>
          <w:p w14:paraId="7E3FE851"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74C07045"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18,29</w:t>
            </w:r>
          </w:p>
        </w:tc>
        <w:tc>
          <w:tcPr>
            <w:tcW w:w="497" w:type="pct"/>
            <w:shd w:val="clear" w:color="000000" w:fill="D9D9D9"/>
            <w:noWrap/>
            <w:hideMark/>
          </w:tcPr>
          <w:p w14:paraId="15A00938"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$ 605.459,36</w:t>
            </w:r>
          </w:p>
        </w:tc>
        <w:tc>
          <w:tcPr>
            <w:tcW w:w="557" w:type="pct"/>
            <w:shd w:val="clear" w:color="000000" w:fill="D9D9D9"/>
            <w:noWrap/>
            <w:hideMark/>
          </w:tcPr>
          <w:p w14:paraId="378E7074" w14:textId="7B65889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18.163.780,69</w:t>
            </w:r>
          </w:p>
        </w:tc>
      </w:tr>
      <w:tr w:rsidR="00FF0ED7" w:rsidRPr="00740C0C" w14:paraId="30534EA4" w14:textId="77777777" w:rsidTr="00FF0ED7">
        <w:trPr>
          <w:trHeight w:val="315"/>
        </w:trPr>
        <w:tc>
          <w:tcPr>
            <w:tcW w:w="253" w:type="pct"/>
            <w:shd w:val="clear" w:color="000000" w:fill="FFFFFF"/>
            <w:noWrap/>
            <w:hideMark/>
          </w:tcPr>
          <w:p w14:paraId="45E0D71C"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1995</w:t>
            </w:r>
          </w:p>
        </w:tc>
        <w:tc>
          <w:tcPr>
            <w:tcW w:w="223" w:type="pct"/>
            <w:shd w:val="clear" w:color="000000" w:fill="FFFFFF"/>
            <w:noWrap/>
            <w:hideMark/>
          </w:tcPr>
          <w:p w14:paraId="5DA930E6"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02</w:t>
            </w:r>
          </w:p>
        </w:tc>
        <w:tc>
          <w:tcPr>
            <w:tcW w:w="181" w:type="pct"/>
            <w:shd w:val="clear" w:color="000000" w:fill="FFFFFF"/>
            <w:noWrap/>
            <w:hideMark/>
          </w:tcPr>
          <w:p w14:paraId="3EC5DEB1"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253" w:type="pct"/>
            <w:shd w:val="clear" w:color="auto" w:fill="auto"/>
            <w:noWrap/>
            <w:hideMark/>
          </w:tcPr>
          <w:p w14:paraId="47FCFECC"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1995</w:t>
            </w:r>
          </w:p>
        </w:tc>
        <w:tc>
          <w:tcPr>
            <w:tcW w:w="223" w:type="pct"/>
            <w:shd w:val="clear" w:color="000000" w:fill="FFFFFF"/>
            <w:noWrap/>
            <w:hideMark/>
          </w:tcPr>
          <w:p w14:paraId="4FC7B16C"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02</w:t>
            </w:r>
          </w:p>
        </w:tc>
        <w:tc>
          <w:tcPr>
            <w:tcW w:w="182" w:type="pct"/>
            <w:shd w:val="clear" w:color="000000" w:fill="FFFFFF"/>
            <w:noWrap/>
            <w:hideMark/>
          </w:tcPr>
          <w:p w14:paraId="3AEE69DB"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28</w:t>
            </w:r>
          </w:p>
        </w:tc>
        <w:tc>
          <w:tcPr>
            <w:tcW w:w="319" w:type="pct"/>
            <w:shd w:val="clear" w:color="000000" w:fill="C0C0C0"/>
            <w:noWrap/>
            <w:hideMark/>
          </w:tcPr>
          <w:p w14:paraId="675FC66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30</w:t>
            </w:r>
          </w:p>
        </w:tc>
        <w:tc>
          <w:tcPr>
            <w:tcW w:w="358" w:type="pct"/>
            <w:shd w:val="clear" w:color="000000" w:fill="C0C0C0"/>
            <w:noWrap/>
            <w:hideMark/>
          </w:tcPr>
          <w:p w14:paraId="604C5BE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4,29</w:t>
            </w:r>
          </w:p>
        </w:tc>
        <w:tc>
          <w:tcPr>
            <w:tcW w:w="339" w:type="pct"/>
            <w:shd w:val="clear" w:color="000000" w:fill="C0C0C0"/>
            <w:noWrap/>
            <w:hideMark/>
          </w:tcPr>
          <w:p w14:paraId="6C6F7780"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12,5</w:t>
            </w:r>
          </w:p>
        </w:tc>
        <w:tc>
          <w:tcPr>
            <w:tcW w:w="409" w:type="pct"/>
            <w:shd w:val="clear" w:color="000000" w:fill="C0C0C0"/>
            <w:noWrap/>
            <w:hideMark/>
          </w:tcPr>
          <w:p w14:paraId="0B4852A1"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53,57</w:t>
            </w:r>
          </w:p>
        </w:tc>
        <w:tc>
          <w:tcPr>
            <w:tcW w:w="466" w:type="pct"/>
            <w:shd w:val="clear" w:color="auto" w:fill="auto"/>
            <w:noWrap/>
            <w:hideMark/>
          </w:tcPr>
          <w:p w14:paraId="709697F8"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$ 118.933,00</w:t>
            </w:r>
          </w:p>
        </w:tc>
        <w:tc>
          <w:tcPr>
            <w:tcW w:w="352" w:type="pct"/>
            <w:shd w:val="clear" w:color="000000" w:fill="D9D9D9"/>
            <w:noWrap/>
            <w:hideMark/>
          </w:tcPr>
          <w:p w14:paraId="5C50E8BF"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26FDD7B5"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18,29</w:t>
            </w:r>
          </w:p>
        </w:tc>
        <w:tc>
          <w:tcPr>
            <w:tcW w:w="497" w:type="pct"/>
            <w:shd w:val="clear" w:color="000000" w:fill="D9D9D9"/>
            <w:noWrap/>
            <w:hideMark/>
          </w:tcPr>
          <w:p w14:paraId="7348F8F1"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$ 605.459,36</w:t>
            </w:r>
          </w:p>
        </w:tc>
        <w:tc>
          <w:tcPr>
            <w:tcW w:w="557" w:type="pct"/>
            <w:shd w:val="clear" w:color="000000" w:fill="D9D9D9"/>
            <w:noWrap/>
            <w:hideMark/>
          </w:tcPr>
          <w:p w14:paraId="51832C9C" w14:textId="1111D5AF"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18.163.780,69</w:t>
            </w:r>
          </w:p>
        </w:tc>
      </w:tr>
      <w:tr w:rsidR="00FF0ED7" w:rsidRPr="00740C0C" w14:paraId="198402C4" w14:textId="77777777" w:rsidTr="00FF0ED7">
        <w:trPr>
          <w:trHeight w:val="315"/>
        </w:trPr>
        <w:tc>
          <w:tcPr>
            <w:tcW w:w="253" w:type="pct"/>
            <w:shd w:val="clear" w:color="auto" w:fill="auto"/>
            <w:noWrap/>
            <w:hideMark/>
          </w:tcPr>
          <w:p w14:paraId="06FCA79F"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1995</w:t>
            </w:r>
          </w:p>
        </w:tc>
        <w:tc>
          <w:tcPr>
            <w:tcW w:w="223" w:type="pct"/>
            <w:shd w:val="clear" w:color="auto" w:fill="auto"/>
            <w:noWrap/>
            <w:hideMark/>
          </w:tcPr>
          <w:p w14:paraId="25B74186"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03</w:t>
            </w:r>
          </w:p>
        </w:tc>
        <w:tc>
          <w:tcPr>
            <w:tcW w:w="181" w:type="pct"/>
            <w:shd w:val="clear" w:color="auto" w:fill="auto"/>
            <w:noWrap/>
            <w:hideMark/>
          </w:tcPr>
          <w:p w14:paraId="02598574"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253" w:type="pct"/>
            <w:shd w:val="clear" w:color="auto" w:fill="auto"/>
            <w:noWrap/>
            <w:hideMark/>
          </w:tcPr>
          <w:p w14:paraId="3F616977"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1995</w:t>
            </w:r>
          </w:p>
        </w:tc>
        <w:tc>
          <w:tcPr>
            <w:tcW w:w="223" w:type="pct"/>
            <w:shd w:val="clear" w:color="auto" w:fill="auto"/>
            <w:noWrap/>
            <w:hideMark/>
          </w:tcPr>
          <w:p w14:paraId="1717C829"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03</w:t>
            </w:r>
          </w:p>
        </w:tc>
        <w:tc>
          <w:tcPr>
            <w:tcW w:w="182" w:type="pct"/>
            <w:shd w:val="clear" w:color="auto" w:fill="auto"/>
            <w:noWrap/>
            <w:hideMark/>
          </w:tcPr>
          <w:p w14:paraId="066693C8"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31</w:t>
            </w:r>
          </w:p>
        </w:tc>
        <w:tc>
          <w:tcPr>
            <w:tcW w:w="319" w:type="pct"/>
            <w:shd w:val="clear" w:color="000000" w:fill="C0C0C0"/>
            <w:noWrap/>
            <w:hideMark/>
          </w:tcPr>
          <w:p w14:paraId="28400CB1"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30</w:t>
            </w:r>
          </w:p>
        </w:tc>
        <w:tc>
          <w:tcPr>
            <w:tcW w:w="358" w:type="pct"/>
            <w:shd w:val="clear" w:color="000000" w:fill="C0C0C0"/>
            <w:noWrap/>
            <w:hideMark/>
          </w:tcPr>
          <w:p w14:paraId="3C339C25"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4,29</w:t>
            </w:r>
          </w:p>
        </w:tc>
        <w:tc>
          <w:tcPr>
            <w:tcW w:w="339" w:type="pct"/>
            <w:shd w:val="clear" w:color="000000" w:fill="C0C0C0"/>
            <w:noWrap/>
            <w:hideMark/>
          </w:tcPr>
          <w:p w14:paraId="22FA19F9"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12,5</w:t>
            </w:r>
          </w:p>
        </w:tc>
        <w:tc>
          <w:tcPr>
            <w:tcW w:w="409" w:type="pct"/>
            <w:shd w:val="clear" w:color="000000" w:fill="C0C0C0"/>
            <w:noWrap/>
            <w:hideMark/>
          </w:tcPr>
          <w:p w14:paraId="6FC339D3"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53,57</w:t>
            </w:r>
          </w:p>
        </w:tc>
        <w:tc>
          <w:tcPr>
            <w:tcW w:w="466" w:type="pct"/>
            <w:shd w:val="clear" w:color="auto" w:fill="auto"/>
            <w:noWrap/>
            <w:hideMark/>
          </w:tcPr>
          <w:p w14:paraId="2F8E41B9"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$ 118.933,00</w:t>
            </w:r>
          </w:p>
        </w:tc>
        <w:tc>
          <w:tcPr>
            <w:tcW w:w="352" w:type="pct"/>
            <w:shd w:val="clear" w:color="000000" w:fill="D9D9D9"/>
            <w:noWrap/>
            <w:hideMark/>
          </w:tcPr>
          <w:p w14:paraId="7F7C2999"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5954D927"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18,29</w:t>
            </w:r>
          </w:p>
        </w:tc>
        <w:tc>
          <w:tcPr>
            <w:tcW w:w="497" w:type="pct"/>
            <w:shd w:val="clear" w:color="000000" w:fill="D9D9D9"/>
            <w:noWrap/>
            <w:hideMark/>
          </w:tcPr>
          <w:p w14:paraId="271B8FB3"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$ 605.459,36</w:t>
            </w:r>
          </w:p>
        </w:tc>
        <w:tc>
          <w:tcPr>
            <w:tcW w:w="557" w:type="pct"/>
            <w:shd w:val="clear" w:color="000000" w:fill="D9D9D9"/>
            <w:noWrap/>
            <w:hideMark/>
          </w:tcPr>
          <w:p w14:paraId="67649A65" w14:textId="3A23D719"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18.163.780,69</w:t>
            </w:r>
          </w:p>
        </w:tc>
      </w:tr>
      <w:tr w:rsidR="00FF0ED7" w:rsidRPr="00740C0C" w14:paraId="210CF9F3" w14:textId="77777777" w:rsidTr="00FF0ED7">
        <w:trPr>
          <w:trHeight w:val="315"/>
        </w:trPr>
        <w:tc>
          <w:tcPr>
            <w:tcW w:w="253" w:type="pct"/>
            <w:shd w:val="clear" w:color="auto" w:fill="auto"/>
            <w:noWrap/>
            <w:hideMark/>
          </w:tcPr>
          <w:p w14:paraId="786AC628"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1995</w:t>
            </w:r>
          </w:p>
        </w:tc>
        <w:tc>
          <w:tcPr>
            <w:tcW w:w="223" w:type="pct"/>
            <w:shd w:val="clear" w:color="auto" w:fill="auto"/>
            <w:noWrap/>
            <w:hideMark/>
          </w:tcPr>
          <w:p w14:paraId="3340EC23"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04</w:t>
            </w:r>
          </w:p>
        </w:tc>
        <w:tc>
          <w:tcPr>
            <w:tcW w:w="181" w:type="pct"/>
            <w:shd w:val="clear" w:color="auto" w:fill="auto"/>
            <w:noWrap/>
            <w:hideMark/>
          </w:tcPr>
          <w:p w14:paraId="5CAFBB14"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253" w:type="pct"/>
            <w:shd w:val="clear" w:color="auto" w:fill="auto"/>
            <w:noWrap/>
            <w:hideMark/>
          </w:tcPr>
          <w:p w14:paraId="5CA8C93A"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1995</w:t>
            </w:r>
          </w:p>
        </w:tc>
        <w:tc>
          <w:tcPr>
            <w:tcW w:w="223" w:type="pct"/>
            <w:shd w:val="clear" w:color="auto" w:fill="auto"/>
            <w:noWrap/>
            <w:hideMark/>
          </w:tcPr>
          <w:p w14:paraId="523CA38A"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04</w:t>
            </w:r>
          </w:p>
        </w:tc>
        <w:tc>
          <w:tcPr>
            <w:tcW w:w="182" w:type="pct"/>
            <w:shd w:val="clear" w:color="auto" w:fill="auto"/>
            <w:noWrap/>
            <w:hideMark/>
          </w:tcPr>
          <w:p w14:paraId="7B5ACD6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31</w:t>
            </w:r>
          </w:p>
        </w:tc>
        <w:tc>
          <w:tcPr>
            <w:tcW w:w="319" w:type="pct"/>
            <w:shd w:val="clear" w:color="000000" w:fill="C0C0C0"/>
            <w:noWrap/>
            <w:hideMark/>
          </w:tcPr>
          <w:p w14:paraId="6587EF2B"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30</w:t>
            </w:r>
          </w:p>
        </w:tc>
        <w:tc>
          <w:tcPr>
            <w:tcW w:w="358" w:type="pct"/>
            <w:shd w:val="clear" w:color="000000" w:fill="C0C0C0"/>
            <w:noWrap/>
            <w:hideMark/>
          </w:tcPr>
          <w:p w14:paraId="2AEF285A"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4,29</w:t>
            </w:r>
          </w:p>
        </w:tc>
        <w:tc>
          <w:tcPr>
            <w:tcW w:w="339" w:type="pct"/>
            <w:shd w:val="clear" w:color="000000" w:fill="C0C0C0"/>
            <w:noWrap/>
            <w:hideMark/>
          </w:tcPr>
          <w:p w14:paraId="33EBD578"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12,5</w:t>
            </w:r>
          </w:p>
        </w:tc>
        <w:tc>
          <w:tcPr>
            <w:tcW w:w="409" w:type="pct"/>
            <w:shd w:val="clear" w:color="000000" w:fill="C0C0C0"/>
            <w:noWrap/>
            <w:hideMark/>
          </w:tcPr>
          <w:p w14:paraId="79692F16"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53,57</w:t>
            </w:r>
          </w:p>
        </w:tc>
        <w:tc>
          <w:tcPr>
            <w:tcW w:w="466" w:type="pct"/>
            <w:shd w:val="clear" w:color="auto" w:fill="auto"/>
            <w:noWrap/>
            <w:hideMark/>
          </w:tcPr>
          <w:p w14:paraId="53405EAB"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$ 118.933,00</w:t>
            </w:r>
          </w:p>
        </w:tc>
        <w:tc>
          <w:tcPr>
            <w:tcW w:w="352" w:type="pct"/>
            <w:shd w:val="clear" w:color="000000" w:fill="D9D9D9"/>
            <w:noWrap/>
            <w:hideMark/>
          </w:tcPr>
          <w:p w14:paraId="677CB3B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36084FE6"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18,29</w:t>
            </w:r>
          </w:p>
        </w:tc>
        <w:tc>
          <w:tcPr>
            <w:tcW w:w="497" w:type="pct"/>
            <w:shd w:val="clear" w:color="000000" w:fill="D9D9D9"/>
            <w:noWrap/>
            <w:hideMark/>
          </w:tcPr>
          <w:p w14:paraId="77EDF627"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$ 605.459,36</w:t>
            </w:r>
          </w:p>
        </w:tc>
        <w:tc>
          <w:tcPr>
            <w:tcW w:w="557" w:type="pct"/>
            <w:shd w:val="clear" w:color="000000" w:fill="D9D9D9"/>
            <w:noWrap/>
            <w:hideMark/>
          </w:tcPr>
          <w:p w14:paraId="7F0940EE" w14:textId="69B20CE8"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18.163.780,69</w:t>
            </w:r>
          </w:p>
        </w:tc>
      </w:tr>
      <w:tr w:rsidR="00FF0ED7" w:rsidRPr="00740C0C" w14:paraId="2F358801" w14:textId="77777777" w:rsidTr="00FF0ED7">
        <w:trPr>
          <w:trHeight w:val="315"/>
        </w:trPr>
        <w:tc>
          <w:tcPr>
            <w:tcW w:w="253" w:type="pct"/>
            <w:shd w:val="clear" w:color="auto" w:fill="auto"/>
            <w:noWrap/>
            <w:hideMark/>
          </w:tcPr>
          <w:p w14:paraId="09DDB320"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1995</w:t>
            </w:r>
          </w:p>
        </w:tc>
        <w:tc>
          <w:tcPr>
            <w:tcW w:w="223" w:type="pct"/>
            <w:shd w:val="clear" w:color="auto" w:fill="auto"/>
            <w:noWrap/>
            <w:hideMark/>
          </w:tcPr>
          <w:p w14:paraId="192D8FEB"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05</w:t>
            </w:r>
          </w:p>
        </w:tc>
        <w:tc>
          <w:tcPr>
            <w:tcW w:w="181" w:type="pct"/>
            <w:shd w:val="clear" w:color="auto" w:fill="auto"/>
            <w:noWrap/>
            <w:hideMark/>
          </w:tcPr>
          <w:p w14:paraId="03F6F42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253" w:type="pct"/>
            <w:shd w:val="clear" w:color="auto" w:fill="auto"/>
            <w:noWrap/>
            <w:hideMark/>
          </w:tcPr>
          <w:p w14:paraId="340238F7"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1995</w:t>
            </w:r>
          </w:p>
        </w:tc>
        <w:tc>
          <w:tcPr>
            <w:tcW w:w="223" w:type="pct"/>
            <w:shd w:val="clear" w:color="auto" w:fill="auto"/>
            <w:noWrap/>
            <w:hideMark/>
          </w:tcPr>
          <w:p w14:paraId="545034AB"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05</w:t>
            </w:r>
          </w:p>
        </w:tc>
        <w:tc>
          <w:tcPr>
            <w:tcW w:w="182" w:type="pct"/>
            <w:shd w:val="clear" w:color="auto" w:fill="auto"/>
            <w:noWrap/>
            <w:hideMark/>
          </w:tcPr>
          <w:p w14:paraId="24017544"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31</w:t>
            </w:r>
          </w:p>
        </w:tc>
        <w:tc>
          <w:tcPr>
            <w:tcW w:w="319" w:type="pct"/>
            <w:shd w:val="clear" w:color="000000" w:fill="C0C0C0"/>
            <w:noWrap/>
            <w:hideMark/>
          </w:tcPr>
          <w:p w14:paraId="66FC6FD1"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30</w:t>
            </w:r>
          </w:p>
        </w:tc>
        <w:tc>
          <w:tcPr>
            <w:tcW w:w="358" w:type="pct"/>
            <w:shd w:val="clear" w:color="000000" w:fill="C0C0C0"/>
            <w:noWrap/>
            <w:hideMark/>
          </w:tcPr>
          <w:p w14:paraId="7D5A9504"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4,29</w:t>
            </w:r>
          </w:p>
        </w:tc>
        <w:tc>
          <w:tcPr>
            <w:tcW w:w="339" w:type="pct"/>
            <w:shd w:val="clear" w:color="000000" w:fill="C0C0C0"/>
            <w:noWrap/>
            <w:hideMark/>
          </w:tcPr>
          <w:p w14:paraId="1713B078"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12,5</w:t>
            </w:r>
          </w:p>
        </w:tc>
        <w:tc>
          <w:tcPr>
            <w:tcW w:w="409" w:type="pct"/>
            <w:shd w:val="clear" w:color="000000" w:fill="C0C0C0"/>
            <w:noWrap/>
            <w:hideMark/>
          </w:tcPr>
          <w:p w14:paraId="6965A25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53,57</w:t>
            </w:r>
          </w:p>
        </w:tc>
        <w:tc>
          <w:tcPr>
            <w:tcW w:w="466" w:type="pct"/>
            <w:shd w:val="clear" w:color="auto" w:fill="auto"/>
            <w:noWrap/>
            <w:hideMark/>
          </w:tcPr>
          <w:p w14:paraId="7B12C184"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$ 118.933,00</w:t>
            </w:r>
          </w:p>
        </w:tc>
        <w:tc>
          <w:tcPr>
            <w:tcW w:w="352" w:type="pct"/>
            <w:shd w:val="clear" w:color="000000" w:fill="D9D9D9"/>
            <w:noWrap/>
            <w:hideMark/>
          </w:tcPr>
          <w:p w14:paraId="1996EF33"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4E632FF3"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18,29</w:t>
            </w:r>
          </w:p>
        </w:tc>
        <w:tc>
          <w:tcPr>
            <w:tcW w:w="497" w:type="pct"/>
            <w:shd w:val="clear" w:color="000000" w:fill="D9D9D9"/>
            <w:noWrap/>
            <w:hideMark/>
          </w:tcPr>
          <w:p w14:paraId="4E334E80"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$ 605.459,36</w:t>
            </w:r>
          </w:p>
        </w:tc>
        <w:tc>
          <w:tcPr>
            <w:tcW w:w="557" w:type="pct"/>
            <w:shd w:val="clear" w:color="000000" w:fill="D9D9D9"/>
            <w:noWrap/>
            <w:hideMark/>
          </w:tcPr>
          <w:p w14:paraId="21575A72" w14:textId="74619BED"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18.163.780,69</w:t>
            </w:r>
          </w:p>
        </w:tc>
      </w:tr>
      <w:tr w:rsidR="00FF0ED7" w:rsidRPr="00740C0C" w14:paraId="4A883951" w14:textId="77777777" w:rsidTr="00FF0ED7">
        <w:trPr>
          <w:trHeight w:val="315"/>
        </w:trPr>
        <w:tc>
          <w:tcPr>
            <w:tcW w:w="253" w:type="pct"/>
            <w:shd w:val="clear" w:color="auto" w:fill="auto"/>
            <w:noWrap/>
            <w:hideMark/>
          </w:tcPr>
          <w:p w14:paraId="33AF57D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1995</w:t>
            </w:r>
          </w:p>
        </w:tc>
        <w:tc>
          <w:tcPr>
            <w:tcW w:w="223" w:type="pct"/>
            <w:shd w:val="clear" w:color="auto" w:fill="auto"/>
            <w:noWrap/>
            <w:hideMark/>
          </w:tcPr>
          <w:p w14:paraId="68CAC0C1"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6</w:t>
            </w:r>
          </w:p>
        </w:tc>
        <w:tc>
          <w:tcPr>
            <w:tcW w:w="181" w:type="pct"/>
            <w:shd w:val="clear" w:color="auto" w:fill="auto"/>
            <w:noWrap/>
            <w:hideMark/>
          </w:tcPr>
          <w:p w14:paraId="4551958A"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253" w:type="pct"/>
            <w:shd w:val="clear" w:color="auto" w:fill="auto"/>
            <w:noWrap/>
            <w:hideMark/>
          </w:tcPr>
          <w:p w14:paraId="65E29869"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1995</w:t>
            </w:r>
          </w:p>
        </w:tc>
        <w:tc>
          <w:tcPr>
            <w:tcW w:w="223" w:type="pct"/>
            <w:shd w:val="clear" w:color="auto" w:fill="auto"/>
            <w:noWrap/>
            <w:hideMark/>
          </w:tcPr>
          <w:p w14:paraId="40FDE6B6"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6</w:t>
            </w:r>
          </w:p>
        </w:tc>
        <w:tc>
          <w:tcPr>
            <w:tcW w:w="182" w:type="pct"/>
            <w:shd w:val="clear" w:color="auto" w:fill="auto"/>
            <w:noWrap/>
            <w:hideMark/>
          </w:tcPr>
          <w:p w14:paraId="6788A38A"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30</w:t>
            </w:r>
          </w:p>
        </w:tc>
        <w:tc>
          <w:tcPr>
            <w:tcW w:w="319" w:type="pct"/>
            <w:shd w:val="clear" w:color="000000" w:fill="C0C0C0"/>
            <w:noWrap/>
            <w:hideMark/>
          </w:tcPr>
          <w:p w14:paraId="7FF6D3A6"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30</w:t>
            </w:r>
          </w:p>
        </w:tc>
        <w:tc>
          <w:tcPr>
            <w:tcW w:w="358" w:type="pct"/>
            <w:shd w:val="clear" w:color="000000" w:fill="C0C0C0"/>
            <w:noWrap/>
            <w:hideMark/>
          </w:tcPr>
          <w:p w14:paraId="3B228470"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4,29</w:t>
            </w:r>
          </w:p>
        </w:tc>
        <w:tc>
          <w:tcPr>
            <w:tcW w:w="339" w:type="pct"/>
            <w:shd w:val="clear" w:color="000000" w:fill="C0C0C0"/>
            <w:noWrap/>
            <w:hideMark/>
          </w:tcPr>
          <w:p w14:paraId="363F7D5A"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12,5</w:t>
            </w:r>
          </w:p>
        </w:tc>
        <w:tc>
          <w:tcPr>
            <w:tcW w:w="409" w:type="pct"/>
            <w:shd w:val="clear" w:color="000000" w:fill="C0C0C0"/>
            <w:noWrap/>
            <w:hideMark/>
          </w:tcPr>
          <w:p w14:paraId="3CB8B62B"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53,57</w:t>
            </w:r>
          </w:p>
        </w:tc>
        <w:tc>
          <w:tcPr>
            <w:tcW w:w="466" w:type="pct"/>
            <w:shd w:val="clear" w:color="auto" w:fill="auto"/>
            <w:noWrap/>
            <w:hideMark/>
          </w:tcPr>
          <w:p w14:paraId="15316C9C"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$ 118.933,00</w:t>
            </w:r>
          </w:p>
        </w:tc>
        <w:tc>
          <w:tcPr>
            <w:tcW w:w="352" w:type="pct"/>
            <w:shd w:val="clear" w:color="000000" w:fill="D9D9D9"/>
            <w:noWrap/>
            <w:hideMark/>
          </w:tcPr>
          <w:p w14:paraId="2420601C"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0913D7EF"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18,29</w:t>
            </w:r>
          </w:p>
        </w:tc>
        <w:tc>
          <w:tcPr>
            <w:tcW w:w="497" w:type="pct"/>
            <w:shd w:val="clear" w:color="000000" w:fill="D9D9D9"/>
            <w:noWrap/>
            <w:hideMark/>
          </w:tcPr>
          <w:p w14:paraId="594FA36B"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$ 605.459,36</w:t>
            </w:r>
          </w:p>
        </w:tc>
        <w:tc>
          <w:tcPr>
            <w:tcW w:w="557" w:type="pct"/>
            <w:shd w:val="clear" w:color="000000" w:fill="D9D9D9"/>
            <w:noWrap/>
            <w:hideMark/>
          </w:tcPr>
          <w:p w14:paraId="5F3D3788" w14:textId="42231C96"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18.163.780,69</w:t>
            </w:r>
          </w:p>
        </w:tc>
      </w:tr>
      <w:tr w:rsidR="00FF0ED7" w:rsidRPr="00740C0C" w14:paraId="4EDC14E4" w14:textId="77777777" w:rsidTr="00FF0ED7">
        <w:trPr>
          <w:trHeight w:val="315"/>
        </w:trPr>
        <w:tc>
          <w:tcPr>
            <w:tcW w:w="253" w:type="pct"/>
            <w:shd w:val="clear" w:color="auto" w:fill="auto"/>
            <w:noWrap/>
            <w:hideMark/>
          </w:tcPr>
          <w:p w14:paraId="670BBB41"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lastRenderedPageBreak/>
              <w:t>1995</w:t>
            </w:r>
          </w:p>
        </w:tc>
        <w:tc>
          <w:tcPr>
            <w:tcW w:w="223" w:type="pct"/>
            <w:shd w:val="clear" w:color="auto" w:fill="auto"/>
            <w:noWrap/>
            <w:hideMark/>
          </w:tcPr>
          <w:p w14:paraId="481B9CDB"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07</w:t>
            </w:r>
          </w:p>
        </w:tc>
        <w:tc>
          <w:tcPr>
            <w:tcW w:w="181" w:type="pct"/>
            <w:shd w:val="clear" w:color="auto" w:fill="auto"/>
            <w:noWrap/>
            <w:hideMark/>
          </w:tcPr>
          <w:p w14:paraId="665D5B24"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253" w:type="pct"/>
            <w:shd w:val="clear" w:color="auto" w:fill="auto"/>
            <w:noWrap/>
            <w:hideMark/>
          </w:tcPr>
          <w:p w14:paraId="267E6F43"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1995</w:t>
            </w:r>
          </w:p>
        </w:tc>
        <w:tc>
          <w:tcPr>
            <w:tcW w:w="223" w:type="pct"/>
            <w:shd w:val="clear" w:color="auto" w:fill="auto"/>
            <w:noWrap/>
            <w:hideMark/>
          </w:tcPr>
          <w:p w14:paraId="5B7F287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07</w:t>
            </w:r>
          </w:p>
        </w:tc>
        <w:tc>
          <w:tcPr>
            <w:tcW w:w="182" w:type="pct"/>
            <w:shd w:val="clear" w:color="auto" w:fill="auto"/>
            <w:noWrap/>
            <w:hideMark/>
          </w:tcPr>
          <w:p w14:paraId="38414ABB"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31</w:t>
            </w:r>
          </w:p>
        </w:tc>
        <w:tc>
          <w:tcPr>
            <w:tcW w:w="319" w:type="pct"/>
            <w:shd w:val="clear" w:color="000000" w:fill="C0C0C0"/>
            <w:noWrap/>
            <w:hideMark/>
          </w:tcPr>
          <w:p w14:paraId="3BDCC36C"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30</w:t>
            </w:r>
          </w:p>
        </w:tc>
        <w:tc>
          <w:tcPr>
            <w:tcW w:w="358" w:type="pct"/>
            <w:shd w:val="clear" w:color="000000" w:fill="C0C0C0"/>
            <w:noWrap/>
            <w:hideMark/>
          </w:tcPr>
          <w:p w14:paraId="1F41D7C2"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4,29</w:t>
            </w:r>
          </w:p>
        </w:tc>
        <w:tc>
          <w:tcPr>
            <w:tcW w:w="339" w:type="pct"/>
            <w:shd w:val="clear" w:color="000000" w:fill="C0C0C0"/>
            <w:noWrap/>
            <w:hideMark/>
          </w:tcPr>
          <w:p w14:paraId="3BFEF8E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12,5</w:t>
            </w:r>
          </w:p>
        </w:tc>
        <w:tc>
          <w:tcPr>
            <w:tcW w:w="409" w:type="pct"/>
            <w:shd w:val="clear" w:color="000000" w:fill="C0C0C0"/>
            <w:noWrap/>
            <w:hideMark/>
          </w:tcPr>
          <w:p w14:paraId="3FA098E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53,57</w:t>
            </w:r>
          </w:p>
        </w:tc>
        <w:tc>
          <w:tcPr>
            <w:tcW w:w="466" w:type="pct"/>
            <w:shd w:val="clear" w:color="auto" w:fill="auto"/>
            <w:noWrap/>
            <w:hideMark/>
          </w:tcPr>
          <w:p w14:paraId="0F17AD78"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$ 118.933,00</w:t>
            </w:r>
          </w:p>
        </w:tc>
        <w:tc>
          <w:tcPr>
            <w:tcW w:w="352" w:type="pct"/>
            <w:shd w:val="clear" w:color="000000" w:fill="D9D9D9"/>
            <w:noWrap/>
            <w:hideMark/>
          </w:tcPr>
          <w:p w14:paraId="1A668141"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697957FA"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18,29</w:t>
            </w:r>
          </w:p>
        </w:tc>
        <w:tc>
          <w:tcPr>
            <w:tcW w:w="497" w:type="pct"/>
            <w:shd w:val="clear" w:color="000000" w:fill="D9D9D9"/>
            <w:noWrap/>
            <w:hideMark/>
          </w:tcPr>
          <w:p w14:paraId="6F3108F4"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$ 605.459,36</w:t>
            </w:r>
          </w:p>
        </w:tc>
        <w:tc>
          <w:tcPr>
            <w:tcW w:w="557" w:type="pct"/>
            <w:shd w:val="clear" w:color="000000" w:fill="D9D9D9"/>
            <w:noWrap/>
            <w:hideMark/>
          </w:tcPr>
          <w:p w14:paraId="47317180" w14:textId="70A74570"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18.163.780,69</w:t>
            </w:r>
          </w:p>
        </w:tc>
      </w:tr>
      <w:tr w:rsidR="00FF0ED7" w:rsidRPr="00740C0C" w14:paraId="2F7068EC" w14:textId="77777777" w:rsidTr="00FF0ED7">
        <w:trPr>
          <w:trHeight w:val="315"/>
        </w:trPr>
        <w:tc>
          <w:tcPr>
            <w:tcW w:w="253" w:type="pct"/>
            <w:shd w:val="clear" w:color="auto" w:fill="auto"/>
            <w:noWrap/>
            <w:hideMark/>
          </w:tcPr>
          <w:p w14:paraId="6C1A3D0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1995</w:t>
            </w:r>
          </w:p>
        </w:tc>
        <w:tc>
          <w:tcPr>
            <w:tcW w:w="223" w:type="pct"/>
            <w:shd w:val="clear" w:color="auto" w:fill="auto"/>
            <w:noWrap/>
            <w:hideMark/>
          </w:tcPr>
          <w:p w14:paraId="45A50DD7"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08</w:t>
            </w:r>
          </w:p>
        </w:tc>
        <w:tc>
          <w:tcPr>
            <w:tcW w:w="181" w:type="pct"/>
            <w:shd w:val="clear" w:color="auto" w:fill="auto"/>
            <w:noWrap/>
            <w:hideMark/>
          </w:tcPr>
          <w:p w14:paraId="6810BD28"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253" w:type="pct"/>
            <w:shd w:val="clear" w:color="auto" w:fill="auto"/>
            <w:noWrap/>
            <w:hideMark/>
          </w:tcPr>
          <w:p w14:paraId="65358F61"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1995</w:t>
            </w:r>
          </w:p>
        </w:tc>
        <w:tc>
          <w:tcPr>
            <w:tcW w:w="223" w:type="pct"/>
            <w:shd w:val="clear" w:color="auto" w:fill="auto"/>
            <w:noWrap/>
            <w:hideMark/>
          </w:tcPr>
          <w:p w14:paraId="52CA7300"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08</w:t>
            </w:r>
          </w:p>
        </w:tc>
        <w:tc>
          <w:tcPr>
            <w:tcW w:w="182" w:type="pct"/>
            <w:shd w:val="clear" w:color="auto" w:fill="auto"/>
            <w:noWrap/>
            <w:hideMark/>
          </w:tcPr>
          <w:p w14:paraId="3BAA9D05"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30</w:t>
            </w:r>
          </w:p>
        </w:tc>
        <w:tc>
          <w:tcPr>
            <w:tcW w:w="319" w:type="pct"/>
            <w:shd w:val="clear" w:color="000000" w:fill="C0C0C0"/>
            <w:noWrap/>
            <w:hideMark/>
          </w:tcPr>
          <w:p w14:paraId="1B569060"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30</w:t>
            </w:r>
          </w:p>
        </w:tc>
        <w:tc>
          <w:tcPr>
            <w:tcW w:w="358" w:type="pct"/>
            <w:shd w:val="clear" w:color="000000" w:fill="C0C0C0"/>
            <w:noWrap/>
            <w:hideMark/>
          </w:tcPr>
          <w:p w14:paraId="62ED7842"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4,29</w:t>
            </w:r>
          </w:p>
        </w:tc>
        <w:tc>
          <w:tcPr>
            <w:tcW w:w="339" w:type="pct"/>
            <w:shd w:val="clear" w:color="000000" w:fill="C0C0C0"/>
            <w:noWrap/>
            <w:hideMark/>
          </w:tcPr>
          <w:p w14:paraId="4B2B5D75"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12,5</w:t>
            </w:r>
          </w:p>
        </w:tc>
        <w:tc>
          <w:tcPr>
            <w:tcW w:w="409" w:type="pct"/>
            <w:shd w:val="clear" w:color="000000" w:fill="C0C0C0"/>
            <w:noWrap/>
            <w:hideMark/>
          </w:tcPr>
          <w:p w14:paraId="59AD3768"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53,57</w:t>
            </w:r>
          </w:p>
        </w:tc>
        <w:tc>
          <w:tcPr>
            <w:tcW w:w="466" w:type="pct"/>
            <w:shd w:val="clear" w:color="auto" w:fill="auto"/>
            <w:noWrap/>
            <w:hideMark/>
          </w:tcPr>
          <w:p w14:paraId="65336BD1"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$ 118.933,00</w:t>
            </w:r>
          </w:p>
        </w:tc>
        <w:tc>
          <w:tcPr>
            <w:tcW w:w="352" w:type="pct"/>
            <w:shd w:val="clear" w:color="000000" w:fill="D9D9D9"/>
            <w:noWrap/>
            <w:hideMark/>
          </w:tcPr>
          <w:p w14:paraId="00BC255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4CF244F7"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18,29</w:t>
            </w:r>
          </w:p>
        </w:tc>
        <w:tc>
          <w:tcPr>
            <w:tcW w:w="497" w:type="pct"/>
            <w:shd w:val="clear" w:color="000000" w:fill="D9D9D9"/>
            <w:noWrap/>
            <w:hideMark/>
          </w:tcPr>
          <w:p w14:paraId="054C8BF4"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$ 605.459,36</w:t>
            </w:r>
          </w:p>
        </w:tc>
        <w:tc>
          <w:tcPr>
            <w:tcW w:w="557" w:type="pct"/>
            <w:shd w:val="clear" w:color="000000" w:fill="D9D9D9"/>
            <w:noWrap/>
            <w:hideMark/>
          </w:tcPr>
          <w:p w14:paraId="64A1D4DF" w14:textId="4CF9B15F"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18.163.780,69</w:t>
            </w:r>
          </w:p>
        </w:tc>
      </w:tr>
      <w:tr w:rsidR="00FF0ED7" w:rsidRPr="00740C0C" w14:paraId="62869AB2" w14:textId="77777777" w:rsidTr="00FF0ED7">
        <w:trPr>
          <w:trHeight w:val="315"/>
        </w:trPr>
        <w:tc>
          <w:tcPr>
            <w:tcW w:w="253" w:type="pct"/>
            <w:shd w:val="clear" w:color="auto" w:fill="auto"/>
            <w:noWrap/>
            <w:hideMark/>
          </w:tcPr>
          <w:p w14:paraId="0675ED85"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1995</w:t>
            </w:r>
          </w:p>
        </w:tc>
        <w:tc>
          <w:tcPr>
            <w:tcW w:w="223" w:type="pct"/>
            <w:shd w:val="clear" w:color="auto" w:fill="auto"/>
            <w:noWrap/>
            <w:hideMark/>
          </w:tcPr>
          <w:p w14:paraId="7525BB3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09</w:t>
            </w:r>
          </w:p>
        </w:tc>
        <w:tc>
          <w:tcPr>
            <w:tcW w:w="181" w:type="pct"/>
            <w:shd w:val="clear" w:color="auto" w:fill="auto"/>
            <w:noWrap/>
            <w:hideMark/>
          </w:tcPr>
          <w:p w14:paraId="438D0EA4"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253" w:type="pct"/>
            <w:shd w:val="clear" w:color="auto" w:fill="auto"/>
            <w:noWrap/>
            <w:hideMark/>
          </w:tcPr>
          <w:p w14:paraId="1577909C"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1995</w:t>
            </w:r>
          </w:p>
        </w:tc>
        <w:tc>
          <w:tcPr>
            <w:tcW w:w="223" w:type="pct"/>
            <w:shd w:val="clear" w:color="auto" w:fill="auto"/>
            <w:noWrap/>
            <w:hideMark/>
          </w:tcPr>
          <w:p w14:paraId="26F35AC9"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09</w:t>
            </w:r>
          </w:p>
        </w:tc>
        <w:tc>
          <w:tcPr>
            <w:tcW w:w="182" w:type="pct"/>
            <w:shd w:val="clear" w:color="auto" w:fill="auto"/>
            <w:noWrap/>
            <w:hideMark/>
          </w:tcPr>
          <w:p w14:paraId="60EE87A4"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30</w:t>
            </w:r>
          </w:p>
        </w:tc>
        <w:tc>
          <w:tcPr>
            <w:tcW w:w="319" w:type="pct"/>
            <w:shd w:val="clear" w:color="000000" w:fill="C0C0C0"/>
            <w:noWrap/>
            <w:hideMark/>
          </w:tcPr>
          <w:p w14:paraId="39D68861"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30</w:t>
            </w:r>
          </w:p>
        </w:tc>
        <w:tc>
          <w:tcPr>
            <w:tcW w:w="358" w:type="pct"/>
            <w:shd w:val="clear" w:color="000000" w:fill="C0C0C0"/>
            <w:noWrap/>
            <w:hideMark/>
          </w:tcPr>
          <w:p w14:paraId="763AB6F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4,29</w:t>
            </w:r>
          </w:p>
        </w:tc>
        <w:tc>
          <w:tcPr>
            <w:tcW w:w="339" w:type="pct"/>
            <w:shd w:val="clear" w:color="000000" w:fill="C0C0C0"/>
            <w:noWrap/>
            <w:hideMark/>
          </w:tcPr>
          <w:p w14:paraId="458B3299"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12,5</w:t>
            </w:r>
          </w:p>
        </w:tc>
        <w:tc>
          <w:tcPr>
            <w:tcW w:w="409" w:type="pct"/>
            <w:shd w:val="clear" w:color="000000" w:fill="C0C0C0"/>
            <w:noWrap/>
            <w:hideMark/>
          </w:tcPr>
          <w:p w14:paraId="0820E908"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53,57</w:t>
            </w:r>
          </w:p>
        </w:tc>
        <w:tc>
          <w:tcPr>
            <w:tcW w:w="466" w:type="pct"/>
            <w:shd w:val="clear" w:color="auto" w:fill="auto"/>
            <w:noWrap/>
            <w:hideMark/>
          </w:tcPr>
          <w:p w14:paraId="71989C63"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$ 118.933,00</w:t>
            </w:r>
          </w:p>
        </w:tc>
        <w:tc>
          <w:tcPr>
            <w:tcW w:w="352" w:type="pct"/>
            <w:shd w:val="clear" w:color="000000" w:fill="D9D9D9"/>
            <w:noWrap/>
            <w:hideMark/>
          </w:tcPr>
          <w:p w14:paraId="06B482EC"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560F3C13"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18,29</w:t>
            </w:r>
          </w:p>
        </w:tc>
        <w:tc>
          <w:tcPr>
            <w:tcW w:w="497" w:type="pct"/>
            <w:shd w:val="clear" w:color="000000" w:fill="D9D9D9"/>
            <w:noWrap/>
            <w:hideMark/>
          </w:tcPr>
          <w:p w14:paraId="2180826A"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$ 605.459,36</w:t>
            </w:r>
          </w:p>
        </w:tc>
        <w:tc>
          <w:tcPr>
            <w:tcW w:w="557" w:type="pct"/>
            <w:shd w:val="clear" w:color="000000" w:fill="D9D9D9"/>
            <w:noWrap/>
            <w:hideMark/>
          </w:tcPr>
          <w:p w14:paraId="5A17EA5B" w14:textId="4F3EED41"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18.163.780,69</w:t>
            </w:r>
          </w:p>
        </w:tc>
      </w:tr>
      <w:tr w:rsidR="00FF0ED7" w:rsidRPr="00740C0C" w14:paraId="653D00F2" w14:textId="77777777" w:rsidTr="00FF0ED7">
        <w:trPr>
          <w:trHeight w:val="315"/>
        </w:trPr>
        <w:tc>
          <w:tcPr>
            <w:tcW w:w="253" w:type="pct"/>
            <w:shd w:val="clear" w:color="auto" w:fill="auto"/>
            <w:noWrap/>
            <w:hideMark/>
          </w:tcPr>
          <w:p w14:paraId="60E97F3F"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1995</w:t>
            </w:r>
          </w:p>
        </w:tc>
        <w:tc>
          <w:tcPr>
            <w:tcW w:w="223" w:type="pct"/>
            <w:shd w:val="clear" w:color="auto" w:fill="auto"/>
            <w:noWrap/>
            <w:hideMark/>
          </w:tcPr>
          <w:p w14:paraId="78C372E5"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10</w:t>
            </w:r>
          </w:p>
        </w:tc>
        <w:tc>
          <w:tcPr>
            <w:tcW w:w="181" w:type="pct"/>
            <w:shd w:val="clear" w:color="auto" w:fill="auto"/>
            <w:noWrap/>
            <w:hideMark/>
          </w:tcPr>
          <w:p w14:paraId="7D1BA151"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253" w:type="pct"/>
            <w:shd w:val="clear" w:color="auto" w:fill="auto"/>
            <w:noWrap/>
            <w:hideMark/>
          </w:tcPr>
          <w:p w14:paraId="28089072"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1995</w:t>
            </w:r>
          </w:p>
        </w:tc>
        <w:tc>
          <w:tcPr>
            <w:tcW w:w="223" w:type="pct"/>
            <w:shd w:val="clear" w:color="auto" w:fill="auto"/>
            <w:noWrap/>
            <w:hideMark/>
          </w:tcPr>
          <w:p w14:paraId="6B9A2E2B"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10</w:t>
            </w:r>
          </w:p>
        </w:tc>
        <w:tc>
          <w:tcPr>
            <w:tcW w:w="182" w:type="pct"/>
            <w:shd w:val="clear" w:color="auto" w:fill="auto"/>
            <w:noWrap/>
            <w:hideMark/>
          </w:tcPr>
          <w:p w14:paraId="14EA0FC6"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31</w:t>
            </w:r>
          </w:p>
        </w:tc>
        <w:tc>
          <w:tcPr>
            <w:tcW w:w="319" w:type="pct"/>
            <w:shd w:val="clear" w:color="000000" w:fill="C0C0C0"/>
            <w:noWrap/>
            <w:hideMark/>
          </w:tcPr>
          <w:p w14:paraId="726BE4FC"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30</w:t>
            </w:r>
          </w:p>
        </w:tc>
        <w:tc>
          <w:tcPr>
            <w:tcW w:w="358" w:type="pct"/>
            <w:shd w:val="clear" w:color="000000" w:fill="C0C0C0"/>
            <w:noWrap/>
            <w:hideMark/>
          </w:tcPr>
          <w:p w14:paraId="303C9162"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4,29</w:t>
            </w:r>
          </w:p>
        </w:tc>
        <w:tc>
          <w:tcPr>
            <w:tcW w:w="339" w:type="pct"/>
            <w:shd w:val="clear" w:color="000000" w:fill="C0C0C0"/>
            <w:noWrap/>
            <w:hideMark/>
          </w:tcPr>
          <w:p w14:paraId="1EA21D91"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12,5</w:t>
            </w:r>
          </w:p>
        </w:tc>
        <w:tc>
          <w:tcPr>
            <w:tcW w:w="409" w:type="pct"/>
            <w:shd w:val="clear" w:color="000000" w:fill="C0C0C0"/>
            <w:noWrap/>
            <w:hideMark/>
          </w:tcPr>
          <w:p w14:paraId="4C5509A9"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53,57</w:t>
            </w:r>
          </w:p>
        </w:tc>
        <w:tc>
          <w:tcPr>
            <w:tcW w:w="466" w:type="pct"/>
            <w:shd w:val="clear" w:color="auto" w:fill="auto"/>
            <w:noWrap/>
            <w:hideMark/>
          </w:tcPr>
          <w:p w14:paraId="756064E5"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$ 118.933,00</w:t>
            </w:r>
          </w:p>
        </w:tc>
        <w:tc>
          <w:tcPr>
            <w:tcW w:w="352" w:type="pct"/>
            <w:shd w:val="clear" w:color="000000" w:fill="D9D9D9"/>
            <w:noWrap/>
            <w:hideMark/>
          </w:tcPr>
          <w:p w14:paraId="0E0B907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6CB2E971"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18,29</w:t>
            </w:r>
          </w:p>
        </w:tc>
        <w:tc>
          <w:tcPr>
            <w:tcW w:w="497" w:type="pct"/>
            <w:shd w:val="clear" w:color="000000" w:fill="D9D9D9"/>
            <w:noWrap/>
            <w:hideMark/>
          </w:tcPr>
          <w:p w14:paraId="26B292A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$ 605.459,36</w:t>
            </w:r>
          </w:p>
        </w:tc>
        <w:tc>
          <w:tcPr>
            <w:tcW w:w="557" w:type="pct"/>
            <w:shd w:val="clear" w:color="000000" w:fill="D9D9D9"/>
            <w:noWrap/>
            <w:hideMark/>
          </w:tcPr>
          <w:p w14:paraId="2BB1F627" w14:textId="503A5FFD"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18.163.780,69</w:t>
            </w:r>
          </w:p>
        </w:tc>
      </w:tr>
      <w:tr w:rsidR="00FF0ED7" w:rsidRPr="00740C0C" w14:paraId="4CABB667" w14:textId="77777777" w:rsidTr="00FF0ED7">
        <w:trPr>
          <w:trHeight w:val="315"/>
        </w:trPr>
        <w:tc>
          <w:tcPr>
            <w:tcW w:w="253" w:type="pct"/>
            <w:shd w:val="clear" w:color="auto" w:fill="auto"/>
            <w:noWrap/>
            <w:hideMark/>
          </w:tcPr>
          <w:p w14:paraId="705A2864"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1995</w:t>
            </w:r>
          </w:p>
        </w:tc>
        <w:tc>
          <w:tcPr>
            <w:tcW w:w="223" w:type="pct"/>
            <w:shd w:val="clear" w:color="auto" w:fill="auto"/>
            <w:noWrap/>
            <w:hideMark/>
          </w:tcPr>
          <w:p w14:paraId="4DCC746C"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11</w:t>
            </w:r>
          </w:p>
        </w:tc>
        <w:tc>
          <w:tcPr>
            <w:tcW w:w="181" w:type="pct"/>
            <w:shd w:val="clear" w:color="auto" w:fill="auto"/>
            <w:noWrap/>
            <w:hideMark/>
          </w:tcPr>
          <w:p w14:paraId="379B22E2"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253" w:type="pct"/>
            <w:shd w:val="clear" w:color="auto" w:fill="auto"/>
            <w:noWrap/>
            <w:hideMark/>
          </w:tcPr>
          <w:p w14:paraId="55961529"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1995</w:t>
            </w:r>
          </w:p>
        </w:tc>
        <w:tc>
          <w:tcPr>
            <w:tcW w:w="223" w:type="pct"/>
            <w:shd w:val="clear" w:color="auto" w:fill="auto"/>
            <w:noWrap/>
            <w:hideMark/>
          </w:tcPr>
          <w:p w14:paraId="79B6B6A9"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11</w:t>
            </w:r>
          </w:p>
        </w:tc>
        <w:tc>
          <w:tcPr>
            <w:tcW w:w="182" w:type="pct"/>
            <w:shd w:val="clear" w:color="auto" w:fill="auto"/>
            <w:noWrap/>
            <w:hideMark/>
          </w:tcPr>
          <w:p w14:paraId="718A5964"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30</w:t>
            </w:r>
          </w:p>
        </w:tc>
        <w:tc>
          <w:tcPr>
            <w:tcW w:w="319" w:type="pct"/>
            <w:shd w:val="clear" w:color="000000" w:fill="C0C0C0"/>
            <w:noWrap/>
            <w:hideMark/>
          </w:tcPr>
          <w:p w14:paraId="63945606"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30</w:t>
            </w:r>
          </w:p>
        </w:tc>
        <w:tc>
          <w:tcPr>
            <w:tcW w:w="358" w:type="pct"/>
            <w:shd w:val="clear" w:color="000000" w:fill="C0C0C0"/>
            <w:noWrap/>
            <w:hideMark/>
          </w:tcPr>
          <w:p w14:paraId="4CB51865"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4,29</w:t>
            </w:r>
          </w:p>
        </w:tc>
        <w:tc>
          <w:tcPr>
            <w:tcW w:w="339" w:type="pct"/>
            <w:shd w:val="clear" w:color="000000" w:fill="C0C0C0"/>
            <w:noWrap/>
            <w:hideMark/>
          </w:tcPr>
          <w:p w14:paraId="5A75A9F7"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12,5</w:t>
            </w:r>
          </w:p>
        </w:tc>
        <w:tc>
          <w:tcPr>
            <w:tcW w:w="409" w:type="pct"/>
            <w:shd w:val="clear" w:color="000000" w:fill="C0C0C0"/>
            <w:noWrap/>
            <w:hideMark/>
          </w:tcPr>
          <w:p w14:paraId="6F06494F"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53,57</w:t>
            </w:r>
          </w:p>
        </w:tc>
        <w:tc>
          <w:tcPr>
            <w:tcW w:w="466" w:type="pct"/>
            <w:shd w:val="clear" w:color="auto" w:fill="auto"/>
            <w:noWrap/>
            <w:hideMark/>
          </w:tcPr>
          <w:p w14:paraId="5F376112"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$ 118.933,00</w:t>
            </w:r>
          </w:p>
        </w:tc>
        <w:tc>
          <w:tcPr>
            <w:tcW w:w="352" w:type="pct"/>
            <w:shd w:val="clear" w:color="000000" w:fill="D9D9D9"/>
            <w:noWrap/>
            <w:hideMark/>
          </w:tcPr>
          <w:p w14:paraId="6A93D5AA"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4478CAB3"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18,29</w:t>
            </w:r>
          </w:p>
        </w:tc>
        <w:tc>
          <w:tcPr>
            <w:tcW w:w="497" w:type="pct"/>
            <w:shd w:val="clear" w:color="000000" w:fill="D9D9D9"/>
            <w:noWrap/>
            <w:hideMark/>
          </w:tcPr>
          <w:p w14:paraId="69051D1A"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$ 605.459,36</w:t>
            </w:r>
          </w:p>
        </w:tc>
        <w:tc>
          <w:tcPr>
            <w:tcW w:w="557" w:type="pct"/>
            <w:shd w:val="clear" w:color="000000" w:fill="D9D9D9"/>
            <w:noWrap/>
            <w:hideMark/>
          </w:tcPr>
          <w:p w14:paraId="043A53C1" w14:textId="7DDA160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18.163.780,69</w:t>
            </w:r>
          </w:p>
        </w:tc>
      </w:tr>
      <w:tr w:rsidR="00FF0ED7" w:rsidRPr="00740C0C" w14:paraId="30B9613A" w14:textId="77777777" w:rsidTr="00FF0ED7">
        <w:trPr>
          <w:trHeight w:val="315"/>
        </w:trPr>
        <w:tc>
          <w:tcPr>
            <w:tcW w:w="253" w:type="pct"/>
            <w:shd w:val="clear" w:color="auto" w:fill="auto"/>
            <w:noWrap/>
            <w:hideMark/>
          </w:tcPr>
          <w:p w14:paraId="72817C75"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1995</w:t>
            </w:r>
          </w:p>
        </w:tc>
        <w:tc>
          <w:tcPr>
            <w:tcW w:w="223" w:type="pct"/>
            <w:shd w:val="clear" w:color="auto" w:fill="auto"/>
            <w:noWrap/>
            <w:hideMark/>
          </w:tcPr>
          <w:p w14:paraId="6C909C0C"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12</w:t>
            </w:r>
          </w:p>
        </w:tc>
        <w:tc>
          <w:tcPr>
            <w:tcW w:w="181" w:type="pct"/>
            <w:shd w:val="clear" w:color="auto" w:fill="auto"/>
            <w:noWrap/>
            <w:hideMark/>
          </w:tcPr>
          <w:p w14:paraId="02BF68D5"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253" w:type="pct"/>
            <w:shd w:val="clear" w:color="auto" w:fill="auto"/>
            <w:noWrap/>
            <w:hideMark/>
          </w:tcPr>
          <w:p w14:paraId="04255939"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1995</w:t>
            </w:r>
          </w:p>
        </w:tc>
        <w:tc>
          <w:tcPr>
            <w:tcW w:w="223" w:type="pct"/>
            <w:shd w:val="clear" w:color="auto" w:fill="auto"/>
            <w:noWrap/>
            <w:hideMark/>
          </w:tcPr>
          <w:p w14:paraId="27DC88C6"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12</w:t>
            </w:r>
          </w:p>
        </w:tc>
        <w:tc>
          <w:tcPr>
            <w:tcW w:w="182" w:type="pct"/>
            <w:shd w:val="clear" w:color="auto" w:fill="auto"/>
            <w:noWrap/>
            <w:hideMark/>
          </w:tcPr>
          <w:p w14:paraId="5277CCB7"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31</w:t>
            </w:r>
          </w:p>
        </w:tc>
        <w:tc>
          <w:tcPr>
            <w:tcW w:w="319" w:type="pct"/>
            <w:shd w:val="clear" w:color="000000" w:fill="C0C0C0"/>
            <w:noWrap/>
            <w:hideMark/>
          </w:tcPr>
          <w:p w14:paraId="58F56D4C"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30</w:t>
            </w:r>
          </w:p>
        </w:tc>
        <w:tc>
          <w:tcPr>
            <w:tcW w:w="358" w:type="pct"/>
            <w:shd w:val="clear" w:color="000000" w:fill="C0C0C0"/>
            <w:noWrap/>
            <w:hideMark/>
          </w:tcPr>
          <w:p w14:paraId="5A6ED27A"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4,29</w:t>
            </w:r>
          </w:p>
        </w:tc>
        <w:tc>
          <w:tcPr>
            <w:tcW w:w="339" w:type="pct"/>
            <w:shd w:val="clear" w:color="000000" w:fill="C0C0C0"/>
            <w:noWrap/>
            <w:hideMark/>
          </w:tcPr>
          <w:p w14:paraId="688D724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12,5</w:t>
            </w:r>
          </w:p>
        </w:tc>
        <w:tc>
          <w:tcPr>
            <w:tcW w:w="409" w:type="pct"/>
            <w:shd w:val="clear" w:color="000000" w:fill="C0C0C0"/>
            <w:noWrap/>
            <w:hideMark/>
          </w:tcPr>
          <w:p w14:paraId="1566E7F7"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53,57</w:t>
            </w:r>
          </w:p>
        </w:tc>
        <w:tc>
          <w:tcPr>
            <w:tcW w:w="466" w:type="pct"/>
            <w:shd w:val="clear" w:color="auto" w:fill="auto"/>
            <w:noWrap/>
            <w:hideMark/>
          </w:tcPr>
          <w:p w14:paraId="27DDA91A"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$ 118.933,00</w:t>
            </w:r>
          </w:p>
        </w:tc>
        <w:tc>
          <w:tcPr>
            <w:tcW w:w="352" w:type="pct"/>
            <w:shd w:val="clear" w:color="000000" w:fill="D9D9D9"/>
            <w:noWrap/>
            <w:hideMark/>
          </w:tcPr>
          <w:p w14:paraId="7DAD1106"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7373176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18,29</w:t>
            </w:r>
          </w:p>
        </w:tc>
        <w:tc>
          <w:tcPr>
            <w:tcW w:w="497" w:type="pct"/>
            <w:shd w:val="clear" w:color="000000" w:fill="D9D9D9"/>
            <w:noWrap/>
            <w:hideMark/>
          </w:tcPr>
          <w:p w14:paraId="2156A15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$ 605.459,36</w:t>
            </w:r>
          </w:p>
        </w:tc>
        <w:tc>
          <w:tcPr>
            <w:tcW w:w="557" w:type="pct"/>
            <w:shd w:val="clear" w:color="000000" w:fill="D9D9D9"/>
            <w:noWrap/>
            <w:hideMark/>
          </w:tcPr>
          <w:p w14:paraId="137954DD" w14:textId="42B2E57B"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18.163.780,69</w:t>
            </w:r>
          </w:p>
        </w:tc>
      </w:tr>
      <w:tr w:rsidR="00FF0ED7" w:rsidRPr="00740C0C" w14:paraId="7BD3960C" w14:textId="77777777" w:rsidTr="00FF0ED7">
        <w:trPr>
          <w:trHeight w:val="330"/>
        </w:trPr>
        <w:tc>
          <w:tcPr>
            <w:tcW w:w="253" w:type="pct"/>
            <w:shd w:val="clear" w:color="auto" w:fill="auto"/>
            <w:noWrap/>
            <w:hideMark/>
          </w:tcPr>
          <w:p w14:paraId="52D3B7B9"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1996</w:t>
            </w:r>
          </w:p>
        </w:tc>
        <w:tc>
          <w:tcPr>
            <w:tcW w:w="223" w:type="pct"/>
            <w:shd w:val="clear" w:color="auto" w:fill="auto"/>
            <w:noWrap/>
            <w:hideMark/>
          </w:tcPr>
          <w:p w14:paraId="1F3C2341"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01</w:t>
            </w:r>
          </w:p>
        </w:tc>
        <w:tc>
          <w:tcPr>
            <w:tcW w:w="181" w:type="pct"/>
            <w:shd w:val="clear" w:color="auto" w:fill="auto"/>
            <w:noWrap/>
            <w:hideMark/>
          </w:tcPr>
          <w:p w14:paraId="61212F6E"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w:t>
            </w:r>
          </w:p>
        </w:tc>
        <w:tc>
          <w:tcPr>
            <w:tcW w:w="253" w:type="pct"/>
            <w:shd w:val="clear" w:color="auto" w:fill="auto"/>
            <w:noWrap/>
            <w:hideMark/>
          </w:tcPr>
          <w:p w14:paraId="51257F5A"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1996</w:t>
            </w:r>
          </w:p>
        </w:tc>
        <w:tc>
          <w:tcPr>
            <w:tcW w:w="223" w:type="pct"/>
            <w:shd w:val="clear" w:color="auto" w:fill="auto"/>
            <w:noWrap/>
            <w:hideMark/>
          </w:tcPr>
          <w:p w14:paraId="26938B38"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01</w:t>
            </w:r>
          </w:p>
        </w:tc>
        <w:tc>
          <w:tcPr>
            <w:tcW w:w="182" w:type="pct"/>
            <w:shd w:val="clear" w:color="auto" w:fill="auto"/>
            <w:noWrap/>
            <w:hideMark/>
          </w:tcPr>
          <w:p w14:paraId="0550AFED"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31</w:t>
            </w:r>
          </w:p>
        </w:tc>
        <w:tc>
          <w:tcPr>
            <w:tcW w:w="319" w:type="pct"/>
            <w:shd w:val="clear" w:color="000000" w:fill="C0C0C0"/>
            <w:noWrap/>
            <w:hideMark/>
          </w:tcPr>
          <w:p w14:paraId="0379BCA4"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30</w:t>
            </w:r>
          </w:p>
        </w:tc>
        <w:tc>
          <w:tcPr>
            <w:tcW w:w="358" w:type="pct"/>
            <w:shd w:val="clear" w:color="000000" w:fill="C0C0C0"/>
            <w:noWrap/>
            <w:hideMark/>
          </w:tcPr>
          <w:p w14:paraId="70469320"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4,29</w:t>
            </w:r>
          </w:p>
        </w:tc>
        <w:tc>
          <w:tcPr>
            <w:tcW w:w="339" w:type="pct"/>
            <w:shd w:val="clear" w:color="000000" w:fill="C0C0C0"/>
            <w:noWrap/>
            <w:hideMark/>
          </w:tcPr>
          <w:p w14:paraId="5E8731A0"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13,5</w:t>
            </w:r>
          </w:p>
        </w:tc>
        <w:tc>
          <w:tcPr>
            <w:tcW w:w="409" w:type="pct"/>
            <w:shd w:val="clear" w:color="000000" w:fill="C0C0C0"/>
            <w:noWrap/>
            <w:hideMark/>
          </w:tcPr>
          <w:p w14:paraId="0387C2D6"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57,86</w:t>
            </w:r>
          </w:p>
        </w:tc>
        <w:tc>
          <w:tcPr>
            <w:tcW w:w="466" w:type="pct"/>
            <w:shd w:val="clear" w:color="auto" w:fill="auto"/>
            <w:noWrap/>
            <w:hideMark/>
          </w:tcPr>
          <w:p w14:paraId="0A4A3AF3"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$ 142.125,00</w:t>
            </w:r>
          </w:p>
        </w:tc>
        <w:tc>
          <w:tcPr>
            <w:tcW w:w="352" w:type="pct"/>
            <w:shd w:val="clear" w:color="000000" w:fill="D9D9D9"/>
            <w:noWrap/>
            <w:hideMark/>
          </w:tcPr>
          <w:p w14:paraId="5CC44063"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93,11</w:t>
            </w:r>
          </w:p>
        </w:tc>
        <w:tc>
          <w:tcPr>
            <w:tcW w:w="389" w:type="pct"/>
            <w:shd w:val="clear" w:color="000000" w:fill="D9D9D9"/>
            <w:noWrap/>
            <w:hideMark/>
          </w:tcPr>
          <w:p w14:paraId="6FE6F412"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21,83</w:t>
            </w:r>
          </w:p>
        </w:tc>
        <w:tc>
          <w:tcPr>
            <w:tcW w:w="497" w:type="pct"/>
            <w:shd w:val="clear" w:color="000000" w:fill="D9D9D9"/>
            <w:noWrap/>
            <w:hideMark/>
          </w:tcPr>
          <w:p w14:paraId="0A2E5C24" w14:textId="77777777"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$ 606.196,00</w:t>
            </w:r>
          </w:p>
        </w:tc>
        <w:tc>
          <w:tcPr>
            <w:tcW w:w="557" w:type="pct"/>
            <w:shd w:val="clear" w:color="000000" w:fill="D9D9D9"/>
            <w:noWrap/>
            <w:hideMark/>
          </w:tcPr>
          <w:p w14:paraId="2F917F76" w14:textId="65088E9F" w:rsidR="00FF0ED7" w:rsidRPr="00740C0C" w:rsidRDefault="00FF0ED7" w:rsidP="00FF0ED7">
            <w:pPr>
              <w:spacing w:after="0" w:line="240" w:lineRule="auto"/>
              <w:rPr>
                <w:rFonts w:ascii="Calibri" w:eastAsia="Times New Roman" w:hAnsi="Calibri" w:cs="Calibri"/>
                <w:sz w:val="12"/>
                <w:szCs w:val="12"/>
                <w:lang w:eastAsia="es-CO"/>
              </w:rPr>
            </w:pPr>
            <w:r w:rsidRPr="00740C0C">
              <w:rPr>
                <w:rFonts w:ascii="Calibri" w:eastAsia="Times New Roman" w:hAnsi="Calibri" w:cs="Calibri"/>
                <w:sz w:val="12"/>
                <w:szCs w:val="12"/>
                <w:lang w:eastAsia="es-CO"/>
              </w:rPr>
              <w:t>18.185.880,10</w:t>
            </w:r>
          </w:p>
        </w:tc>
      </w:tr>
    </w:tbl>
    <w:p w14:paraId="1A9E984C" w14:textId="5FD9ACCD" w:rsidR="00C25349" w:rsidRPr="00740C0C" w:rsidRDefault="00C25349" w:rsidP="00C25349">
      <w:pPr>
        <w:spacing w:after="0" w:line="360" w:lineRule="auto"/>
        <w:ind w:firstLine="708"/>
        <w:jc w:val="both"/>
        <w:rPr>
          <w:rFonts w:ascii="Calibri" w:eastAsia="Times New Roman" w:hAnsi="Calibri" w:cs="Calibri"/>
          <w:sz w:val="12"/>
          <w:szCs w:val="12"/>
          <w:lang w:val="es-ES_tradnl" w:eastAsia="es-ES"/>
        </w:rPr>
      </w:pPr>
    </w:p>
    <w:p w14:paraId="3CC71BB9" w14:textId="3D7F6D96" w:rsidR="00FF0ED7" w:rsidRPr="00740C0C" w:rsidRDefault="00FF0ED7" w:rsidP="00C25349">
      <w:pPr>
        <w:spacing w:after="0" w:line="360" w:lineRule="auto"/>
        <w:ind w:firstLine="708"/>
        <w:jc w:val="both"/>
        <w:rPr>
          <w:rFonts w:ascii="Calibri" w:eastAsia="Times New Roman" w:hAnsi="Calibri" w:cs="Calibri"/>
          <w:sz w:val="12"/>
          <w:szCs w:val="12"/>
          <w:lang w:val="es-ES_tradnl"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
        <w:gridCol w:w="399"/>
        <w:gridCol w:w="321"/>
        <w:gridCol w:w="1203"/>
        <w:gridCol w:w="573"/>
        <w:gridCol w:w="643"/>
        <w:gridCol w:w="609"/>
        <w:gridCol w:w="736"/>
        <w:gridCol w:w="839"/>
        <w:gridCol w:w="603"/>
        <w:gridCol w:w="686"/>
        <w:gridCol w:w="802"/>
        <w:gridCol w:w="1195"/>
      </w:tblGrid>
      <w:tr w:rsidR="00FF0ED7" w:rsidRPr="00740C0C" w14:paraId="40DF7CA2" w14:textId="77777777" w:rsidTr="00BC44EF">
        <w:trPr>
          <w:trHeight w:val="900"/>
        </w:trPr>
        <w:tc>
          <w:tcPr>
            <w:tcW w:w="251" w:type="pct"/>
            <w:tcBorders>
              <w:top w:val="nil"/>
              <w:left w:val="nil"/>
              <w:bottom w:val="nil"/>
              <w:right w:val="nil"/>
            </w:tcBorders>
            <w:shd w:val="clear" w:color="auto" w:fill="auto"/>
            <w:noWrap/>
            <w:hideMark/>
          </w:tcPr>
          <w:p w14:paraId="7A07BD51" w14:textId="77777777" w:rsidR="00FF0ED7" w:rsidRPr="00740C0C" w:rsidRDefault="00FF0ED7" w:rsidP="00FF0ED7">
            <w:pPr>
              <w:spacing w:after="0" w:line="240" w:lineRule="auto"/>
              <w:rPr>
                <w:rFonts w:ascii="Calibri" w:eastAsia="Times New Roman" w:hAnsi="Calibri" w:cs="Calibri"/>
                <w:sz w:val="12"/>
                <w:szCs w:val="12"/>
                <w:lang w:eastAsia="es-CO"/>
              </w:rPr>
            </w:pPr>
          </w:p>
        </w:tc>
        <w:tc>
          <w:tcPr>
            <w:tcW w:w="221" w:type="pct"/>
            <w:tcBorders>
              <w:top w:val="nil"/>
              <w:left w:val="nil"/>
              <w:bottom w:val="nil"/>
              <w:right w:val="nil"/>
            </w:tcBorders>
            <w:shd w:val="clear" w:color="auto" w:fill="auto"/>
            <w:noWrap/>
            <w:hideMark/>
          </w:tcPr>
          <w:p w14:paraId="15F6C9B5" w14:textId="77777777" w:rsidR="00FF0ED7" w:rsidRPr="00740C0C" w:rsidRDefault="00FF0ED7" w:rsidP="00FF0ED7">
            <w:pPr>
              <w:spacing w:after="0" w:line="240" w:lineRule="auto"/>
              <w:rPr>
                <w:rFonts w:ascii="Calibri" w:eastAsia="Times New Roman" w:hAnsi="Calibri" w:cs="Calibri"/>
                <w:sz w:val="12"/>
                <w:szCs w:val="12"/>
                <w:lang w:eastAsia="es-CO"/>
              </w:rPr>
            </w:pPr>
          </w:p>
        </w:tc>
        <w:tc>
          <w:tcPr>
            <w:tcW w:w="178" w:type="pct"/>
            <w:tcBorders>
              <w:top w:val="nil"/>
              <w:left w:val="nil"/>
              <w:bottom w:val="nil"/>
              <w:right w:val="single" w:sz="4" w:space="0" w:color="auto"/>
            </w:tcBorders>
            <w:shd w:val="clear" w:color="auto" w:fill="auto"/>
            <w:noWrap/>
            <w:hideMark/>
          </w:tcPr>
          <w:p w14:paraId="37A4F334" w14:textId="77777777" w:rsidR="00FF0ED7" w:rsidRPr="00740C0C" w:rsidRDefault="00FF0ED7" w:rsidP="00FF0ED7">
            <w:pPr>
              <w:spacing w:after="0" w:line="240" w:lineRule="auto"/>
              <w:rPr>
                <w:rFonts w:ascii="Calibri" w:eastAsia="Times New Roman" w:hAnsi="Calibri" w:cs="Calibri"/>
                <w:sz w:val="12"/>
                <w:szCs w:val="12"/>
                <w:lang w:eastAsia="es-CO"/>
              </w:rPr>
            </w:pPr>
          </w:p>
        </w:tc>
        <w:tc>
          <w:tcPr>
            <w:tcW w:w="665" w:type="pct"/>
            <w:tcBorders>
              <w:left w:val="single" w:sz="4" w:space="0" w:color="auto"/>
            </w:tcBorders>
            <w:shd w:val="clear" w:color="auto" w:fill="auto"/>
            <w:noWrap/>
            <w:hideMark/>
          </w:tcPr>
          <w:p w14:paraId="4E12F28C" w14:textId="77777777" w:rsidR="00FF0ED7" w:rsidRPr="00740C0C" w:rsidRDefault="00FF0ED7" w:rsidP="00FF0ED7">
            <w:pPr>
              <w:spacing w:after="0" w:line="240" w:lineRule="auto"/>
              <w:rPr>
                <w:rFonts w:ascii="Calibri" w:eastAsia="Times New Roman" w:hAnsi="Calibri" w:cs="Calibri"/>
                <w:b/>
                <w:bCs/>
                <w:sz w:val="12"/>
                <w:szCs w:val="12"/>
                <w:lang w:eastAsia="es-CO"/>
              </w:rPr>
            </w:pPr>
            <w:r w:rsidRPr="00740C0C">
              <w:rPr>
                <w:rFonts w:ascii="Calibri" w:eastAsia="Times New Roman" w:hAnsi="Calibri" w:cs="Calibri"/>
                <w:b/>
                <w:bCs/>
                <w:sz w:val="12"/>
                <w:szCs w:val="12"/>
                <w:lang w:eastAsia="es-CO"/>
              </w:rPr>
              <w:t>Total Días</w:t>
            </w:r>
          </w:p>
        </w:tc>
        <w:tc>
          <w:tcPr>
            <w:tcW w:w="317" w:type="pct"/>
            <w:shd w:val="clear" w:color="auto" w:fill="auto"/>
            <w:noWrap/>
            <w:hideMark/>
          </w:tcPr>
          <w:p w14:paraId="47EFCAD6" w14:textId="77777777" w:rsidR="00FF0ED7" w:rsidRPr="00740C0C" w:rsidRDefault="00FF0ED7" w:rsidP="00FF0ED7">
            <w:pPr>
              <w:spacing w:after="0" w:line="240" w:lineRule="auto"/>
              <w:rPr>
                <w:rFonts w:ascii="Calibri" w:eastAsia="Times New Roman" w:hAnsi="Calibri" w:cs="Calibri"/>
                <w:b/>
                <w:bCs/>
                <w:sz w:val="12"/>
                <w:szCs w:val="12"/>
                <w:lang w:eastAsia="es-CO"/>
              </w:rPr>
            </w:pPr>
            <w:r w:rsidRPr="00740C0C">
              <w:rPr>
                <w:rFonts w:ascii="Calibri" w:eastAsia="Times New Roman" w:hAnsi="Calibri" w:cs="Calibri"/>
                <w:b/>
                <w:bCs/>
                <w:sz w:val="12"/>
                <w:szCs w:val="12"/>
                <w:lang w:eastAsia="es-CO"/>
              </w:rPr>
              <w:t>6.927</w:t>
            </w:r>
          </w:p>
        </w:tc>
        <w:tc>
          <w:tcPr>
            <w:tcW w:w="693" w:type="pct"/>
            <w:gridSpan w:val="2"/>
            <w:tcBorders>
              <w:bottom w:val="single" w:sz="4" w:space="0" w:color="auto"/>
            </w:tcBorders>
            <w:shd w:val="clear" w:color="auto" w:fill="auto"/>
            <w:hideMark/>
          </w:tcPr>
          <w:p w14:paraId="554555BF" w14:textId="77777777" w:rsidR="00FF0ED7" w:rsidRPr="00740C0C" w:rsidRDefault="00FF0ED7" w:rsidP="00FF0ED7">
            <w:pPr>
              <w:spacing w:after="0" w:line="240" w:lineRule="auto"/>
              <w:rPr>
                <w:rFonts w:ascii="Calibri" w:eastAsia="Times New Roman" w:hAnsi="Calibri" w:cs="Calibri"/>
                <w:b/>
                <w:bCs/>
                <w:sz w:val="12"/>
                <w:szCs w:val="12"/>
                <w:lang w:eastAsia="es-CO"/>
              </w:rPr>
            </w:pPr>
            <w:r w:rsidRPr="00740C0C">
              <w:rPr>
                <w:rFonts w:ascii="Calibri" w:eastAsia="Times New Roman" w:hAnsi="Calibri" w:cs="Calibri"/>
                <w:b/>
                <w:bCs/>
                <w:sz w:val="12"/>
                <w:szCs w:val="12"/>
                <w:lang w:eastAsia="es-CO"/>
              </w:rPr>
              <w:t>Sumatoria # semanas multiplicado por % de Cotización</w:t>
            </w:r>
          </w:p>
        </w:tc>
        <w:tc>
          <w:tcPr>
            <w:tcW w:w="407" w:type="pct"/>
            <w:tcBorders>
              <w:bottom w:val="single" w:sz="4" w:space="0" w:color="auto"/>
            </w:tcBorders>
            <w:shd w:val="clear" w:color="000000" w:fill="D9D9D9"/>
            <w:hideMark/>
          </w:tcPr>
          <w:p w14:paraId="5FF770B4" w14:textId="77777777" w:rsidR="00FF0ED7" w:rsidRPr="00740C0C" w:rsidRDefault="00FF0ED7" w:rsidP="00FF0ED7">
            <w:pPr>
              <w:spacing w:after="0" w:line="240" w:lineRule="auto"/>
              <w:rPr>
                <w:rFonts w:ascii="Calibri" w:eastAsia="Times New Roman" w:hAnsi="Calibri" w:cs="Calibri"/>
                <w:b/>
                <w:bCs/>
                <w:sz w:val="12"/>
                <w:szCs w:val="12"/>
                <w:lang w:eastAsia="es-CO"/>
              </w:rPr>
            </w:pPr>
            <w:r w:rsidRPr="00740C0C">
              <w:rPr>
                <w:rFonts w:ascii="Calibri" w:eastAsia="Times New Roman" w:hAnsi="Calibri" w:cs="Calibri"/>
                <w:b/>
                <w:bCs/>
                <w:sz w:val="12"/>
                <w:szCs w:val="12"/>
                <w:lang w:eastAsia="es-CO"/>
              </w:rPr>
              <w:t>5755,29</w:t>
            </w:r>
          </w:p>
        </w:tc>
        <w:tc>
          <w:tcPr>
            <w:tcW w:w="464" w:type="pct"/>
            <w:tcBorders>
              <w:bottom w:val="single" w:sz="4" w:space="0" w:color="auto"/>
            </w:tcBorders>
            <w:shd w:val="clear" w:color="auto" w:fill="auto"/>
            <w:noWrap/>
            <w:hideMark/>
          </w:tcPr>
          <w:p w14:paraId="32AB8DF2" w14:textId="77777777" w:rsidR="00FF0ED7" w:rsidRPr="00740C0C" w:rsidRDefault="00FF0ED7" w:rsidP="00FF0ED7">
            <w:pPr>
              <w:spacing w:after="0" w:line="240" w:lineRule="auto"/>
              <w:rPr>
                <w:rFonts w:ascii="Calibri" w:eastAsia="Times New Roman" w:hAnsi="Calibri" w:cs="Calibri"/>
                <w:b/>
                <w:bCs/>
                <w:sz w:val="12"/>
                <w:szCs w:val="12"/>
                <w:lang w:eastAsia="es-CO"/>
              </w:rPr>
            </w:pPr>
          </w:p>
        </w:tc>
        <w:tc>
          <w:tcPr>
            <w:tcW w:w="334" w:type="pct"/>
            <w:tcBorders>
              <w:bottom w:val="single" w:sz="4" w:space="0" w:color="auto"/>
            </w:tcBorders>
            <w:shd w:val="clear" w:color="auto" w:fill="auto"/>
            <w:noWrap/>
            <w:hideMark/>
          </w:tcPr>
          <w:p w14:paraId="7A714D9C" w14:textId="77777777" w:rsidR="00FF0ED7" w:rsidRPr="00740C0C" w:rsidRDefault="00FF0ED7" w:rsidP="00FF0ED7">
            <w:pPr>
              <w:spacing w:after="0" w:line="240" w:lineRule="auto"/>
              <w:rPr>
                <w:rFonts w:ascii="Calibri" w:eastAsia="Times New Roman" w:hAnsi="Calibri" w:cs="Calibri"/>
                <w:sz w:val="12"/>
                <w:szCs w:val="12"/>
                <w:lang w:eastAsia="es-CO"/>
              </w:rPr>
            </w:pPr>
          </w:p>
        </w:tc>
        <w:tc>
          <w:tcPr>
            <w:tcW w:w="822" w:type="pct"/>
            <w:gridSpan w:val="2"/>
            <w:shd w:val="clear" w:color="auto" w:fill="auto"/>
            <w:hideMark/>
          </w:tcPr>
          <w:p w14:paraId="67BB4B90" w14:textId="77777777" w:rsidR="00FF0ED7" w:rsidRPr="00740C0C" w:rsidRDefault="00FF0ED7" w:rsidP="00FF0ED7">
            <w:pPr>
              <w:spacing w:after="0" w:line="240" w:lineRule="auto"/>
              <w:rPr>
                <w:rFonts w:ascii="Calibri" w:eastAsia="Times New Roman" w:hAnsi="Calibri" w:cs="Calibri"/>
                <w:b/>
                <w:bCs/>
                <w:sz w:val="12"/>
                <w:szCs w:val="12"/>
                <w:lang w:eastAsia="es-CO"/>
              </w:rPr>
            </w:pPr>
            <w:r w:rsidRPr="00740C0C">
              <w:rPr>
                <w:rFonts w:ascii="Calibri" w:eastAsia="Times New Roman" w:hAnsi="Calibri" w:cs="Calibri"/>
                <w:b/>
                <w:bCs/>
                <w:sz w:val="12"/>
                <w:szCs w:val="12"/>
                <w:lang w:eastAsia="es-CO"/>
              </w:rPr>
              <w:t>SUMATORIA de salarios actualizados por el # de días de ese salario</w:t>
            </w:r>
          </w:p>
        </w:tc>
        <w:tc>
          <w:tcPr>
            <w:tcW w:w="646" w:type="pct"/>
            <w:shd w:val="clear" w:color="000000" w:fill="D9D9D9"/>
            <w:hideMark/>
          </w:tcPr>
          <w:p w14:paraId="174EB0C0" w14:textId="77777777" w:rsidR="00FF0ED7" w:rsidRPr="00740C0C" w:rsidRDefault="00FF0ED7" w:rsidP="00FF0ED7">
            <w:pPr>
              <w:spacing w:after="0" w:line="240" w:lineRule="auto"/>
              <w:rPr>
                <w:rFonts w:ascii="Calibri" w:eastAsia="Times New Roman" w:hAnsi="Calibri" w:cs="Calibri"/>
                <w:b/>
                <w:bCs/>
                <w:sz w:val="12"/>
                <w:szCs w:val="12"/>
                <w:lang w:eastAsia="es-CO"/>
              </w:rPr>
            </w:pPr>
            <w:r w:rsidRPr="00740C0C">
              <w:rPr>
                <w:rFonts w:ascii="Calibri" w:eastAsia="Times New Roman" w:hAnsi="Calibri" w:cs="Calibri"/>
                <w:b/>
                <w:bCs/>
                <w:sz w:val="12"/>
                <w:szCs w:val="12"/>
                <w:lang w:eastAsia="es-CO"/>
              </w:rPr>
              <w:t>14.757.003.661,12</w:t>
            </w:r>
          </w:p>
        </w:tc>
      </w:tr>
      <w:tr w:rsidR="00FF0ED7" w:rsidRPr="00740C0C" w14:paraId="2F67E6A8" w14:textId="77777777" w:rsidTr="00BC44EF">
        <w:trPr>
          <w:trHeight w:val="660"/>
        </w:trPr>
        <w:tc>
          <w:tcPr>
            <w:tcW w:w="251" w:type="pct"/>
            <w:tcBorders>
              <w:top w:val="nil"/>
              <w:left w:val="nil"/>
              <w:bottom w:val="nil"/>
              <w:right w:val="nil"/>
            </w:tcBorders>
            <w:shd w:val="clear" w:color="auto" w:fill="auto"/>
            <w:noWrap/>
            <w:hideMark/>
          </w:tcPr>
          <w:p w14:paraId="58BD263F" w14:textId="77777777" w:rsidR="00FF0ED7" w:rsidRPr="00740C0C" w:rsidRDefault="00FF0ED7" w:rsidP="00FF0ED7">
            <w:pPr>
              <w:spacing w:after="0" w:line="240" w:lineRule="auto"/>
              <w:rPr>
                <w:rFonts w:ascii="Calibri" w:eastAsia="Times New Roman" w:hAnsi="Calibri" w:cs="Calibri"/>
                <w:b/>
                <w:bCs/>
                <w:sz w:val="12"/>
                <w:szCs w:val="12"/>
                <w:lang w:eastAsia="es-CO"/>
              </w:rPr>
            </w:pPr>
          </w:p>
        </w:tc>
        <w:tc>
          <w:tcPr>
            <w:tcW w:w="221" w:type="pct"/>
            <w:tcBorders>
              <w:top w:val="nil"/>
              <w:left w:val="nil"/>
              <w:bottom w:val="nil"/>
              <w:right w:val="nil"/>
            </w:tcBorders>
            <w:shd w:val="clear" w:color="auto" w:fill="auto"/>
            <w:noWrap/>
            <w:hideMark/>
          </w:tcPr>
          <w:p w14:paraId="6B711F18" w14:textId="77777777" w:rsidR="00FF0ED7" w:rsidRPr="00740C0C" w:rsidRDefault="00FF0ED7" w:rsidP="00FF0ED7">
            <w:pPr>
              <w:spacing w:after="0" w:line="240" w:lineRule="auto"/>
              <w:rPr>
                <w:rFonts w:ascii="Calibri" w:eastAsia="Times New Roman" w:hAnsi="Calibri" w:cs="Calibri"/>
                <w:sz w:val="12"/>
                <w:szCs w:val="12"/>
                <w:lang w:eastAsia="es-CO"/>
              </w:rPr>
            </w:pPr>
          </w:p>
        </w:tc>
        <w:tc>
          <w:tcPr>
            <w:tcW w:w="178" w:type="pct"/>
            <w:tcBorders>
              <w:top w:val="nil"/>
              <w:left w:val="nil"/>
              <w:bottom w:val="nil"/>
              <w:right w:val="single" w:sz="4" w:space="0" w:color="auto"/>
            </w:tcBorders>
            <w:shd w:val="clear" w:color="auto" w:fill="auto"/>
            <w:noWrap/>
            <w:hideMark/>
          </w:tcPr>
          <w:p w14:paraId="6DC2BE3F" w14:textId="77777777" w:rsidR="00FF0ED7" w:rsidRPr="00740C0C" w:rsidRDefault="00FF0ED7" w:rsidP="00FF0ED7">
            <w:pPr>
              <w:spacing w:after="0" w:line="240" w:lineRule="auto"/>
              <w:rPr>
                <w:rFonts w:ascii="Calibri" w:eastAsia="Times New Roman" w:hAnsi="Calibri" w:cs="Calibri"/>
                <w:sz w:val="12"/>
                <w:szCs w:val="12"/>
                <w:lang w:eastAsia="es-CO"/>
              </w:rPr>
            </w:pPr>
          </w:p>
        </w:tc>
        <w:tc>
          <w:tcPr>
            <w:tcW w:w="665" w:type="pct"/>
            <w:tcBorders>
              <w:left w:val="single" w:sz="4" w:space="0" w:color="auto"/>
            </w:tcBorders>
            <w:shd w:val="clear" w:color="auto" w:fill="auto"/>
            <w:hideMark/>
          </w:tcPr>
          <w:p w14:paraId="630971B1" w14:textId="77777777" w:rsidR="00FF0ED7" w:rsidRPr="00740C0C" w:rsidRDefault="00FF0ED7" w:rsidP="00FF0ED7">
            <w:pPr>
              <w:spacing w:after="0" w:line="240" w:lineRule="auto"/>
              <w:rPr>
                <w:rFonts w:ascii="Calibri" w:eastAsia="Times New Roman" w:hAnsi="Calibri" w:cs="Calibri"/>
                <w:b/>
                <w:bCs/>
                <w:sz w:val="12"/>
                <w:szCs w:val="12"/>
                <w:lang w:eastAsia="es-CO"/>
              </w:rPr>
            </w:pPr>
            <w:r w:rsidRPr="00740C0C">
              <w:rPr>
                <w:rFonts w:ascii="Calibri" w:eastAsia="Times New Roman" w:hAnsi="Calibri" w:cs="Calibri"/>
                <w:b/>
                <w:bCs/>
                <w:sz w:val="12"/>
                <w:szCs w:val="12"/>
                <w:lang w:eastAsia="es-CO"/>
              </w:rPr>
              <w:t>Total Semanas (SC)</w:t>
            </w:r>
          </w:p>
        </w:tc>
        <w:tc>
          <w:tcPr>
            <w:tcW w:w="317" w:type="pct"/>
            <w:tcBorders>
              <w:right w:val="single" w:sz="4" w:space="0" w:color="auto"/>
            </w:tcBorders>
            <w:shd w:val="clear" w:color="auto" w:fill="auto"/>
            <w:noWrap/>
            <w:hideMark/>
          </w:tcPr>
          <w:p w14:paraId="7C5B8869" w14:textId="77777777" w:rsidR="00FF0ED7" w:rsidRPr="00740C0C" w:rsidRDefault="00FF0ED7" w:rsidP="00FF0ED7">
            <w:pPr>
              <w:spacing w:after="0" w:line="240" w:lineRule="auto"/>
              <w:rPr>
                <w:rFonts w:ascii="Calibri" w:eastAsia="Times New Roman" w:hAnsi="Calibri" w:cs="Calibri"/>
                <w:b/>
                <w:bCs/>
                <w:sz w:val="12"/>
                <w:szCs w:val="12"/>
                <w:lang w:eastAsia="es-CO"/>
              </w:rPr>
            </w:pPr>
            <w:r w:rsidRPr="00740C0C">
              <w:rPr>
                <w:rFonts w:ascii="Calibri" w:eastAsia="Times New Roman" w:hAnsi="Calibri" w:cs="Calibri"/>
                <w:b/>
                <w:bCs/>
                <w:sz w:val="12"/>
                <w:szCs w:val="12"/>
                <w:lang w:eastAsia="es-CO"/>
              </w:rPr>
              <w:t>989,57</w:t>
            </w:r>
          </w:p>
        </w:tc>
        <w:tc>
          <w:tcPr>
            <w:tcW w:w="356" w:type="pct"/>
            <w:tcBorders>
              <w:top w:val="single" w:sz="4" w:space="0" w:color="auto"/>
              <w:left w:val="single" w:sz="4" w:space="0" w:color="auto"/>
              <w:bottom w:val="nil"/>
              <w:right w:val="nil"/>
            </w:tcBorders>
            <w:shd w:val="clear" w:color="auto" w:fill="auto"/>
            <w:noWrap/>
            <w:hideMark/>
          </w:tcPr>
          <w:p w14:paraId="5E8D20AC" w14:textId="77777777" w:rsidR="00FF0ED7" w:rsidRPr="00740C0C" w:rsidRDefault="00FF0ED7" w:rsidP="00FF0ED7">
            <w:pPr>
              <w:spacing w:after="0" w:line="240" w:lineRule="auto"/>
              <w:rPr>
                <w:rFonts w:ascii="Calibri" w:eastAsia="Times New Roman" w:hAnsi="Calibri" w:cs="Calibri"/>
                <w:b/>
                <w:bCs/>
                <w:sz w:val="12"/>
                <w:szCs w:val="12"/>
                <w:lang w:eastAsia="es-CO"/>
              </w:rPr>
            </w:pPr>
          </w:p>
        </w:tc>
        <w:tc>
          <w:tcPr>
            <w:tcW w:w="337" w:type="pct"/>
            <w:tcBorders>
              <w:top w:val="single" w:sz="4" w:space="0" w:color="auto"/>
              <w:left w:val="nil"/>
              <w:bottom w:val="nil"/>
              <w:right w:val="nil"/>
            </w:tcBorders>
            <w:shd w:val="clear" w:color="auto" w:fill="auto"/>
            <w:noWrap/>
            <w:hideMark/>
          </w:tcPr>
          <w:p w14:paraId="672B627D" w14:textId="77777777" w:rsidR="00FF0ED7" w:rsidRPr="00740C0C" w:rsidRDefault="00FF0ED7" w:rsidP="00FF0ED7">
            <w:pPr>
              <w:spacing w:after="0" w:line="240" w:lineRule="auto"/>
              <w:rPr>
                <w:rFonts w:ascii="Calibri" w:eastAsia="Times New Roman" w:hAnsi="Calibri" w:cs="Calibri"/>
                <w:sz w:val="12"/>
                <w:szCs w:val="12"/>
                <w:lang w:eastAsia="es-CO"/>
              </w:rPr>
            </w:pPr>
          </w:p>
        </w:tc>
        <w:tc>
          <w:tcPr>
            <w:tcW w:w="407" w:type="pct"/>
            <w:tcBorders>
              <w:top w:val="single" w:sz="4" w:space="0" w:color="auto"/>
              <w:left w:val="nil"/>
              <w:bottom w:val="nil"/>
              <w:right w:val="nil"/>
            </w:tcBorders>
            <w:shd w:val="clear" w:color="auto" w:fill="auto"/>
            <w:noWrap/>
            <w:hideMark/>
          </w:tcPr>
          <w:p w14:paraId="066E46DB" w14:textId="77777777" w:rsidR="00FF0ED7" w:rsidRPr="00740C0C" w:rsidRDefault="00FF0ED7" w:rsidP="00FF0ED7">
            <w:pPr>
              <w:spacing w:after="0" w:line="240" w:lineRule="auto"/>
              <w:rPr>
                <w:rFonts w:ascii="Calibri" w:eastAsia="Times New Roman" w:hAnsi="Calibri" w:cs="Calibri"/>
                <w:sz w:val="12"/>
                <w:szCs w:val="12"/>
                <w:lang w:eastAsia="es-CO"/>
              </w:rPr>
            </w:pPr>
          </w:p>
        </w:tc>
        <w:tc>
          <w:tcPr>
            <w:tcW w:w="464" w:type="pct"/>
            <w:tcBorders>
              <w:top w:val="single" w:sz="4" w:space="0" w:color="auto"/>
              <w:left w:val="nil"/>
              <w:bottom w:val="nil"/>
              <w:right w:val="nil"/>
            </w:tcBorders>
            <w:shd w:val="clear" w:color="auto" w:fill="auto"/>
            <w:noWrap/>
            <w:hideMark/>
          </w:tcPr>
          <w:p w14:paraId="4FA0F32F" w14:textId="77777777" w:rsidR="00FF0ED7" w:rsidRPr="00740C0C" w:rsidRDefault="00FF0ED7" w:rsidP="00FF0ED7">
            <w:pPr>
              <w:spacing w:after="0" w:line="240" w:lineRule="auto"/>
              <w:rPr>
                <w:rFonts w:ascii="Calibri" w:eastAsia="Times New Roman" w:hAnsi="Calibri" w:cs="Calibri"/>
                <w:sz w:val="12"/>
                <w:szCs w:val="12"/>
                <w:lang w:eastAsia="es-CO"/>
              </w:rPr>
            </w:pPr>
          </w:p>
        </w:tc>
        <w:tc>
          <w:tcPr>
            <w:tcW w:w="334" w:type="pct"/>
            <w:tcBorders>
              <w:top w:val="single" w:sz="4" w:space="0" w:color="auto"/>
              <w:left w:val="nil"/>
              <w:bottom w:val="nil"/>
              <w:right w:val="single" w:sz="4" w:space="0" w:color="auto"/>
            </w:tcBorders>
            <w:shd w:val="clear" w:color="auto" w:fill="auto"/>
            <w:noWrap/>
            <w:hideMark/>
          </w:tcPr>
          <w:p w14:paraId="6C9E31AE" w14:textId="77777777" w:rsidR="00FF0ED7" w:rsidRPr="00740C0C" w:rsidRDefault="00FF0ED7" w:rsidP="00FF0ED7">
            <w:pPr>
              <w:spacing w:after="0" w:line="240" w:lineRule="auto"/>
              <w:rPr>
                <w:rFonts w:ascii="Calibri" w:eastAsia="Times New Roman" w:hAnsi="Calibri" w:cs="Calibri"/>
                <w:sz w:val="12"/>
                <w:szCs w:val="12"/>
                <w:lang w:eastAsia="es-CO"/>
              </w:rPr>
            </w:pPr>
          </w:p>
        </w:tc>
        <w:tc>
          <w:tcPr>
            <w:tcW w:w="822" w:type="pct"/>
            <w:gridSpan w:val="2"/>
            <w:tcBorders>
              <w:left w:val="single" w:sz="4" w:space="0" w:color="auto"/>
              <w:bottom w:val="single" w:sz="4" w:space="0" w:color="auto"/>
            </w:tcBorders>
            <w:shd w:val="clear" w:color="auto" w:fill="auto"/>
            <w:hideMark/>
          </w:tcPr>
          <w:p w14:paraId="0BE4D7BA" w14:textId="77777777" w:rsidR="00FF0ED7" w:rsidRPr="00740C0C" w:rsidRDefault="00FF0ED7" w:rsidP="00FF0ED7">
            <w:pPr>
              <w:spacing w:after="0" w:line="240" w:lineRule="auto"/>
              <w:rPr>
                <w:rFonts w:ascii="Calibri" w:eastAsia="Times New Roman" w:hAnsi="Calibri" w:cs="Calibri"/>
                <w:b/>
                <w:bCs/>
                <w:sz w:val="12"/>
                <w:szCs w:val="12"/>
                <w:lang w:eastAsia="es-CO"/>
              </w:rPr>
            </w:pPr>
            <w:r w:rsidRPr="00740C0C">
              <w:rPr>
                <w:rFonts w:ascii="Calibri" w:eastAsia="Times New Roman" w:hAnsi="Calibri" w:cs="Calibri"/>
                <w:b/>
                <w:bCs/>
                <w:sz w:val="12"/>
                <w:szCs w:val="12"/>
                <w:lang w:eastAsia="es-CO"/>
              </w:rPr>
              <w:t>INGRESO PROMEDIO MENSUAL= Sumatoria Dividida por # Total de días</w:t>
            </w:r>
          </w:p>
        </w:tc>
        <w:tc>
          <w:tcPr>
            <w:tcW w:w="646" w:type="pct"/>
            <w:tcBorders>
              <w:bottom w:val="single" w:sz="4" w:space="0" w:color="auto"/>
            </w:tcBorders>
            <w:shd w:val="clear" w:color="000000" w:fill="D9D9D9"/>
            <w:hideMark/>
          </w:tcPr>
          <w:p w14:paraId="6534A341" w14:textId="59A665C5" w:rsidR="00FF0ED7" w:rsidRPr="00740C0C" w:rsidRDefault="00FF0ED7" w:rsidP="00FF0ED7">
            <w:pPr>
              <w:spacing w:after="0" w:line="240" w:lineRule="auto"/>
              <w:rPr>
                <w:rFonts w:ascii="Calibri" w:eastAsia="Times New Roman" w:hAnsi="Calibri" w:cs="Calibri"/>
                <w:b/>
                <w:bCs/>
                <w:sz w:val="12"/>
                <w:szCs w:val="12"/>
                <w:lang w:eastAsia="es-CO"/>
              </w:rPr>
            </w:pPr>
            <w:r w:rsidRPr="00740C0C">
              <w:rPr>
                <w:rFonts w:ascii="Calibri" w:eastAsia="Times New Roman" w:hAnsi="Calibri" w:cs="Calibri"/>
                <w:b/>
                <w:bCs/>
                <w:sz w:val="12"/>
                <w:szCs w:val="12"/>
                <w:lang w:eastAsia="es-CO"/>
              </w:rPr>
              <w:t>$2.130.359,99</w:t>
            </w:r>
          </w:p>
        </w:tc>
      </w:tr>
      <w:tr w:rsidR="00FF0ED7" w:rsidRPr="00740C0C" w14:paraId="3172411D" w14:textId="77777777" w:rsidTr="00BC44EF">
        <w:trPr>
          <w:trHeight w:val="1185"/>
        </w:trPr>
        <w:tc>
          <w:tcPr>
            <w:tcW w:w="251" w:type="pct"/>
            <w:tcBorders>
              <w:top w:val="nil"/>
              <w:left w:val="nil"/>
              <w:bottom w:val="nil"/>
              <w:right w:val="nil"/>
            </w:tcBorders>
            <w:shd w:val="clear" w:color="auto" w:fill="auto"/>
            <w:noWrap/>
            <w:hideMark/>
          </w:tcPr>
          <w:p w14:paraId="4008800A" w14:textId="77777777" w:rsidR="00FF0ED7" w:rsidRPr="00740C0C" w:rsidRDefault="00FF0ED7" w:rsidP="00FF0ED7">
            <w:pPr>
              <w:spacing w:after="0" w:line="240" w:lineRule="auto"/>
              <w:rPr>
                <w:rFonts w:ascii="Calibri" w:eastAsia="Times New Roman" w:hAnsi="Calibri" w:cs="Calibri"/>
                <w:b/>
                <w:bCs/>
                <w:sz w:val="12"/>
                <w:szCs w:val="12"/>
                <w:lang w:eastAsia="es-CO"/>
              </w:rPr>
            </w:pPr>
          </w:p>
        </w:tc>
        <w:tc>
          <w:tcPr>
            <w:tcW w:w="221" w:type="pct"/>
            <w:tcBorders>
              <w:top w:val="nil"/>
              <w:left w:val="nil"/>
              <w:bottom w:val="nil"/>
              <w:right w:val="nil"/>
            </w:tcBorders>
            <w:shd w:val="clear" w:color="auto" w:fill="auto"/>
            <w:noWrap/>
            <w:hideMark/>
          </w:tcPr>
          <w:p w14:paraId="2124E4A3" w14:textId="77777777" w:rsidR="00FF0ED7" w:rsidRPr="00740C0C" w:rsidRDefault="00FF0ED7" w:rsidP="00FF0ED7">
            <w:pPr>
              <w:spacing w:after="0" w:line="240" w:lineRule="auto"/>
              <w:rPr>
                <w:rFonts w:ascii="Calibri" w:eastAsia="Times New Roman" w:hAnsi="Calibri" w:cs="Calibri"/>
                <w:sz w:val="12"/>
                <w:szCs w:val="12"/>
                <w:lang w:eastAsia="es-CO"/>
              </w:rPr>
            </w:pPr>
          </w:p>
        </w:tc>
        <w:tc>
          <w:tcPr>
            <w:tcW w:w="178" w:type="pct"/>
            <w:tcBorders>
              <w:top w:val="nil"/>
              <w:left w:val="nil"/>
              <w:bottom w:val="nil"/>
              <w:right w:val="single" w:sz="4" w:space="0" w:color="auto"/>
            </w:tcBorders>
            <w:shd w:val="clear" w:color="auto" w:fill="auto"/>
            <w:noWrap/>
            <w:hideMark/>
          </w:tcPr>
          <w:p w14:paraId="1F64155D" w14:textId="77777777" w:rsidR="00FF0ED7" w:rsidRPr="00740C0C" w:rsidRDefault="00FF0ED7" w:rsidP="00FF0ED7">
            <w:pPr>
              <w:spacing w:after="0" w:line="240" w:lineRule="auto"/>
              <w:rPr>
                <w:rFonts w:ascii="Calibri" w:eastAsia="Times New Roman" w:hAnsi="Calibri" w:cs="Calibri"/>
                <w:sz w:val="12"/>
                <w:szCs w:val="12"/>
                <w:lang w:eastAsia="es-CO"/>
              </w:rPr>
            </w:pPr>
          </w:p>
        </w:tc>
        <w:tc>
          <w:tcPr>
            <w:tcW w:w="665" w:type="pct"/>
            <w:vMerge w:val="restart"/>
            <w:tcBorders>
              <w:left w:val="single" w:sz="4" w:space="0" w:color="auto"/>
            </w:tcBorders>
            <w:shd w:val="clear" w:color="auto" w:fill="auto"/>
            <w:hideMark/>
          </w:tcPr>
          <w:p w14:paraId="5D944396" w14:textId="02A37951" w:rsidR="00FF0ED7" w:rsidRPr="00740C0C" w:rsidRDefault="00FF0ED7" w:rsidP="00FF0ED7">
            <w:pPr>
              <w:spacing w:after="0" w:line="240" w:lineRule="auto"/>
              <w:rPr>
                <w:rFonts w:ascii="Calibri" w:eastAsia="Times New Roman" w:hAnsi="Calibri" w:cs="Calibri"/>
                <w:b/>
                <w:bCs/>
                <w:sz w:val="12"/>
                <w:szCs w:val="12"/>
                <w:lang w:eastAsia="es-CO"/>
              </w:rPr>
            </w:pPr>
            <w:r w:rsidRPr="00740C0C">
              <w:rPr>
                <w:rFonts w:ascii="Calibri" w:eastAsia="Times New Roman" w:hAnsi="Calibri" w:cs="Calibri"/>
                <w:b/>
                <w:bCs/>
                <w:sz w:val="12"/>
                <w:szCs w:val="12"/>
                <w:lang w:eastAsia="es-CO"/>
              </w:rPr>
              <w:t xml:space="preserve">Porcentaje Promedio de Cotización (PPC)= Sumatoria # de semanas multiplicado por % de Cotización de esas </w:t>
            </w:r>
            <w:r w:rsidR="00721215" w:rsidRPr="00740C0C">
              <w:rPr>
                <w:rFonts w:ascii="Calibri" w:eastAsia="Times New Roman" w:hAnsi="Calibri" w:cs="Calibri"/>
                <w:b/>
                <w:bCs/>
                <w:sz w:val="12"/>
                <w:szCs w:val="12"/>
                <w:lang w:eastAsia="es-CO"/>
              </w:rPr>
              <w:t>semanas dividida</w:t>
            </w:r>
            <w:r w:rsidRPr="00740C0C">
              <w:rPr>
                <w:rFonts w:ascii="Calibri" w:eastAsia="Times New Roman" w:hAnsi="Calibri" w:cs="Calibri"/>
                <w:b/>
                <w:bCs/>
                <w:sz w:val="12"/>
                <w:szCs w:val="12"/>
                <w:lang w:eastAsia="es-CO"/>
              </w:rPr>
              <w:t xml:space="preserve"> por el total de todas las semanas</w:t>
            </w:r>
          </w:p>
        </w:tc>
        <w:tc>
          <w:tcPr>
            <w:tcW w:w="317" w:type="pct"/>
            <w:vMerge w:val="restart"/>
            <w:tcBorders>
              <w:right w:val="single" w:sz="4" w:space="0" w:color="auto"/>
            </w:tcBorders>
            <w:shd w:val="clear" w:color="000000" w:fill="BFBFBF"/>
            <w:hideMark/>
          </w:tcPr>
          <w:p w14:paraId="1BF1B12E" w14:textId="77777777" w:rsidR="00FF0ED7" w:rsidRPr="00740C0C" w:rsidRDefault="00FF0ED7" w:rsidP="00FF0ED7">
            <w:pPr>
              <w:spacing w:after="0" w:line="240" w:lineRule="auto"/>
              <w:rPr>
                <w:rFonts w:ascii="Calibri" w:eastAsia="Times New Roman" w:hAnsi="Calibri" w:cs="Calibri"/>
                <w:b/>
                <w:bCs/>
                <w:sz w:val="12"/>
                <w:szCs w:val="12"/>
                <w:lang w:eastAsia="es-CO"/>
              </w:rPr>
            </w:pPr>
            <w:r w:rsidRPr="00740C0C">
              <w:rPr>
                <w:rFonts w:ascii="Calibri" w:eastAsia="Times New Roman" w:hAnsi="Calibri" w:cs="Calibri"/>
                <w:b/>
                <w:bCs/>
                <w:sz w:val="12"/>
                <w:szCs w:val="12"/>
                <w:lang w:eastAsia="es-CO"/>
              </w:rPr>
              <w:t>5,82</w:t>
            </w:r>
          </w:p>
        </w:tc>
        <w:tc>
          <w:tcPr>
            <w:tcW w:w="356" w:type="pct"/>
            <w:tcBorders>
              <w:top w:val="nil"/>
              <w:left w:val="single" w:sz="4" w:space="0" w:color="auto"/>
              <w:bottom w:val="nil"/>
              <w:right w:val="nil"/>
            </w:tcBorders>
            <w:shd w:val="clear" w:color="auto" w:fill="auto"/>
            <w:noWrap/>
            <w:hideMark/>
          </w:tcPr>
          <w:p w14:paraId="2226E377" w14:textId="77777777" w:rsidR="00FF0ED7" w:rsidRPr="00740C0C" w:rsidRDefault="00FF0ED7" w:rsidP="00FF0ED7">
            <w:pPr>
              <w:spacing w:after="0" w:line="240" w:lineRule="auto"/>
              <w:rPr>
                <w:rFonts w:ascii="Calibri" w:eastAsia="Times New Roman" w:hAnsi="Calibri" w:cs="Calibri"/>
                <w:b/>
                <w:bCs/>
                <w:sz w:val="12"/>
                <w:szCs w:val="12"/>
                <w:lang w:eastAsia="es-CO"/>
              </w:rPr>
            </w:pPr>
          </w:p>
        </w:tc>
        <w:tc>
          <w:tcPr>
            <w:tcW w:w="337" w:type="pct"/>
            <w:tcBorders>
              <w:top w:val="nil"/>
              <w:left w:val="nil"/>
              <w:bottom w:val="nil"/>
              <w:right w:val="nil"/>
            </w:tcBorders>
            <w:shd w:val="clear" w:color="auto" w:fill="auto"/>
            <w:noWrap/>
            <w:hideMark/>
          </w:tcPr>
          <w:p w14:paraId="48F11715" w14:textId="77777777" w:rsidR="00FF0ED7" w:rsidRPr="00740C0C" w:rsidRDefault="00FF0ED7" w:rsidP="00FF0ED7">
            <w:pPr>
              <w:spacing w:after="0" w:line="240" w:lineRule="auto"/>
              <w:rPr>
                <w:rFonts w:ascii="Calibri" w:eastAsia="Times New Roman" w:hAnsi="Calibri" w:cs="Calibri"/>
                <w:sz w:val="12"/>
                <w:szCs w:val="12"/>
                <w:lang w:eastAsia="es-CO"/>
              </w:rPr>
            </w:pPr>
          </w:p>
        </w:tc>
        <w:tc>
          <w:tcPr>
            <w:tcW w:w="407" w:type="pct"/>
            <w:tcBorders>
              <w:top w:val="nil"/>
              <w:left w:val="nil"/>
              <w:bottom w:val="nil"/>
              <w:right w:val="nil"/>
            </w:tcBorders>
            <w:shd w:val="clear" w:color="auto" w:fill="auto"/>
            <w:noWrap/>
            <w:hideMark/>
          </w:tcPr>
          <w:p w14:paraId="640F6C13" w14:textId="77777777" w:rsidR="00FF0ED7" w:rsidRPr="00740C0C" w:rsidRDefault="00FF0ED7" w:rsidP="00FF0ED7">
            <w:pPr>
              <w:spacing w:after="0" w:line="240" w:lineRule="auto"/>
              <w:rPr>
                <w:rFonts w:ascii="Calibri" w:eastAsia="Times New Roman" w:hAnsi="Calibri" w:cs="Calibri"/>
                <w:sz w:val="12"/>
                <w:szCs w:val="12"/>
                <w:lang w:eastAsia="es-CO"/>
              </w:rPr>
            </w:pPr>
          </w:p>
        </w:tc>
        <w:tc>
          <w:tcPr>
            <w:tcW w:w="464" w:type="pct"/>
            <w:tcBorders>
              <w:top w:val="nil"/>
              <w:left w:val="nil"/>
              <w:bottom w:val="nil"/>
              <w:right w:val="nil"/>
            </w:tcBorders>
            <w:shd w:val="clear" w:color="auto" w:fill="auto"/>
            <w:noWrap/>
            <w:hideMark/>
          </w:tcPr>
          <w:p w14:paraId="3EB200E0" w14:textId="77777777" w:rsidR="00FF0ED7" w:rsidRPr="00740C0C" w:rsidRDefault="00FF0ED7" w:rsidP="00FF0ED7">
            <w:pPr>
              <w:spacing w:after="0" w:line="240" w:lineRule="auto"/>
              <w:rPr>
                <w:rFonts w:ascii="Calibri" w:eastAsia="Times New Roman" w:hAnsi="Calibri" w:cs="Calibri"/>
                <w:sz w:val="12"/>
                <w:szCs w:val="12"/>
                <w:lang w:eastAsia="es-CO"/>
              </w:rPr>
            </w:pPr>
          </w:p>
        </w:tc>
        <w:tc>
          <w:tcPr>
            <w:tcW w:w="334" w:type="pct"/>
            <w:tcBorders>
              <w:top w:val="nil"/>
              <w:left w:val="nil"/>
              <w:bottom w:val="nil"/>
              <w:right w:val="single" w:sz="4" w:space="0" w:color="auto"/>
            </w:tcBorders>
            <w:shd w:val="clear" w:color="auto" w:fill="auto"/>
            <w:noWrap/>
            <w:hideMark/>
          </w:tcPr>
          <w:p w14:paraId="4DD86166" w14:textId="77777777" w:rsidR="00FF0ED7" w:rsidRPr="00740C0C" w:rsidRDefault="00FF0ED7" w:rsidP="00FF0ED7">
            <w:pPr>
              <w:spacing w:after="0" w:line="240" w:lineRule="auto"/>
              <w:rPr>
                <w:rFonts w:ascii="Calibri" w:eastAsia="Times New Roman" w:hAnsi="Calibri" w:cs="Calibri"/>
                <w:sz w:val="12"/>
                <w:szCs w:val="12"/>
                <w:lang w:eastAsia="es-CO"/>
              </w:rPr>
            </w:pPr>
          </w:p>
        </w:tc>
        <w:tc>
          <w:tcPr>
            <w:tcW w:w="822" w:type="pct"/>
            <w:gridSpan w:val="2"/>
            <w:tcBorders>
              <w:left w:val="single" w:sz="4" w:space="0" w:color="auto"/>
              <w:bottom w:val="single" w:sz="4" w:space="0" w:color="auto"/>
            </w:tcBorders>
            <w:shd w:val="clear" w:color="auto" w:fill="auto"/>
            <w:hideMark/>
          </w:tcPr>
          <w:p w14:paraId="011D5F99" w14:textId="2ED015C3" w:rsidR="00FF0ED7" w:rsidRPr="00740C0C" w:rsidRDefault="00FF0ED7" w:rsidP="00FF0ED7">
            <w:pPr>
              <w:spacing w:after="0" w:line="240" w:lineRule="auto"/>
              <w:rPr>
                <w:rFonts w:ascii="Calibri" w:eastAsia="Times New Roman" w:hAnsi="Calibri" w:cs="Calibri"/>
                <w:b/>
                <w:bCs/>
                <w:sz w:val="12"/>
                <w:szCs w:val="12"/>
                <w:lang w:eastAsia="es-CO"/>
              </w:rPr>
            </w:pPr>
            <w:r w:rsidRPr="00740C0C">
              <w:rPr>
                <w:rFonts w:ascii="Calibri" w:eastAsia="Times New Roman" w:hAnsi="Calibri" w:cs="Calibri"/>
                <w:b/>
                <w:bCs/>
                <w:sz w:val="12"/>
                <w:szCs w:val="12"/>
                <w:lang w:eastAsia="es-CO"/>
              </w:rPr>
              <w:t>Salario Base cotización semanal (</w:t>
            </w:r>
            <w:r w:rsidR="00721215" w:rsidRPr="00740C0C">
              <w:rPr>
                <w:rFonts w:ascii="Calibri" w:eastAsia="Times New Roman" w:hAnsi="Calibri" w:cs="Calibri"/>
                <w:b/>
                <w:bCs/>
                <w:sz w:val="12"/>
                <w:szCs w:val="12"/>
                <w:lang w:eastAsia="es-CO"/>
              </w:rPr>
              <w:t>SBC)</w:t>
            </w:r>
            <w:r w:rsidRPr="00740C0C">
              <w:rPr>
                <w:rFonts w:ascii="Calibri" w:eastAsia="Times New Roman" w:hAnsi="Calibri" w:cs="Calibri"/>
                <w:b/>
                <w:bCs/>
                <w:sz w:val="12"/>
                <w:szCs w:val="12"/>
                <w:lang w:eastAsia="es-CO"/>
              </w:rPr>
              <w:t xml:space="preserve">= Ingreso mensual dividido por 30 y </w:t>
            </w:r>
            <w:proofErr w:type="spellStart"/>
            <w:r w:rsidRPr="00740C0C">
              <w:rPr>
                <w:rFonts w:ascii="Calibri" w:eastAsia="Times New Roman" w:hAnsi="Calibri" w:cs="Calibri"/>
                <w:b/>
                <w:bCs/>
                <w:sz w:val="12"/>
                <w:szCs w:val="12"/>
                <w:lang w:eastAsia="es-CO"/>
              </w:rPr>
              <w:t>mutiplicado</w:t>
            </w:r>
            <w:proofErr w:type="spellEnd"/>
            <w:r w:rsidRPr="00740C0C">
              <w:rPr>
                <w:rFonts w:ascii="Calibri" w:eastAsia="Times New Roman" w:hAnsi="Calibri" w:cs="Calibri"/>
                <w:b/>
                <w:bCs/>
                <w:sz w:val="12"/>
                <w:szCs w:val="12"/>
                <w:lang w:eastAsia="es-CO"/>
              </w:rPr>
              <w:t xml:space="preserve"> por 7</w:t>
            </w:r>
          </w:p>
        </w:tc>
        <w:tc>
          <w:tcPr>
            <w:tcW w:w="646" w:type="pct"/>
            <w:tcBorders>
              <w:bottom w:val="single" w:sz="4" w:space="0" w:color="auto"/>
            </w:tcBorders>
            <w:shd w:val="clear" w:color="000000" w:fill="D9D9D9"/>
            <w:hideMark/>
          </w:tcPr>
          <w:p w14:paraId="5EE92661" w14:textId="5F9B0C0F" w:rsidR="00FF0ED7" w:rsidRPr="00740C0C" w:rsidRDefault="00FF0ED7" w:rsidP="00FF0ED7">
            <w:pPr>
              <w:spacing w:after="0" w:line="240" w:lineRule="auto"/>
              <w:rPr>
                <w:rFonts w:ascii="Calibri" w:eastAsia="Times New Roman" w:hAnsi="Calibri" w:cs="Calibri"/>
                <w:b/>
                <w:bCs/>
                <w:sz w:val="12"/>
                <w:szCs w:val="12"/>
                <w:lang w:eastAsia="es-CO"/>
              </w:rPr>
            </w:pPr>
            <w:r w:rsidRPr="00740C0C">
              <w:rPr>
                <w:rFonts w:ascii="Calibri" w:eastAsia="Times New Roman" w:hAnsi="Calibri" w:cs="Calibri"/>
                <w:b/>
                <w:bCs/>
                <w:sz w:val="12"/>
                <w:szCs w:val="12"/>
                <w:lang w:eastAsia="es-CO"/>
              </w:rPr>
              <w:t>$497.084,00</w:t>
            </w:r>
          </w:p>
        </w:tc>
      </w:tr>
      <w:tr w:rsidR="00FF0ED7" w:rsidRPr="00740C0C" w14:paraId="728DF29D" w14:textId="77777777" w:rsidTr="00BC44EF">
        <w:trPr>
          <w:trHeight w:val="345"/>
        </w:trPr>
        <w:tc>
          <w:tcPr>
            <w:tcW w:w="251" w:type="pct"/>
            <w:tcBorders>
              <w:top w:val="nil"/>
              <w:left w:val="nil"/>
              <w:bottom w:val="nil"/>
              <w:right w:val="nil"/>
            </w:tcBorders>
            <w:shd w:val="clear" w:color="auto" w:fill="auto"/>
            <w:noWrap/>
            <w:hideMark/>
          </w:tcPr>
          <w:p w14:paraId="0738CDBB" w14:textId="77777777" w:rsidR="00FF0ED7" w:rsidRPr="00740C0C" w:rsidRDefault="00FF0ED7" w:rsidP="00FF0ED7">
            <w:pPr>
              <w:spacing w:after="0" w:line="240" w:lineRule="auto"/>
              <w:rPr>
                <w:rFonts w:ascii="Calibri" w:eastAsia="Times New Roman" w:hAnsi="Calibri" w:cs="Calibri"/>
                <w:b/>
                <w:bCs/>
                <w:sz w:val="12"/>
                <w:szCs w:val="12"/>
                <w:lang w:eastAsia="es-CO"/>
              </w:rPr>
            </w:pPr>
          </w:p>
        </w:tc>
        <w:tc>
          <w:tcPr>
            <w:tcW w:w="221" w:type="pct"/>
            <w:tcBorders>
              <w:top w:val="nil"/>
              <w:left w:val="nil"/>
              <w:bottom w:val="nil"/>
              <w:right w:val="nil"/>
            </w:tcBorders>
            <w:shd w:val="clear" w:color="auto" w:fill="auto"/>
            <w:noWrap/>
            <w:hideMark/>
          </w:tcPr>
          <w:p w14:paraId="29392A65" w14:textId="77777777" w:rsidR="00FF0ED7" w:rsidRPr="00740C0C" w:rsidRDefault="00FF0ED7" w:rsidP="00FF0ED7">
            <w:pPr>
              <w:spacing w:after="0" w:line="240" w:lineRule="auto"/>
              <w:rPr>
                <w:rFonts w:ascii="Calibri" w:eastAsia="Times New Roman" w:hAnsi="Calibri" w:cs="Calibri"/>
                <w:sz w:val="12"/>
                <w:szCs w:val="12"/>
                <w:lang w:eastAsia="es-CO"/>
              </w:rPr>
            </w:pPr>
          </w:p>
        </w:tc>
        <w:tc>
          <w:tcPr>
            <w:tcW w:w="178" w:type="pct"/>
            <w:tcBorders>
              <w:top w:val="nil"/>
              <w:left w:val="nil"/>
              <w:bottom w:val="nil"/>
              <w:right w:val="single" w:sz="4" w:space="0" w:color="auto"/>
            </w:tcBorders>
            <w:shd w:val="clear" w:color="auto" w:fill="auto"/>
            <w:noWrap/>
            <w:hideMark/>
          </w:tcPr>
          <w:p w14:paraId="111C25A8" w14:textId="77777777" w:rsidR="00FF0ED7" w:rsidRPr="00740C0C" w:rsidRDefault="00FF0ED7" w:rsidP="00FF0ED7">
            <w:pPr>
              <w:spacing w:after="0" w:line="240" w:lineRule="auto"/>
              <w:rPr>
                <w:rFonts w:ascii="Calibri" w:eastAsia="Times New Roman" w:hAnsi="Calibri" w:cs="Calibri"/>
                <w:sz w:val="12"/>
                <w:szCs w:val="12"/>
                <w:lang w:eastAsia="es-CO"/>
              </w:rPr>
            </w:pPr>
          </w:p>
        </w:tc>
        <w:tc>
          <w:tcPr>
            <w:tcW w:w="665" w:type="pct"/>
            <w:vMerge/>
            <w:tcBorders>
              <w:left w:val="single" w:sz="4" w:space="0" w:color="auto"/>
            </w:tcBorders>
            <w:hideMark/>
          </w:tcPr>
          <w:p w14:paraId="7FDD6403" w14:textId="77777777" w:rsidR="00FF0ED7" w:rsidRPr="00740C0C" w:rsidRDefault="00FF0ED7" w:rsidP="00FF0ED7">
            <w:pPr>
              <w:spacing w:after="0" w:line="240" w:lineRule="auto"/>
              <w:rPr>
                <w:rFonts w:ascii="Calibri" w:eastAsia="Times New Roman" w:hAnsi="Calibri" w:cs="Calibri"/>
                <w:b/>
                <w:bCs/>
                <w:sz w:val="12"/>
                <w:szCs w:val="12"/>
                <w:lang w:eastAsia="es-CO"/>
              </w:rPr>
            </w:pPr>
          </w:p>
        </w:tc>
        <w:tc>
          <w:tcPr>
            <w:tcW w:w="317" w:type="pct"/>
            <w:vMerge/>
            <w:tcBorders>
              <w:right w:val="single" w:sz="4" w:space="0" w:color="auto"/>
            </w:tcBorders>
            <w:hideMark/>
          </w:tcPr>
          <w:p w14:paraId="6B52B9F4" w14:textId="77777777" w:rsidR="00FF0ED7" w:rsidRPr="00740C0C" w:rsidRDefault="00FF0ED7" w:rsidP="00FF0ED7">
            <w:pPr>
              <w:spacing w:after="0" w:line="240" w:lineRule="auto"/>
              <w:rPr>
                <w:rFonts w:ascii="Calibri" w:eastAsia="Times New Roman" w:hAnsi="Calibri" w:cs="Calibri"/>
                <w:b/>
                <w:bCs/>
                <w:sz w:val="12"/>
                <w:szCs w:val="12"/>
                <w:lang w:eastAsia="es-CO"/>
              </w:rPr>
            </w:pPr>
          </w:p>
        </w:tc>
        <w:tc>
          <w:tcPr>
            <w:tcW w:w="356" w:type="pct"/>
            <w:tcBorders>
              <w:top w:val="nil"/>
              <w:left w:val="single" w:sz="4" w:space="0" w:color="auto"/>
              <w:bottom w:val="nil"/>
              <w:right w:val="nil"/>
            </w:tcBorders>
            <w:shd w:val="clear" w:color="auto" w:fill="auto"/>
            <w:noWrap/>
            <w:hideMark/>
          </w:tcPr>
          <w:p w14:paraId="5FB4B103" w14:textId="77777777" w:rsidR="00FF0ED7" w:rsidRPr="00740C0C" w:rsidRDefault="00FF0ED7" w:rsidP="00FF0ED7">
            <w:pPr>
              <w:spacing w:after="0" w:line="240" w:lineRule="auto"/>
              <w:rPr>
                <w:rFonts w:ascii="Calibri" w:eastAsia="Times New Roman" w:hAnsi="Calibri" w:cs="Calibri"/>
                <w:sz w:val="12"/>
                <w:szCs w:val="12"/>
                <w:lang w:eastAsia="es-CO"/>
              </w:rPr>
            </w:pPr>
          </w:p>
        </w:tc>
        <w:tc>
          <w:tcPr>
            <w:tcW w:w="337" w:type="pct"/>
            <w:tcBorders>
              <w:top w:val="nil"/>
              <w:left w:val="nil"/>
              <w:bottom w:val="nil"/>
              <w:right w:val="nil"/>
            </w:tcBorders>
            <w:shd w:val="clear" w:color="auto" w:fill="auto"/>
            <w:noWrap/>
            <w:hideMark/>
          </w:tcPr>
          <w:p w14:paraId="31F7A52B" w14:textId="77777777" w:rsidR="00FF0ED7" w:rsidRPr="00740C0C" w:rsidRDefault="00FF0ED7" w:rsidP="00FF0ED7">
            <w:pPr>
              <w:spacing w:after="0" w:line="240" w:lineRule="auto"/>
              <w:rPr>
                <w:rFonts w:ascii="Calibri" w:eastAsia="Times New Roman" w:hAnsi="Calibri" w:cs="Calibri"/>
                <w:sz w:val="12"/>
                <w:szCs w:val="12"/>
                <w:lang w:eastAsia="es-CO"/>
              </w:rPr>
            </w:pPr>
          </w:p>
        </w:tc>
        <w:tc>
          <w:tcPr>
            <w:tcW w:w="407" w:type="pct"/>
            <w:tcBorders>
              <w:top w:val="nil"/>
              <w:left w:val="nil"/>
              <w:bottom w:val="nil"/>
              <w:right w:val="nil"/>
            </w:tcBorders>
            <w:shd w:val="clear" w:color="auto" w:fill="auto"/>
            <w:noWrap/>
            <w:hideMark/>
          </w:tcPr>
          <w:p w14:paraId="04883DBD" w14:textId="77777777" w:rsidR="00FF0ED7" w:rsidRPr="00740C0C" w:rsidRDefault="00FF0ED7" w:rsidP="00FF0ED7">
            <w:pPr>
              <w:spacing w:after="0" w:line="240" w:lineRule="auto"/>
              <w:rPr>
                <w:rFonts w:ascii="Calibri" w:eastAsia="Times New Roman" w:hAnsi="Calibri" w:cs="Calibri"/>
                <w:sz w:val="12"/>
                <w:szCs w:val="12"/>
                <w:lang w:eastAsia="es-CO"/>
              </w:rPr>
            </w:pPr>
          </w:p>
        </w:tc>
        <w:tc>
          <w:tcPr>
            <w:tcW w:w="464" w:type="pct"/>
            <w:tcBorders>
              <w:top w:val="nil"/>
              <w:left w:val="nil"/>
              <w:bottom w:val="nil"/>
              <w:right w:val="nil"/>
            </w:tcBorders>
            <w:shd w:val="clear" w:color="auto" w:fill="auto"/>
            <w:noWrap/>
            <w:hideMark/>
          </w:tcPr>
          <w:p w14:paraId="79B52A56" w14:textId="77777777" w:rsidR="00FF0ED7" w:rsidRPr="00740C0C" w:rsidRDefault="00FF0ED7" w:rsidP="00FF0ED7">
            <w:pPr>
              <w:spacing w:after="0" w:line="240" w:lineRule="auto"/>
              <w:rPr>
                <w:rFonts w:ascii="Calibri" w:eastAsia="Times New Roman" w:hAnsi="Calibri" w:cs="Calibri"/>
                <w:sz w:val="12"/>
                <w:szCs w:val="12"/>
                <w:lang w:eastAsia="es-CO"/>
              </w:rPr>
            </w:pPr>
          </w:p>
        </w:tc>
        <w:tc>
          <w:tcPr>
            <w:tcW w:w="334" w:type="pct"/>
            <w:tcBorders>
              <w:top w:val="nil"/>
              <w:left w:val="nil"/>
              <w:bottom w:val="nil"/>
              <w:right w:val="nil"/>
            </w:tcBorders>
            <w:shd w:val="clear" w:color="auto" w:fill="auto"/>
            <w:noWrap/>
            <w:hideMark/>
          </w:tcPr>
          <w:p w14:paraId="36262BAA" w14:textId="77777777" w:rsidR="00FF0ED7" w:rsidRPr="00740C0C" w:rsidRDefault="00FF0ED7" w:rsidP="00FF0ED7">
            <w:pPr>
              <w:spacing w:after="0" w:line="240" w:lineRule="auto"/>
              <w:rPr>
                <w:rFonts w:ascii="Calibri" w:eastAsia="Times New Roman" w:hAnsi="Calibri" w:cs="Calibri"/>
                <w:sz w:val="12"/>
                <w:szCs w:val="12"/>
                <w:lang w:eastAsia="es-CO"/>
              </w:rPr>
            </w:pPr>
          </w:p>
        </w:tc>
        <w:tc>
          <w:tcPr>
            <w:tcW w:w="379" w:type="pct"/>
            <w:tcBorders>
              <w:top w:val="single" w:sz="4" w:space="0" w:color="auto"/>
              <w:left w:val="nil"/>
              <w:bottom w:val="single" w:sz="4" w:space="0" w:color="auto"/>
              <w:right w:val="nil"/>
            </w:tcBorders>
            <w:shd w:val="clear" w:color="auto" w:fill="auto"/>
            <w:noWrap/>
            <w:hideMark/>
          </w:tcPr>
          <w:p w14:paraId="7165ED80" w14:textId="77777777" w:rsidR="00FF0ED7" w:rsidRPr="00740C0C" w:rsidRDefault="00FF0ED7" w:rsidP="00FF0ED7">
            <w:pPr>
              <w:spacing w:after="0" w:line="240" w:lineRule="auto"/>
              <w:rPr>
                <w:rFonts w:ascii="Calibri" w:eastAsia="Times New Roman" w:hAnsi="Calibri" w:cs="Calibri"/>
                <w:sz w:val="12"/>
                <w:szCs w:val="12"/>
                <w:lang w:eastAsia="es-CO"/>
              </w:rPr>
            </w:pPr>
          </w:p>
        </w:tc>
        <w:tc>
          <w:tcPr>
            <w:tcW w:w="443" w:type="pct"/>
            <w:tcBorders>
              <w:top w:val="single" w:sz="4" w:space="0" w:color="auto"/>
              <w:left w:val="nil"/>
              <w:bottom w:val="single" w:sz="4" w:space="0" w:color="auto"/>
              <w:right w:val="nil"/>
            </w:tcBorders>
            <w:shd w:val="clear" w:color="auto" w:fill="auto"/>
            <w:noWrap/>
            <w:hideMark/>
          </w:tcPr>
          <w:p w14:paraId="6E55320C" w14:textId="77777777" w:rsidR="00FF0ED7" w:rsidRPr="00740C0C" w:rsidRDefault="00FF0ED7" w:rsidP="00FF0ED7">
            <w:pPr>
              <w:spacing w:after="0" w:line="240" w:lineRule="auto"/>
              <w:rPr>
                <w:rFonts w:ascii="Calibri" w:eastAsia="Times New Roman" w:hAnsi="Calibri" w:cs="Calibri"/>
                <w:sz w:val="12"/>
                <w:szCs w:val="12"/>
                <w:lang w:eastAsia="es-CO"/>
              </w:rPr>
            </w:pPr>
          </w:p>
        </w:tc>
        <w:tc>
          <w:tcPr>
            <w:tcW w:w="646" w:type="pct"/>
            <w:tcBorders>
              <w:top w:val="single" w:sz="4" w:space="0" w:color="auto"/>
              <w:left w:val="nil"/>
              <w:bottom w:val="single" w:sz="4" w:space="0" w:color="auto"/>
              <w:right w:val="nil"/>
            </w:tcBorders>
            <w:shd w:val="clear" w:color="auto" w:fill="auto"/>
            <w:noWrap/>
            <w:hideMark/>
          </w:tcPr>
          <w:p w14:paraId="556DDB96" w14:textId="77777777" w:rsidR="00FF0ED7" w:rsidRPr="00740C0C" w:rsidRDefault="00FF0ED7" w:rsidP="00FF0ED7">
            <w:pPr>
              <w:spacing w:after="0" w:line="240" w:lineRule="auto"/>
              <w:rPr>
                <w:rFonts w:ascii="Calibri" w:eastAsia="Times New Roman" w:hAnsi="Calibri" w:cs="Calibri"/>
                <w:sz w:val="12"/>
                <w:szCs w:val="12"/>
                <w:lang w:eastAsia="es-CO"/>
              </w:rPr>
            </w:pPr>
          </w:p>
        </w:tc>
      </w:tr>
      <w:tr w:rsidR="00FF0ED7" w:rsidRPr="00740C0C" w14:paraId="69DCCD66" w14:textId="77777777" w:rsidTr="00BC44EF">
        <w:trPr>
          <w:trHeight w:val="390"/>
        </w:trPr>
        <w:tc>
          <w:tcPr>
            <w:tcW w:w="251" w:type="pct"/>
            <w:tcBorders>
              <w:top w:val="nil"/>
              <w:left w:val="nil"/>
              <w:bottom w:val="nil"/>
              <w:right w:val="nil"/>
            </w:tcBorders>
            <w:shd w:val="clear" w:color="auto" w:fill="auto"/>
            <w:noWrap/>
            <w:hideMark/>
          </w:tcPr>
          <w:p w14:paraId="4AA16B2B" w14:textId="77777777" w:rsidR="00FF0ED7" w:rsidRPr="00740C0C" w:rsidRDefault="00FF0ED7" w:rsidP="00FF0ED7">
            <w:pPr>
              <w:spacing w:after="0" w:line="240" w:lineRule="auto"/>
              <w:rPr>
                <w:rFonts w:ascii="Calibri" w:eastAsia="Times New Roman" w:hAnsi="Calibri" w:cs="Calibri"/>
                <w:sz w:val="12"/>
                <w:szCs w:val="12"/>
                <w:lang w:eastAsia="es-CO"/>
              </w:rPr>
            </w:pPr>
          </w:p>
        </w:tc>
        <w:tc>
          <w:tcPr>
            <w:tcW w:w="221" w:type="pct"/>
            <w:tcBorders>
              <w:top w:val="nil"/>
              <w:left w:val="nil"/>
              <w:bottom w:val="nil"/>
              <w:right w:val="nil"/>
            </w:tcBorders>
            <w:shd w:val="clear" w:color="auto" w:fill="auto"/>
            <w:noWrap/>
            <w:hideMark/>
          </w:tcPr>
          <w:p w14:paraId="2D992D75" w14:textId="77777777" w:rsidR="00FF0ED7" w:rsidRPr="00740C0C" w:rsidRDefault="00FF0ED7" w:rsidP="00FF0ED7">
            <w:pPr>
              <w:spacing w:after="0" w:line="240" w:lineRule="auto"/>
              <w:rPr>
                <w:rFonts w:ascii="Calibri" w:eastAsia="Times New Roman" w:hAnsi="Calibri" w:cs="Calibri"/>
                <w:sz w:val="12"/>
                <w:szCs w:val="12"/>
                <w:lang w:eastAsia="es-CO"/>
              </w:rPr>
            </w:pPr>
          </w:p>
        </w:tc>
        <w:tc>
          <w:tcPr>
            <w:tcW w:w="178" w:type="pct"/>
            <w:tcBorders>
              <w:top w:val="nil"/>
              <w:left w:val="nil"/>
              <w:bottom w:val="nil"/>
              <w:right w:val="single" w:sz="4" w:space="0" w:color="auto"/>
            </w:tcBorders>
            <w:shd w:val="clear" w:color="auto" w:fill="auto"/>
            <w:noWrap/>
            <w:hideMark/>
          </w:tcPr>
          <w:p w14:paraId="6871BD5D" w14:textId="77777777" w:rsidR="00FF0ED7" w:rsidRPr="00740C0C" w:rsidRDefault="00FF0ED7" w:rsidP="00FF0ED7">
            <w:pPr>
              <w:spacing w:after="0" w:line="240" w:lineRule="auto"/>
              <w:rPr>
                <w:rFonts w:ascii="Calibri" w:eastAsia="Times New Roman" w:hAnsi="Calibri" w:cs="Calibri"/>
                <w:sz w:val="12"/>
                <w:szCs w:val="12"/>
                <w:lang w:eastAsia="es-CO"/>
              </w:rPr>
            </w:pPr>
          </w:p>
        </w:tc>
        <w:tc>
          <w:tcPr>
            <w:tcW w:w="665" w:type="pct"/>
            <w:vMerge/>
            <w:tcBorders>
              <w:left w:val="single" w:sz="4" w:space="0" w:color="auto"/>
            </w:tcBorders>
            <w:hideMark/>
          </w:tcPr>
          <w:p w14:paraId="6E7A8D25" w14:textId="77777777" w:rsidR="00FF0ED7" w:rsidRPr="00740C0C" w:rsidRDefault="00FF0ED7" w:rsidP="00FF0ED7">
            <w:pPr>
              <w:spacing w:after="0" w:line="240" w:lineRule="auto"/>
              <w:rPr>
                <w:rFonts w:ascii="Calibri" w:eastAsia="Times New Roman" w:hAnsi="Calibri" w:cs="Calibri"/>
                <w:b/>
                <w:bCs/>
                <w:sz w:val="12"/>
                <w:szCs w:val="12"/>
                <w:lang w:eastAsia="es-CO"/>
              </w:rPr>
            </w:pPr>
          </w:p>
        </w:tc>
        <w:tc>
          <w:tcPr>
            <w:tcW w:w="317" w:type="pct"/>
            <w:vMerge/>
            <w:tcBorders>
              <w:right w:val="single" w:sz="4" w:space="0" w:color="auto"/>
            </w:tcBorders>
            <w:hideMark/>
          </w:tcPr>
          <w:p w14:paraId="6E85C803" w14:textId="77777777" w:rsidR="00FF0ED7" w:rsidRPr="00740C0C" w:rsidRDefault="00FF0ED7" w:rsidP="00FF0ED7">
            <w:pPr>
              <w:spacing w:after="0" w:line="240" w:lineRule="auto"/>
              <w:rPr>
                <w:rFonts w:ascii="Calibri" w:eastAsia="Times New Roman" w:hAnsi="Calibri" w:cs="Calibri"/>
                <w:b/>
                <w:bCs/>
                <w:sz w:val="12"/>
                <w:szCs w:val="12"/>
                <w:lang w:eastAsia="es-CO"/>
              </w:rPr>
            </w:pPr>
          </w:p>
        </w:tc>
        <w:tc>
          <w:tcPr>
            <w:tcW w:w="356" w:type="pct"/>
            <w:tcBorders>
              <w:top w:val="nil"/>
              <w:left w:val="single" w:sz="4" w:space="0" w:color="auto"/>
              <w:bottom w:val="nil"/>
              <w:right w:val="nil"/>
            </w:tcBorders>
            <w:shd w:val="clear" w:color="auto" w:fill="auto"/>
            <w:noWrap/>
            <w:hideMark/>
          </w:tcPr>
          <w:p w14:paraId="1D5719CC" w14:textId="77777777" w:rsidR="00FF0ED7" w:rsidRPr="00740C0C" w:rsidRDefault="00FF0ED7" w:rsidP="00FF0ED7">
            <w:pPr>
              <w:spacing w:after="0" w:line="240" w:lineRule="auto"/>
              <w:rPr>
                <w:rFonts w:ascii="Calibri" w:eastAsia="Times New Roman" w:hAnsi="Calibri" w:cs="Calibri"/>
                <w:sz w:val="12"/>
                <w:szCs w:val="12"/>
                <w:lang w:eastAsia="es-CO"/>
              </w:rPr>
            </w:pPr>
          </w:p>
        </w:tc>
        <w:tc>
          <w:tcPr>
            <w:tcW w:w="337" w:type="pct"/>
            <w:tcBorders>
              <w:top w:val="nil"/>
              <w:left w:val="nil"/>
              <w:bottom w:val="nil"/>
              <w:right w:val="nil"/>
            </w:tcBorders>
            <w:shd w:val="clear" w:color="auto" w:fill="auto"/>
            <w:noWrap/>
            <w:hideMark/>
          </w:tcPr>
          <w:p w14:paraId="31856095" w14:textId="77777777" w:rsidR="00FF0ED7" w:rsidRPr="00740C0C" w:rsidRDefault="00FF0ED7" w:rsidP="00FF0ED7">
            <w:pPr>
              <w:spacing w:after="0" w:line="240" w:lineRule="auto"/>
              <w:rPr>
                <w:rFonts w:ascii="Calibri" w:eastAsia="Times New Roman" w:hAnsi="Calibri" w:cs="Calibri"/>
                <w:sz w:val="12"/>
                <w:szCs w:val="12"/>
                <w:lang w:eastAsia="es-CO"/>
              </w:rPr>
            </w:pPr>
          </w:p>
        </w:tc>
        <w:tc>
          <w:tcPr>
            <w:tcW w:w="407" w:type="pct"/>
            <w:tcBorders>
              <w:top w:val="nil"/>
              <w:left w:val="nil"/>
              <w:bottom w:val="nil"/>
              <w:right w:val="nil"/>
            </w:tcBorders>
            <w:shd w:val="clear" w:color="auto" w:fill="auto"/>
            <w:noWrap/>
            <w:hideMark/>
          </w:tcPr>
          <w:p w14:paraId="64D6F3D1" w14:textId="77777777" w:rsidR="00FF0ED7" w:rsidRPr="00740C0C" w:rsidRDefault="00FF0ED7" w:rsidP="00FF0ED7">
            <w:pPr>
              <w:spacing w:after="0" w:line="240" w:lineRule="auto"/>
              <w:rPr>
                <w:rFonts w:ascii="Calibri" w:eastAsia="Times New Roman" w:hAnsi="Calibri" w:cs="Calibri"/>
                <w:sz w:val="12"/>
                <w:szCs w:val="12"/>
                <w:lang w:eastAsia="es-CO"/>
              </w:rPr>
            </w:pPr>
          </w:p>
        </w:tc>
        <w:tc>
          <w:tcPr>
            <w:tcW w:w="464" w:type="pct"/>
            <w:tcBorders>
              <w:top w:val="nil"/>
              <w:left w:val="nil"/>
              <w:bottom w:val="nil"/>
              <w:right w:val="nil"/>
            </w:tcBorders>
            <w:shd w:val="clear" w:color="auto" w:fill="auto"/>
            <w:noWrap/>
            <w:hideMark/>
          </w:tcPr>
          <w:p w14:paraId="255481E7" w14:textId="77777777" w:rsidR="00FF0ED7" w:rsidRPr="00740C0C" w:rsidRDefault="00FF0ED7" w:rsidP="00FF0ED7">
            <w:pPr>
              <w:spacing w:after="0" w:line="240" w:lineRule="auto"/>
              <w:rPr>
                <w:rFonts w:ascii="Calibri" w:eastAsia="Times New Roman" w:hAnsi="Calibri" w:cs="Calibri"/>
                <w:sz w:val="12"/>
                <w:szCs w:val="12"/>
                <w:lang w:eastAsia="es-CO"/>
              </w:rPr>
            </w:pPr>
          </w:p>
        </w:tc>
        <w:tc>
          <w:tcPr>
            <w:tcW w:w="334" w:type="pct"/>
            <w:tcBorders>
              <w:top w:val="nil"/>
              <w:left w:val="nil"/>
              <w:bottom w:val="nil"/>
              <w:right w:val="single" w:sz="4" w:space="0" w:color="auto"/>
            </w:tcBorders>
            <w:shd w:val="clear" w:color="auto" w:fill="auto"/>
            <w:noWrap/>
            <w:hideMark/>
          </w:tcPr>
          <w:p w14:paraId="360840C1" w14:textId="77777777" w:rsidR="00FF0ED7" w:rsidRPr="00740C0C" w:rsidRDefault="00FF0ED7" w:rsidP="00FF0ED7">
            <w:pPr>
              <w:spacing w:after="0" w:line="240" w:lineRule="auto"/>
              <w:rPr>
                <w:rFonts w:ascii="Calibri" w:eastAsia="Times New Roman" w:hAnsi="Calibri" w:cs="Calibri"/>
                <w:sz w:val="12"/>
                <w:szCs w:val="12"/>
                <w:lang w:eastAsia="es-CO"/>
              </w:rPr>
            </w:pPr>
          </w:p>
        </w:tc>
        <w:tc>
          <w:tcPr>
            <w:tcW w:w="822" w:type="pct"/>
            <w:gridSpan w:val="2"/>
            <w:tcBorders>
              <w:top w:val="single" w:sz="4" w:space="0" w:color="auto"/>
              <w:left w:val="single" w:sz="4" w:space="0" w:color="auto"/>
            </w:tcBorders>
            <w:shd w:val="clear" w:color="auto" w:fill="auto"/>
            <w:hideMark/>
          </w:tcPr>
          <w:p w14:paraId="75A8EAAD" w14:textId="1EB5AFFC" w:rsidR="00FF0ED7" w:rsidRPr="00740C0C" w:rsidRDefault="00FF0ED7" w:rsidP="00FF0ED7">
            <w:pPr>
              <w:spacing w:after="0" w:line="240" w:lineRule="auto"/>
              <w:rPr>
                <w:rFonts w:ascii="Calibri" w:eastAsia="Times New Roman" w:hAnsi="Calibri" w:cs="Calibri"/>
                <w:b/>
                <w:bCs/>
                <w:sz w:val="12"/>
                <w:szCs w:val="12"/>
                <w:lang w:eastAsia="es-CO"/>
              </w:rPr>
            </w:pPr>
            <w:r w:rsidRPr="00740C0C">
              <w:rPr>
                <w:rFonts w:ascii="Calibri" w:eastAsia="Times New Roman" w:hAnsi="Calibri" w:cs="Calibri"/>
                <w:b/>
                <w:bCs/>
                <w:sz w:val="12"/>
                <w:szCs w:val="12"/>
                <w:lang w:eastAsia="es-CO"/>
              </w:rPr>
              <w:t>TOTAL INDEMNIZACIÓN</w:t>
            </w:r>
            <w:r w:rsidR="00721215" w:rsidRPr="00740C0C">
              <w:rPr>
                <w:rFonts w:ascii="Calibri" w:eastAsia="Times New Roman" w:hAnsi="Calibri" w:cs="Calibri"/>
                <w:b/>
                <w:bCs/>
                <w:sz w:val="12"/>
                <w:szCs w:val="12"/>
                <w:lang w:eastAsia="es-CO"/>
              </w:rPr>
              <w:t xml:space="preserve"> </w:t>
            </w:r>
            <w:r w:rsidRPr="00740C0C">
              <w:rPr>
                <w:rFonts w:ascii="Calibri" w:eastAsia="Times New Roman" w:hAnsi="Calibri" w:cs="Calibri"/>
                <w:b/>
                <w:bCs/>
                <w:sz w:val="12"/>
                <w:szCs w:val="12"/>
                <w:lang w:eastAsia="es-CO"/>
              </w:rPr>
              <w:t>=</w:t>
            </w:r>
            <w:r w:rsidR="00721215" w:rsidRPr="00740C0C">
              <w:rPr>
                <w:rFonts w:ascii="Calibri" w:eastAsia="Times New Roman" w:hAnsi="Calibri" w:cs="Calibri"/>
                <w:b/>
                <w:bCs/>
                <w:sz w:val="12"/>
                <w:szCs w:val="12"/>
                <w:lang w:eastAsia="es-CO"/>
              </w:rPr>
              <w:t xml:space="preserve"> (</w:t>
            </w:r>
            <w:r w:rsidRPr="00740C0C">
              <w:rPr>
                <w:rFonts w:ascii="Calibri" w:eastAsia="Times New Roman" w:hAnsi="Calibri" w:cs="Calibri"/>
                <w:b/>
                <w:bCs/>
                <w:sz w:val="12"/>
                <w:szCs w:val="12"/>
                <w:lang w:eastAsia="es-CO"/>
              </w:rPr>
              <w:t>SBC x SC x PPC)</w:t>
            </w:r>
          </w:p>
        </w:tc>
        <w:tc>
          <w:tcPr>
            <w:tcW w:w="646" w:type="pct"/>
            <w:tcBorders>
              <w:top w:val="single" w:sz="4" w:space="0" w:color="auto"/>
            </w:tcBorders>
            <w:shd w:val="clear" w:color="auto" w:fill="auto"/>
            <w:noWrap/>
            <w:hideMark/>
          </w:tcPr>
          <w:p w14:paraId="6C3FE262" w14:textId="77777777" w:rsidR="00FF0ED7" w:rsidRPr="00740C0C" w:rsidRDefault="00FF0ED7" w:rsidP="00FF0ED7">
            <w:pPr>
              <w:spacing w:after="0" w:line="240" w:lineRule="auto"/>
              <w:rPr>
                <w:rFonts w:ascii="Calibri" w:eastAsia="Times New Roman" w:hAnsi="Calibri" w:cs="Calibri"/>
                <w:b/>
                <w:bCs/>
                <w:sz w:val="16"/>
                <w:szCs w:val="16"/>
                <w:lang w:eastAsia="es-CO"/>
              </w:rPr>
            </w:pPr>
            <w:r w:rsidRPr="00740C0C">
              <w:rPr>
                <w:rFonts w:ascii="Calibri" w:eastAsia="Times New Roman" w:hAnsi="Calibri" w:cs="Calibri"/>
                <w:b/>
                <w:bCs/>
                <w:sz w:val="16"/>
                <w:szCs w:val="16"/>
                <w:lang w:eastAsia="es-CO"/>
              </w:rPr>
              <w:t>$ 28.608.604,33</w:t>
            </w:r>
          </w:p>
        </w:tc>
      </w:tr>
    </w:tbl>
    <w:p w14:paraId="44108194" w14:textId="77777777" w:rsidR="00714FDF" w:rsidRPr="007646E8" w:rsidRDefault="00714FDF" w:rsidP="007646E8">
      <w:pPr>
        <w:spacing w:after="0" w:line="276" w:lineRule="auto"/>
        <w:ind w:firstLine="708"/>
        <w:jc w:val="both"/>
        <w:rPr>
          <w:rFonts w:ascii="Tahoma" w:eastAsia="Times New Roman" w:hAnsi="Tahoma" w:cs="Tahoma"/>
          <w:sz w:val="24"/>
          <w:szCs w:val="24"/>
          <w:lang w:val="es-ES_tradnl" w:eastAsia="es-ES"/>
        </w:rPr>
      </w:pPr>
    </w:p>
    <w:p w14:paraId="5430DEF8" w14:textId="2E6AD829" w:rsidR="00721215" w:rsidRPr="007646E8" w:rsidRDefault="002B082E" w:rsidP="007646E8">
      <w:pPr>
        <w:spacing w:after="0" w:line="276" w:lineRule="auto"/>
        <w:ind w:firstLine="708"/>
        <w:jc w:val="both"/>
        <w:rPr>
          <w:rFonts w:ascii="Tahoma" w:eastAsia="Times New Roman" w:hAnsi="Tahoma" w:cs="Tahoma"/>
          <w:sz w:val="24"/>
          <w:szCs w:val="24"/>
          <w:lang w:val="es-ES_tradnl" w:eastAsia="es-ES"/>
        </w:rPr>
      </w:pPr>
      <w:r w:rsidRPr="007646E8">
        <w:rPr>
          <w:rFonts w:ascii="Tahoma" w:eastAsia="Times New Roman" w:hAnsi="Tahoma" w:cs="Tahoma"/>
          <w:sz w:val="24"/>
          <w:szCs w:val="24"/>
          <w:lang w:val="es-ES_tradnl" w:eastAsia="es-ES"/>
        </w:rPr>
        <w:t>Se desprende de la anterior liquidación que el demandante tenía derecho a recibir como indemnización sustitutiva la suma equivalente a $</w:t>
      </w:r>
      <w:r w:rsidR="00721215" w:rsidRPr="007646E8">
        <w:rPr>
          <w:rFonts w:ascii="Tahoma" w:eastAsia="Times New Roman" w:hAnsi="Tahoma" w:cs="Tahoma"/>
          <w:sz w:val="24"/>
          <w:szCs w:val="24"/>
          <w:lang w:val="es-ES_tradnl" w:eastAsia="es-ES"/>
        </w:rPr>
        <w:t>28.608.604,33</w:t>
      </w:r>
      <w:r w:rsidRPr="007646E8">
        <w:rPr>
          <w:rFonts w:ascii="Tahoma" w:eastAsia="Times New Roman" w:hAnsi="Tahoma" w:cs="Tahoma"/>
          <w:sz w:val="24"/>
          <w:szCs w:val="24"/>
          <w:lang w:val="es-ES_tradnl" w:eastAsia="es-ES"/>
        </w:rPr>
        <w:t xml:space="preserve">, de modo que, habiendo recibido </w:t>
      </w:r>
      <w:r w:rsidR="003F6F26" w:rsidRPr="007646E8">
        <w:rPr>
          <w:rFonts w:ascii="Tahoma" w:eastAsia="Times New Roman" w:hAnsi="Tahoma" w:cs="Tahoma"/>
          <w:sz w:val="24"/>
          <w:szCs w:val="24"/>
          <w:lang w:val="es-ES_tradnl" w:eastAsia="es-ES"/>
        </w:rPr>
        <w:t xml:space="preserve">una </w:t>
      </w:r>
      <w:r w:rsidRPr="007646E8">
        <w:rPr>
          <w:rFonts w:ascii="Tahoma" w:eastAsia="Times New Roman" w:hAnsi="Tahoma" w:cs="Tahoma"/>
          <w:sz w:val="24"/>
          <w:szCs w:val="24"/>
          <w:lang w:val="es-ES_tradnl" w:eastAsia="es-ES"/>
        </w:rPr>
        <w:t xml:space="preserve">suma </w:t>
      </w:r>
      <w:r w:rsidR="003F6F26" w:rsidRPr="007646E8">
        <w:rPr>
          <w:rFonts w:ascii="Tahoma" w:eastAsia="Times New Roman" w:hAnsi="Tahoma" w:cs="Tahoma"/>
          <w:sz w:val="24"/>
          <w:szCs w:val="24"/>
          <w:lang w:val="es-ES_tradnl" w:eastAsia="es-ES"/>
        </w:rPr>
        <w:t>inferior a esa (</w:t>
      </w:r>
      <w:r w:rsidRPr="007646E8">
        <w:rPr>
          <w:rFonts w:ascii="Tahoma" w:hAnsi="Tahoma" w:cs="Tahoma"/>
          <w:sz w:val="24"/>
          <w:szCs w:val="24"/>
        </w:rPr>
        <w:t>$28.047.766</w:t>
      </w:r>
      <w:r w:rsidR="003F6F26" w:rsidRPr="007646E8">
        <w:rPr>
          <w:rFonts w:ascii="Tahoma" w:hAnsi="Tahoma" w:cs="Tahoma"/>
          <w:sz w:val="24"/>
          <w:szCs w:val="24"/>
        </w:rPr>
        <w:t>,</w:t>
      </w:r>
      <w:r w:rsidRPr="007646E8">
        <w:rPr>
          <w:rFonts w:ascii="Tahoma" w:hAnsi="Tahoma" w:cs="Tahoma"/>
          <w:sz w:val="24"/>
          <w:szCs w:val="24"/>
        </w:rPr>
        <w:t xml:space="preserve"> según se aprecia en la Resolución SUB 21478 del 29 de marzo de 2017</w:t>
      </w:r>
      <w:r w:rsidR="003F6F26" w:rsidRPr="007646E8">
        <w:rPr>
          <w:rFonts w:ascii="Tahoma" w:hAnsi="Tahoma" w:cs="Tahoma"/>
          <w:sz w:val="24"/>
          <w:szCs w:val="24"/>
        </w:rPr>
        <w:t>)</w:t>
      </w:r>
      <w:r w:rsidR="00AC7942" w:rsidRPr="007646E8">
        <w:rPr>
          <w:rFonts w:ascii="Tahoma" w:hAnsi="Tahoma" w:cs="Tahoma"/>
          <w:sz w:val="24"/>
          <w:szCs w:val="24"/>
        </w:rPr>
        <w:t>, en principio,</w:t>
      </w:r>
      <w:r w:rsidRPr="007646E8">
        <w:rPr>
          <w:rFonts w:ascii="Tahoma" w:hAnsi="Tahoma" w:cs="Tahoma"/>
          <w:sz w:val="24"/>
          <w:szCs w:val="24"/>
        </w:rPr>
        <w:t xml:space="preserve"> le</w:t>
      </w:r>
      <w:r w:rsidRPr="007646E8">
        <w:rPr>
          <w:rFonts w:ascii="Tahoma" w:eastAsia="Times New Roman" w:hAnsi="Tahoma" w:cs="Tahoma"/>
          <w:sz w:val="24"/>
          <w:szCs w:val="24"/>
          <w:lang w:val="es-ES_tradnl" w:eastAsia="es-ES"/>
        </w:rPr>
        <w:t xml:space="preserve"> asiste el derecho al pago</w:t>
      </w:r>
      <w:r w:rsidR="00B67768" w:rsidRPr="007646E8">
        <w:rPr>
          <w:rFonts w:ascii="Tahoma" w:eastAsia="Times New Roman" w:hAnsi="Tahoma" w:cs="Tahoma"/>
          <w:sz w:val="24"/>
          <w:szCs w:val="24"/>
          <w:lang w:val="es-ES_tradnl" w:eastAsia="es-ES"/>
        </w:rPr>
        <w:t xml:space="preserve"> indexado</w:t>
      </w:r>
      <w:r w:rsidRPr="007646E8">
        <w:rPr>
          <w:rFonts w:ascii="Tahoma" w:eastAsia="Times New Roman" w:hAnsi="Tahoma" w:cs="Tahoma"/>
          <w:sz w:val="24"/>
          <w:szCs w:val="24"/>
          <w:lang w:val="es-ES_tradnl" w:eastAsia="es-ES"/>
        </w:rPr>
        <w:t xml:space="preserve"> de la diferencia, la cual asciende a la suma de $5</w:t>
      </w:r>
      <w:r w:rsidR="00721215" w:rsidRPr="007646E8">
        <w:rPr>
          <w:rFonts w:ascii="Tahoma" w:eastAsia="Times New Roman" w:hAnsi="Tahoma" w:cs="Tahoma"/>
          <w:sz w:val="24"/>
          <w:szCs w:val="24"/>
          <w:lang w:val="es-ES_tradnl" w:eastAsia="es-ES"/>
        </w:rPr>
        <w:t>60.838,3</w:t>
      </w:r>
      <w:r w:rsidR="00AC7942" w:rsidRPr="007646E8">
        <w:rPr>
          <w:rFonts w:ascii="Tahoma" w:eastAsia="Times New Roman" w:hAnsi="Tahoma" w:cs="Tahoma"/>
          <w:sz w:val="24"/>
          <w:szCs w:val="24"/>
          <w:lang w:val="es-ES_tradnl" w:eastAsia="es-ES"/>
        </w:rPr>
        <w:t xml:space="preserve">, siendo del caso anotar que, </w:t>
      </w:r>
      <w:r w:rsidR="00B67768" w:rsidRPr="007646E8">
        <w:rPr>
          <w:rFonts w:ascii="Tahoma" w:eastAsia="Times New Roman" w:hAnsi="Tahoma" w:cs="Tahoma"/>
          <w:sz w:val="24"/>
          <w:szCs w:val="24"/>
          <w:lang w:val="es-ES_tradnl" w:eastAsia="es-ES"/>
        </w:rPr>
        <w:t>al comparar la liquidación</w:t>
      </w:r>
      <w:r w:rsidR="003F6F26" w:rsidRPr="007646E8">
        <w:rPr>
          <w:rFonts w:ascii="Tahoma" w:eastAsia="Times New Roman" w:hAnsi="Tahoma" w:cs="Tahoma"/>
          <w:sz w:val="24"/>
          <w:szCs w:val="24"/>
          <w:lang w:val="es-ES_tradnl" w:eastAsia="es-ES"/>
        </w:rPr>
        <w:t xml:space="preserve"> objeto de consulta con la efectuada en esta instancia, se aprecia que en </w:t>
      </w:r>
      <w:r w:rsidR="00721215" w:rsidRPr="007646E8">
        <w:rPr>
          <w:rFonts w:ascii="Tahoma" w:eastAsia="Times New Roman" w:hAnsi="Tahoma" w:cs="Tahoma"/>
          <w:sz w:val="24"/>
          <w:szCs w:val="24"/>
          <w:lang w:val="es-ES_tradnl" w:eastAsia="es-ES"/>
        </w:rPr>
        <w:t>el guarismo</w:t>
      </w:r>
      <w:r w:rsidR="003F6F26" w:rsidRPr="007646E8">
        <w:rPr>
          <w:rFonts w:ascii="Tahoma" w:eastAsia="Times New Roman" w:hAnsi="Tahoma" w:cs="Tahoma"/>
          <w:sz w:val="24"/>
          <w:szCs w:val="24"/>
          <w:lang w:val="es-ES_tradnl" w:eastAsia="es-ES"/>
        </w:rPr>
        <w:t xml:space="preserve"> de primera instancia se incurrió en el error de liquidar los aportes corridos entre 19</w:t>
      </w:r>
      <w:r w:rsidR="00721215" w:rsidRPr="007646E8">
        <w:rPr>
          <w:rFonts w:ascii="Tahoma" w:eastAsia="Times New Roman" w:hAnsi="Tahoma" w:cs="Tahoma"/>
          <w:sz w:val="24"/>
          <w:szCs w:val="24"/>
          <w:lang w:val="es-ES_tradnl" w:eastAsia="es-ES"/>
        </w:rPr>
        <w:t xml:space="preserve">93 y el 1° de abril de 1994 con una tasa de cotización global del 6,5%, cuando lo correcto era liquidar con una tasa del 8%, conforme a lo previsto en el Decreto 1476 de 1992. </w:t>
      </w:r>
    </w:p>
    <w:p w14:paraId="53F37469" w14:textId="3DC5CE5D" w:rsidR="00AC7942" w:rsidRPr="007646E8" w:rsidRDefault="00AC7942" w:rsidP="007646E8">
      <w:pPr>
        <w:spacing w:after="0" w:line="276" w:lineRule="auto"/>
        <w:ind w:firstLine="708"/>
        <w:jc w:val="both"/>
        <w:rPr>
          <w:rFonts w:ascii="Tahoma" w:eastAsia="Times New Roman" w:hAnsi="Tahoma" w:cs="Tahoma"/>
          <w:sz w:val="24"/>
          <w:szCs w:val="24"/>
          <w:lang w:val="es-ES_tradnl" w:eastAsia="es-ES"/>
        </w:rPr>
      </w:pPr>
    </w:p>
    <w:p w14:paraId="348D055C" w14:textId="1787D352" w:rsidR="00AC7942" w:rsidRPr="007646E8" w:rsidRDefault="00AC7942" w:rsidP="007646E8">
      <w:pPr>
        <w:spacing w:after="0" w:line="276" w:lineRule="auto"/>
        <w:ind w:firstLine="708"/>
        <w:jc w:val="both"/>
        <w:rPr>
          <w:rFonts w:ascii="Tahoma" w:eastAsia="Times New Roman" w:hAnsi="Tahoma" w:cs="Tahoma"/>
          <w:sz w:val="24"/>
          <w:szCs w:val="24"/>
          <w:lang w:val="es-ES_tradnl" w:eastAsia="es-ES"/>
        </w:rPr>
      </w:pPr>
      <w:r w:rsidRPr="007646E8">
        <w:rPr>
          <w:rFonts w:ascii="Tahoma" w:eastAsia="Times New Roman" w:hAnsi="Tahoma" w:cs="Tahoma"/>
          <w:sz w:val="24"/>
          <w:szCs w:val="24"/>
          <w:lang w:val="es-ES_tradnl" w:eastAsia="es-ES"/>
        </w:rPr>
        <w:t xml:space="preserve">No obstante, como la Administradora Colombiana de Pensiones formuló la excepción de prescripción y, tal como lo señaló la falladora de primera instancia, la reliquidación de la indemnización sustitutiva de la pensión tiene el carácter de prescriptible y su término empieza a correr a partir del reconocimiento de la respectiva prestación, en este caso tal medio exceptivo tiene vocación de prosperidad, de acuerdo a lo siguiente:  </w:t>
      </w:r>
    </w:p>
    <w:p w14:paraId="211366C7" w14:textId="70D4573B" w:rsidR="00AC7942" w:rsidRPr="007646E8" w:rsidRDefault="00AC7942" w:rsidP="007646E8">
      <w:pPr>
        <w:spacing w:after="0" w:line="276" w:lineRule="auto"/>
        <w:ind w:firstLine="708"/>
        <w:jc w:val="both"/>
        <w:rPr>
          <w:rFonts w:ascii="Tahoma" w:eastAsia="Times New Roman" w:hAnsi="Tahoma" w:cs="Tahoma"/>
          <w:sz w:val="24"/>
          <w:szCs w:val="24"/>
          <w:lang w:val="es-ES_tradnl" w:eastAsia="es-ES"/>
        </w:rPr>
      </w:pPr>
    </w:p>
    <w:p w14:paraId="1D236693" w14:textId="7C3A9D27" w:rsidR="004B1F6B" w:rsidRPr="007646E8" w:rsidRDefault="004B1F6B" w:rsidP="007646E8">
      <w:pPr>
        <w:spacing w:after="0" w:line="276" w:lineRule="auto"/>
        <w:ind w:firstLine="708"/>
        <w:jc w:val="both"/>
        <w:rPr>
          <w:rFonts w:ascii="Tahoma" w:eastAsia="Times New Roman" w:hAnsi="Tahoma" w:cs="Tahoma"/>
          <w:sz w:val="24"/>
          <w:szCs w:val="24"/>
          <w:lang w:val="es-ES_tradnl" w:eastAsia="es-ES"/>
        </w:rPr>
      </w:pPr>
      <w:r w:rsidRPr="007646E8">
        <w:rPr>
          <w:rFonts w:ascii="Tahoma" w:eastAsia="Times New Roman" w:hAnsi="Tahoma" w:cs="Tahoma"/>
          <w:sz w:val="24"/>
          <w:szCs w:val="24"/>
          <w:lang w:val="es-ES_tradnl" w:eastAsia="es-ES"/>
        </w:rPr>
        <w:t xml:space="preserve">Colpensiones mediante resolución No. Sub 21478 del 29 de marzo de 2017 </w:t>
      </w:r>
      <w:r w:rsidR="0031029A" w:rsidRPr="007646E8">
        <w:rPr>
          <w:rFonts w:ascii="Tahoma" w:eastAsia="Times New Roman" w:hAnsi="Tahoma" w:cs="Tahoma"/>
          <w:sz w:val="24"/>
          <w:szCs w:val="24"/>
          <w:lang w:val="es-ES_tradnl" w:eastAsia="es-ES"/>
        </w:rPr>
        <w:t>reconocido</w:t>
      </w:r>
      <w:r w:rsidRPr="007646E8">
        <w:rPr>
          <w:rFonts w:ascii="Tahoma" w:eastAsia="Times New Roman" w:hAnsi="Tahoma" w:cs="Tahoma"/>
          <w:sz w:val="24"/>
          <w:szCs w:val="24"/>
          <w:lang w:val="es-ES_tradnl" w:eastAsia="es-ES"/>
        </w:rPr>
        <w:t xml:space="preserve"> y </w:t>
      </w:r>
      <w:r w:rsidR="0031029A" w:rsidRPr="007646E8">
        <w:rPr>
          <w:rFonts w:ascii="Tahoma" w:eastAsia="Times New Roman" w:hAnsi="Tahoma" w:cs="Tahoma"/>
          <w:sz w:val="24"/>
          <w:szCs w:val="24"/>
          <w:lang w:val="es-ES_tradnl" w:eastAsia="es-ES"/>
        </w:rPr>
        <w:t>ordenó</w:t>
      </w:r>
      <w:r w:rsidRPr="007646E8">
        <w:rPr>
          <w:rFonts w:ascii="Tahoma" w:eastAsia="Times New Roman" w:hAnsi="Tahoma" w:cs="Tahoma"/>
          <w:sz w:val="24"/>
          <w:szCs w:val="24"/>
          <w:lang w:val="es-ES_tradnl" w:eastAsia="es-ES"/>
        </w:rPr>
        <w:t xml:space="preserve"> el pago de la indemnización </w:t>
      </w:r>
      <w:r w:rsidR="0031029A" w:rsidRPr="007646E8">
        <w:rPr>
          <w:rFonts w:ascii="Tahoma" w:eastAsia="Times New Roman" w:hAnsi="Tahoma" w:cs="Tahoma"/>
          <w:sz w:val="24"/>
          <w:szCs w:val="24"/>
          <w:lang w:val="es-ES_tradnl" w:eastAsia="es-ES"/>
        </w:rPr>
        <w:t>sustitutiva de la pensión de vejez a</w:t>
      </w:r>
      <w:r w:rsidRPr="007646E8">
        <w:rPr>
          <w:rFonts w:ascii="Tahoma" w:eastAsia="Times New Roman" w:hAnsi="Tahoma" w:cs="Tahoma"/>
          <w:sz w:val="24"/>
          <w:szCs w:val="24"/>
          <w:lang w:val="es-ES_tradnl" w:eastAsia="es-ES"/>
        </w:rPr>
        <w:t xml:space="preserve">l demandante, </w:t>
      </w:r>
      <w:r w:rsidR="0031029A" w:rsidRPr="007646E8">
        <w:rPr>
          <w:rFonts w:ascii="Tahoma" w:eastAsia="Times New Roman" w:hAnsi="Tahoma" w:cs="Tahoma"/>
          <w:sz w:val="24"/>
          <w:szCs w:val="24"/>
          <w:lang w:val="es-ES_tradnl" w:eastAsia="es-ES"/>
        </w:rPr>
        <w:t>siendo notificado el acto administrativo el 30 de marzo de 2017, tal como se desprende de la constancia visible en la página 169 del archivo 07 del cuaderno de primera instancia.</w:t>
      </w:r>
    </w:p>
    <w:p w14:paraId="13BD35DE" w14:textId="77777777" w:rsidR="004B1F6B" w:rsidRPr="007646E8" w:rsidRDefault="004B1F6B" w:rsidP="007646E8">
      <w:pPr>
        <w:spacing w:after="0" w:line="276" w:lineRule="auto"/>
        <w:ind w:firstLine="708"/>
        <w:jc w:val="both"/>
        <w:rPr>
          <w:rFonts w:ascii="Tahoma" w:eastAsia="Times New Roman" w:hAnsi="Tahoma" w:cs="Tahoma"/>
          <w:sz w:val="24"/>
          <w:szCs w:val="24"/>
          <w:lang w:val="es-ES_tradnl" w:eastAsia="es-ES"/>
        </w:rPr>
      </w:pPr>
    </w:p>
    <w:p w14:paraId="005A974B" w14:textId="5074BFDC" w:rsidR="00AC7942" w:rsidRPr="007646E8" w:rsidRDefault="00AC7942" w:rsidP="007646E8">
      <w:pPr>
        <w:spacing w:after="0" w:line="276" w:lineRule="auto"/>
        <w:ind w:firstLine="708"/>
        <w:jc w:val="both"/>
        <w:rPr>
          <w:rFonts w:ascii="Tahoma" w:eastAsia="Times New Roman" w:hAnsi="Tahoma" w:cs="Tahoma"/>
          <w:sz w:val="24"/>
          <w:szCs w:val="24"/>
          <w:lang w:val="es-ES_tradnl" w:eastAsia="es-ES"/>
        </w:rPr>
      </w:pPr>
      <w:r w:rsidRPr="007646E8">
        <w:rPr>
          <w:rFonts w:ascii="Tahoma" w:eastAsia="Times New Roman" w:hAnsi="Tahoma" w:cs="Tahoma"/>
          <w:sz w:val="24"/>
          <w:szCs w:val="24"/>
          <w:lang w:val="es-ES_tradnl" w:eastAsia="es-ES"/>
        </w:rPr>
        <w:t xml:space="preserve">Así, </w:t>
      </w:r>
      <w:r w:rsidR="0031029A" w:rsidRPr="007646E8">
        <w:rPr>
          <w:rFonts w:ascii="Tahoma" w:eastAsia="Times New Roman" w:hAnsi="Tahoma" w:cs="Tahoma"/>
          <w:sz w:val="24"/>
          <w:szCs w:val="24"/>
          <w:lang w:val="es-ES_tradnl" w:eastAsia="es-ES"/>
        </w:rPr>
        <w:t xml:space="preserve">como en la documentación aportada por las partes no se da cuenta de que el demandante haya </w:t>
      </w:r>
      <w:r w:rsidR="001223A1" w:rsidRPr="007646E8">
        <w:rPr>
          <w:rFonts w:ascii="Tahoma" w:eastAsia="Times New Roman" w:hAnsi="Tahoma" w:cs="Tahoma"/>
          <w:sz w:val="24"/>
          <w:szCs w:val="24"/>
          <w:lang w:val="es-ES_tradnl" w:eastAsia="es-ES"/>
        </w:rPr>
        <w:t>interpuesto los recursos de ley</w:t>
      </w:r>
      <w:r w:rsidR="0031029A" w:rsidRPr="007646E8">
        <w:rPr>
          <w:rFonts w:ascii="Tahoma" w:eastAsia="Times New Roman" w:hAnsi="Tahoma" w:cs="Tahoma"/>
          <w:sz w:val="24"/>
          <w:szCs w:val="24"/>
          <w:lang w:val="es-ES_tradnl" w:eastAsia="es-ES"/>
        </w:rPr>
        <w:t xml:space="preserve"> contra la resolución por medio del </w:t>
      </w:r>
      <w:r w:rsidR="0031029A" w:rsidRPr="007646E8">
        <w:rPr>
          <w:rFonts w:ascii="Tahoma" w:eastAsia="Times New Roman" w:hAnsi="Tahoma" w:cs="Tahoma"/>
          <w:sz w:val="24"/>
          <w:szCs w:val="24"/>
          <w:lang w:val="es-ES_tradnl" w:eastAsia="es-ES"/>
        </w:rPr>
        <w:lastRenderedPageBreak/>
        <w:t xml:space="preserve">cual se le reconoció la indemnización, el término trienal </w:t>
      </w:r>
      <w:r w:rsidR="00B804D1" w:rsidRPr="007646E8">
        <w:rPr>
          <w:rFonts w:ascii="Tahoma" w:eastAsia="Times New Roman" w:hAnsi="Tahoma" w:cs="Tahoma"/>
          <w:sz w:val="24"/>
          <w:szCs w:val="24"/>
          <w:lang w:val="es-ES_tradnl" w:eastAsia="es-ES"/>
        </w:rPr>
        <w:t>para presentar la demanda en procura de la reliquidación de aquella se cumplió el 30 de marzo de 2020</w:t>
      </w:r>
      <w:r w:rsidRPr="007646E8">
        <w:rPr>
          <w:rFonts w:ascii="Tahoma" w:eastAsia="Times New Roman" w:hAnsi="Tahoma" w:cs="Tahoma"/>
          <w:sz w:val="24"/>
          <w:szCs w:val="24"/>
          <w:lang w:val="es-ES_tradnl" w:eastAsia="es-ES"/>
        </w:rPr>
        <w:t xml:space="preserve">, </w:t>
      </w:r>
      <w:r w:rsidR="00B804D1" w:rsidRPr="007646E8">
        <w:rPr>
          <w:rFonts w:ascii="Tahoma" w:eastAsia="Times New Roman" w:hAnsi="Tahoma" w:cs="Tahoma"/>
          <w:sz w:val="24"/>
          <w:szCs w:val="24"/>
          <w:lang w:val="es-ES_tradnl" w:eastAsia="es-ES"/>
        </w:rPr>
        <w:t>y, como la demanda fue presentada</w:t>
      </w:r>
      <w:r w:rsidRPr="007646E8">
        <w:rPr>
          <w:rFonts w:ascii="Tahoma" w:eastAsia="Times New Roman" w:hAnsi="Tahoma" w:cs="Tahoma"/>
          <w:sz w:val="24"/>
          <w:szCs w:val="24"/>
          <w:lang w:val="es-ES_tradnl" w:eastAsia="es-ES"/>
        </w:rPr>
        <w:t xml:space="preserve"> el </w:t>
      </w:r>
      <w:r w:rsidR="00B804D1" w:rsidRPr="007646E8">
        <w:rPr>
          <w:rFonts w:ascii="Tahoma" w:eastAsia="Times New Roman" w:hAnsi="Tahoma" w:cs="Tahoma"/>
          <w:sz w:val="24"/>
          <w:szCs w:val="24"/>
          <w:lang w:val="es-ES_tradnl" w:eastAsia="es-ES"/>
        </w:rPr>
        <w:t>04 de junio de 2021</w:t>
      </w:r>
      <w:r w:rsidRPr="007646E8">
        <w:rPr>
          <w:rFonts w:ascii="Tahoma" w:eastAsia="Times New Roman" w:hAnsi="Tahoma" w:cs="Tahoma"/>
          <w:sz w:val="24"/>
          <w:szCs w:val="24"/>
          <w:lang w:val="es-ES_tradnl" w:eastAsia="es-ES"/>
        </w:rPr>
        <w:t>; la suma a la que tenía derecho por cuenta de la reliquidación de la indemnización sustitutiva de la pensión prescribió.</w:t>
      </w:r>
    </w:p>
    <w:p w14:paraId="29F14E03" w14:textId="294AA2EE" w:rsidR="00B804D1" w:rsidRPr="007646E8" w:rsidRDefault="00B804D1" w:rsidP="007646E8">
      <w:pPr>
        <w:spacing w:after="0" w:line="276" w:lineRule="auto"/>
        <w:ind w:firstLine="708"/>
        <w:jc w:val="both"/>
        <w:rPr>
          <w:rFonts w:ascii="Tahoma" w:eastAsia="Times New Roman" w:hAnsi="Tahoma" w:cs="Tahoma"/>
          <w:sz w:val="24"/>
          <w:szCs w:val="24"/>
          <w:lang w:val="es-ES_tradnl" w:eastAsia="es-ES"/>
        </w:rPr>
      </w:pPr>
    </w:p>
    <w:p w14:paraId="2F595622" w14:textId="671C2073" w:rsidR="00B804D1" w:rsidRPr="007646E8" w:rsidRDefault="00B804D1" w:rsidP="007646E8">
      <w:pPr>
        <w:spacing w:after="0" w:line="276" w:lineRule="auto"/>
        <w:ind w:firstLine="708"/>
        <w:jc w:val="both"/>
        <w:rPr>
          <w:rFonts w:ascii="Tahoma" w:eastAsia="Times New Roman" w:hAnsi="Tahoma" w:cs="Tahoma"/>
          <w:sz w:val="24"/>
          <w:szCs w:val="24"/>
          <w:lang w:val="es-ES_tradnl" w:eastAsia="es-ES"/>
        </w:rPr>
      </w:pPr>
      <w:r w:rsidRPr="007646E8">
        <w:rPr>
          <w:rFonts w:ascii="Tahoma" w:eastAsia="Times New Roman" w:hAnsi="Tahoma" w:cs="Tahoma"/>
          <w:sz w:val="24"/>
          <w:szCs w:val="24"/>
          <w:lang w:val="es-ES_tradnl" w:eastAsia="es-ES"/>
        </w:rPr>
        <w:t xml:space="preserve">En consecuencia, se revocará el numeral segundo de la sentencia de primera instancia, en el cual se declaró probada la excepción de mérito de inexistencia de la obligación interpuesta por Colpensiones, para, en su lugar, declarar probada la excepción de prescripción. </w:t>
      </w:r>
    </w:p>
    <w:p w14:paraId="3D15DB88" w14:textId="0A93BEA3" w:rsidR="00B804D1" w:rsidRPr="007646E8" w:rsidRDefault="00B804D1" w:rsidP="007646E8">
      <w:pPr>
        <w:spacing w:after="0" w:line="276" w:lineRule="auto"/>
        <w:ind w:firstLine="708"/>
        <w:jc w:val="both"/>
        <w:rPr>
          <w:rFonts w:ascii="Tahoma" w:eastAsia="Times New Roman" w:hAnsi="Tahoma" w:cs="Tahoma"/>
          <w:sz w:val="24"/>
          <w:szCs w:val="24"/>
          <w:lang w:val="es-ES_tradnl" w:eastAsia="es-ES"/>
        </w:rPr>
      </w:pPr>
    </w:p>
    <w:p w14:paraId="6105189A" w14:textId="20600F17" w:rsidR="00B804D1" w:rsidRPr="007646E8" w:rsidRDefault="00B804D1" w:rsidP="007646E8">
      <w:pPr>
        <w:spacing w:after="0" w:line="276" w:lineRule="auto"/>
        <w:ind w:firstLine="708"/>
        <w:jc w:val="both"/>
        <w:rPr>
          <w:rFonts w:ascii="Tahoma" w:eastAsia="Times New Roman" w:hAnsi="Tahoma" w:cs="Tahoma"/>
          <w:sz w:val="24"/>
          <w:szCs w:val="24"/>
          <w:lang w:val="es-ES_tradnl" w:eastAsia="es-ES"/>
        </w:rPr>
      </w:pPr>
      <w:r w:rsidRPr="007646E8">
        <w:rPr>
          <w:rFonts w:ascii="Tahoma" w:eastAsia="Times New Roman" w:hAnsi="Tahoma" w:cs="Tahoma"/>
          <w:sz w:val="24"/>
          <w:szCs w:val="24"/>
          <w:lang w:val="es-ES_tradnl" w:eastAsia="es-ES"/>
        </w:rPr>
        <w:t>Al conocerse el proceso en virtud del grado jurisdiccional de consulta, no hay lugar a condena en costas de segunda instancia, puesto que se confirmará la negativa de las pretensiones.</w:t>
      </w:r>
    </w:p>
    <w:p w14:paraId="4D559820" w14:textId="17710D69" w:rsidR="00BC44EF" w:rsidRPr="007646E8" w:rsidRDefault="00C736A1" w:rsidP="007646E8">
      <w:pPr>
        <w:spacing w:after="0" w:line="276" w:lineRule="auto"/>
        <w:jc w:val="both"/>
        <w:rPr>
          <w:rFonts w:ascii="Arial" w:eastAsia="Times New Roman" w:hAnsi="Arial"/>
          <w:sz w:val="24"/>
          <w:szCs w:val="24"/>
          <w:lang w:val="es-ES_tradnl" w:eastAsia="es-ES"/>
        </w:rPr>
      </w:pPr>
      <w:r w:rsidRPr="007646E8">
        <w:rPr>
          <w:rFonts w:ascii="Tahoma" w:hAnsi="Tahoma" w:cs="Tahoma"/>
          <w:sz w:val="24"/>
          <w:szCs w:val="24"/>
        </w:rPr>
        <w:t xml:space="preserve"> </w:t>
      </w:r>
    </w:p>
    <w:p w14:paraId="338677B3" w14:textId="77777777" w:rsidR="00BC44EF" w:rsidRPr="007646E8" w:rsidRDefault="00BC44EF" w:rsidP="007646E8">
      <w:pPr>
        <w:spacing w:after="0" w:line="276" w:lineRule="auto"/>
        <w:ind w:firstLine="705"/>
        <w:jc w:val="both"/>
        <w:textAlignment w:val="baseline"/>
        <w:rPr>
          <w:rFonts w:ascii="Segoe UI" w:eastAsia="Times New Roman" w:hAnsi="Segoe UI" w:cs="Segoe UI"/>
          <w:sz w:val="24"/>
          <w:szCs w:val="24"/>
          <w:lang w:eastAsia="es-CO"/>
        </w:rPr>
      </w:pPr>
      <w:r w:rsidRPr="007646E8">
        <w:rPr>
          <w:rFonts w:ascii="Tahoma" w:eastAsia="Times New Roman" w:hAnsi="Tahoma" w:cs="Tahoma"/>
          <w:sz w:val="24"/>
          <w:szCs w:val="24"/>
          <w:lang w:eastAsia="es-CO"/>
        </w:rPr>
        <w:t xml:space="preserve">En mérito de lo expuesto, el </w:t>
      </w:r>
      <w:r w:rsidRPr="007646E8">
        <w:rPr>
          <w:rFonts w:ascii="Tahoma" w:eastAsia="Times New Roman" w:hAnsi="Tahoma" w:cs="Tahoma"/>
          <w:b/>
          <w:bCs/>
          <w:sz w:val="24"/>
          <w:szCs w:val="24"/>
          <w:lang w:eastAsia="es-CO"/>
        </w:rPr>
        <w:t>Tribunal Superior del Distrito Judicial de Pereira - Risaralda, Sala Primera de Decisión Laboral,</w:t>
      </w:r>
      <w:r w:rsidRPr="007646E8">
        <w:rPr>
          <w:rFonts w:ascii="Tahoma" w:eastAsia="Times New Roman" w:hAnsi="Tahoma" w:cs="Tahoma"/>
          <w:sz w:val="24"/>
          <w:szCs w:val="24"/>
          <w:lang w:eastAsia="es-CO"/>
        </w:rPr>
        <w:t xml:space="preserve"> administrando justicia en nombre de la República y por autoridad de la ley, </w:t>
      </w:r>
    </w:p>
    <w:p w14:paraId="48AAD0A3" w14:textId="77777777" w:rsidR="00BC44EF" w:rsidRPr="007646E8" w:rsidRDefault="00BC44EF" w:rsidP="007646E8">
      <w:pPr>
        <w:spacing w:after="0" w:line="276" w:lineRule="auto"/>
        <w:ind w:firstLine="705"/>
        <w:textAlignment w:val="baseline"/>
        <w:rPr>
          <w:rFonts w:ascii="Segoe UI" w:eastAsia="Times New Roman" w:hAnsi="Segoe UI" w:cs="Segoe UI"/>
          <w:sz w:val="24"/>
          <w:szCs w:val="24"/>
          <w:lang w:eastAsia="es-CO"/>
        </w:rPr>
      </w:pPr>
      <w:r w:rsidRPr="007646E8">
        <w:rPr>
          <w:rFonts w:ascii="Tahoma" w:eastAsia="Times New Roman" w:hAnsi="Tahoma" w:cs="Tahoma"/>
          <w:sz w:val="24"/>
          <w:szCs w:val="24"/>
          <w:lang w:eastAsia="es-CO"/>
        </w:rPr>
        <w:t> </w:t>
      </w:r>
    </w:p>
    <w:p w14:paraId="5C12E969" w14:textId="77777777" w:rsidR="00BC44EF" w:rsidRPr="007646E8" w:rsidRDefault="00BC44EF" w:rsidP="007646E8">
      <w:pPr>
        <w:spacing w:after="0" w:line="276" w:lineRule="auto"/>
        <w:ind w:firstLine="270"/>
        <w:jc w:val="center"/>
        <w:textAlignment w:val="baseline"/>
        <w:rPr>
          <w:rFonts w:ascii="Tahoma" w:eastAsia="Times New Roman" w:hAnsi="Tahoma" w:cs="Tahoma"/>
          <w:b/>
          <w:bCs/>
          <w:color w:val="000000"/>
          <w:sz w:val="24"/>
          <w:szCs w:val="24"/>
          <w:lang w:eastAsia="es-CO"/>
        </w:rPr>
      </w:pPr>
      <w:r w:rsidRPr="007646E8">
        <w:rPr>
          <w:rFonts w:ascii="Tahoma" w:eastAsia="Times New Roman" w:hAnsi="Tahoma" w:cs="Tahoma"/>
          <w:b/>
          <w:bCs/>
          <w:color w:val="000000"/>
          <w:sz w:val="24"/>
          <w:szCs w:val="24"/>
          <w:lang w:eastAsia="es-CO"/>
        </w:rPr>
        <w:t>RESUELVE</w:t>
      </w:r>
    </w:p>
    <w:p w14:paraId="6018D3E9" w14:textId="77777777" w:rsidR="00BC44EF" w:rsidRPr="007646E8" w:rsidRDefault="00BC44EF" w:rsidP="007646E8">
      <w:pPr>
        <w:spacing w:after="0" w:line="276" w:lineRule="auto"/>
        <w:jc w:val="both"/>
        <w:rPr>
          <w:rFonts w:ascii="Arial" w:eastAsia="Times New Roman" w:hAnsi="Arial"/>
          <w:sz w:val="24"/>
          <w:szCs w:val="24"/>
          <w:lang w:val="es-ES_tradnl" w:eastAsia="es-ES"/>
        </w:rPr>
      </w:pPr>
    </w:p>
    <w:p w14:paraId="7D97C25D" w14:textId="3C7A4267" w:rsidR="00C25349" w:rsidRPr="007646E8" w:rsidRDefault="00BC44EF" w:rsidP="007646E8">
      <w:pPr>
        <w:spacing w:after="0" w:line="276" w:lineRule="auto"/>
        <w:ind w:firstLine="708"/>
        <w:jc w:val="both"/>
        <w:rPr>
          <w:rFonts w:ascii="Tahoma" w:eastAsia="Times New Roman" w:hAnsi="Tahoma" w:cs="Tahoma"/>
          <w:sz w:val="24"/>
          <w:szCs w:val="24"/>
          <w:lang w:val="es-ES_tradnl" w:eastAsia="es-ES"/>
        </w:rPr>
      </w:pPr>
      <w:r w:rsidRPr="007646E8">
        <w:rPr>
          <w:rFonts w:ascii="Tahoma" w:eastAsia="Times New Roman" w:hAnsi="Tahoma" w:cs="Tahoma"/>
          <w:b/>
          <w:sz w:val="24"/>
          <w:szCs w:val="24"/>
          <w:lang w:val="es-ES_tradnl" w:eastAsia="es-ES"/>
        </w:rPr>
        <w:t>PRIMERO:</w:t>
      </w:r>
      <w:r w:rsidRPr="007646E8">
        <w:rPr>
          <w:rFonts w:ascii="Tahoma" w:eastAsia="Times New Roman" w:hAnsi="Tahoma" w:cs="Tahoma"/>
          <w:sz w:val="24"/>
          <w:szCs w:val="24"/>
          <w:lang w:val="es-ES_tradnl" w:eastAsia="es-ES"/>
        </w:rPr>
        <w:t xml:space="preserve"> </w:t>
      </w:r>
      <w:r w:rsidR="00C736A1" w:rsidRPr="007646E8">
        <w:rPr>
          <w:rFonts w:ascii="Tahoma" w:eastAsia="Times New Roman" w:hAnsi="Tahoma" w:cs="Tahoma"/>
          <w:b/>
          <w:sz w:val="24"/>
          <w:szCs w:val="24"/>
          <w:lang w:val="es-ES_tradnl" w:eastAsia="es-ES"/>
        </w:rPr>
        <w:t>REVOCAR</w:t>
      </w:r>
      <w:r w:rsidRPr="007646E8">
        <w:rPr>
          <w:rFonts w:ascii="Tahoma" w:eastAsia="Times New Roman" w:hAnsi="Tahoma" w:cs="Tahoma"/>
          <w:sz w:val="24"/>
          <w:szCs w:val="24"/>
          <w:lang w:val="es-ES_tradnl" w:eastAsia="es-ES"/>
        </w:rPr>
        <w:t xml:space="preserve"> en sede consulta </w:t>
      </w:r>
      <w:r w:rsidR="00B804D1" w:rsidRPr="007646E8">
        <w:rPr>
          <w:rFonts w:ascii="Tahoma" w:eastAsia="Times New Roman" w:hAnsi="Tahoma" w:cs="Tahoma"/>
          <w:sz w:val="24"/>
          <w:szCs w:val="24"/>
          <w:lang w:val="es-ES_tradnl" w:eastAsia="es-ES"/>
        </w:rPr>
        <w:t xml:space="preserve">el numeral segundo de </w:t>
      </w:r>
      <w:r w:rsidRPr="007646E8">
        <w:rPr>
          <w:rFonts w:ascii="Tahoma" w:eastAsia="Times New Roman" w:hAnsi="Tahoma" w:cs="Tahoma"/>
          <w:sz w:val="24"/>
          <w:szCs w:val="24"/>
          <w:lang w:val="es-ES_tradnl" w:eastAsia="es-ES"/>
        </w:rPr>
        <w:t>la sentencia dictada el 18 de julio de 2022 por el Juzgado Cuarto Laboral del Circuito de Pereira dentro del proceso adelantado por EDILBERTO GONZÁLEZ ESCOBAR en contra de la ADMINISTRADORA COLOMBIANA DE PENSIONES -COLPENSIONES-</w:t>
      </w:r>
      <w:r w:rsidR="00B804D1" w:rsidRPr="007646E8">
        <w:rPr>
          <w:rFonts w:ascii="Tahoma" w:eastAsia="Times New Roman" w:hAnsi="Tahoma" w:cs="Tahoma"/>
          <w:sz w:val="24"/>
          <w:szCs w:val="24"/>
          <w:lang w:val="es-ES_tradnl" w:eastAsia="es-ES"/>
        </w:rPr>
        <w:t xml:space="preserve"> y, en su lugar </w:t>
      </w:r>
      <w:r w:rsidR="00B804D1" w:rsidRPr="007646E8">
        <w:rPr>
          <w:rFonts w:ascii="Tahoma" w:eastAsia="Times New Roman" w:hAnsi="Tahoma" w:cs="Tahoma"/>
          <w:b/>
          <w:sz w:val="24"/>
          <w:szCs w:val="24"/>
          <w:lang w:val="es-ES_tradnl" w:eastAsia="es-ES"/>
        </w:rPr>
        <w:t>DECLARAR</w:t>
      </w:r>
      <w:r w:rsidR="00B804D1" w:rsidRPr="007646E8">
        <w:rPr>
          <w:rFonts w:ascii="Tahoma" w:eastAsia="Times New Roman" w:hAnsi="Tahoma" w:cs="Tahoma"/>
          <w:sz w:val="24"/>
          <w:szCs w:val="24"/>
          <w:lang w:val="es-ES_tradnl" w:eastAsia="es-ES"/>
        </w:rPr>
        <w:t xml:space="preserve"> probada la excepción de prescripción propuesta por la demandada.</w:t>
      </w:r>
    </w:p>
    <w:p w14:paraId="2B142F05" w14:textId="405C8B8A" w:rsidR="00BC44EF" w:rsidRPr="007646E8" w:rsidRDefault="00BC44EF" w:rsidP="007646E8">
      <w:pPr>
        <w:spacing w:after="0" w:line="276" w:lineRule="auto"/>
        <w:ind w:firstLine="708"/>
        <w:jc w:val="both"/>
        <w:rPr>
          <w:rFonts w:ascii="Tahoma" w:eastAsia="Times New Roman" w:hAnsi="Tahoma" w:cs="Tahoma"/>
          <w:sz w:val="24"/>
          <w:szCs w:val="24"/>
          <w:lang w:val="es-ES_tradnl" w:eastAsia="es-ES"/>
        </w:rPr>
      </w:pPr>
    </w:p>
    <w:p w14:paraId="3C436115" w14:textId="3DC3313C" w:rsidR="00450B67" w:rsidRPr="007646E8" w:rsidRDefault="00BC44EF" w:rsidP="007646E8">
      <w:pPr>
        <w:spacing w:after="0" w:line="276" w:lineRule="auto"/>
        <w:ind w:firstLine="708"/>
        <w:jc w:val="both"/>
        <w:rPr>
          <w:rFonts w:ascii="Tahoma" w:eastAsia="Times New Roman" w:hAnsi="Tahoma" w:cs="Tahoma"/>
          <w:b/>
          <w:bCs/>
          <w:sz w:val="24"/>
          <w:szCs w:val="24"/>
          <w:lang w:val="es-ES" w:eastAsia="es-ES"/>
        </w:rPr>
      </w:pPr>
      <w:r w:rsidRPr="007646E8">
        <w:rPr>
          <w:rFonts w:ascii="Tahoma" w:eastAsia="Times New Roman" w:hAnsi="Tahoma" w:cs="Tahoma"/>
          <w:b/>
          <w:bCs/>
          <w:sz w:val="24"/>
          <w:szCs w:val="24"/>
          <w:lang w:val="es-ES" w:eastAsia="es-ES"/>
        </w:rPr>
        <w:t xml:space="preserve">SEGUNDO: </w:t>
      </w:r>
      <w:r w:rsidR="00B804D1" w:rsidRPr="007646E8">
        <w:rPr>
          <w:rFonts w:ascii="Tahoma" w:eastAsia="Times New Roman" w:hAnsi="Tahoma" w:cs="Tahoma"/>
          <w:b/>
          <w:bCs/>
          <w:sz w:val="24"/>
          <w:szCs w:val="24"/>
          <w:lang w:val="es-ES" w:eastAsia="es-ES"/>
        </w:rPr>
        <w:t xml:space="preserve">CONFIRMAR </w:t>
      </w:r>
      <w:r w:rsidR="00B804D1" w:rsidRPr="007646E8">
        <w:rPr>
          <w:rFonts w:ascii="Tahoma" w:eastAsia="Times New Roman" w:hAnsi="Tahoma" w:cs="Tahoma"/>
          <w:sz w:val="24"/>
          <w:szCs w:val="24"/>
          <w:lang w:val="es-ES" w:eastAsia="es-ES"/>
        </w:rPr>
        <w:t>en todo lo demás la sentencia consultada.</w:t>
      </w:r>
    </w:p>
    <w:p w14:paraId="466CAD4B" w14:textId="5240DE1A" w:rsidR="00B804D1" w:rsidRPr="007646E8" w:rsidRDefault="00B804D1" w:rsidP="007646E8">
      <w:pPr>
        <w:spacing w:after="0" w:line="276" w:lineRule="auto"/>
        <w:ind w:firstLine="708"/>
        <w:jc w:val="both"/>
        <w:rPr>
          <w:rFonts w:ascii="Tahoma" w:eastAsia="Times New Roman" w:hAnsi="Tahoma" w:cs="Tahoma"/>
          <w:b/>
          <w:sz w:val="24"/>
          <w:szCs w:val="24"/>
          <w:lang w:val="es-ES_tradnl" w:eastAsia="es-ES"/>
        </w:rPr>
      </w:pPr>
    </w:p>
    <w:p w14:paraId="1D956CB4" w14:textId="66656717" w:rsidR="00B804D1" w:rsidRPr="007646E8" w:rsidRDefault="00B804D1" w:rsidP="007646E8">
      <w:pPr>
        <w:spacing w:after="0" w:line="276" w:lineRule="auto"/>
        <w:ind w:firstLine="708"/>
        <w:jc w:val="both"/>
        <w:rPr>
          <w:rFonts w:ascii="Tahoma" w:eastAsia="Times New Roman" w:hAnsi="Tahoma" w:cs="Tahoma"/>
          <w:b/>
          <w:sz w:val="24"/>
          <w:szCs w:val="24"/>
          <w:lang w:val="es-ES_tradnl" w:eastAsia="es-ES"/>
        </w:rPr>
      </w:pPr>
      <w:r w:rsidRPr="007646E8">
        <w:rPr>
          <w:rFonts w:ascii="Tahoma" w:eastAsia="Times New Roman" w:hAnsi="Tahoma" w:cs="Tahoma"/>
          <w:b/>
          <w:sz w:val="24"/>
          <w:szCs w:val="24"/>
          <w:lang w:val="es-ES_tradnl" w:eastAsia="es-ES"/>
        </w:rPr>
        <w:t xml:space="preserve">TERCERO: </w:t>
      </w:r>
      <w:r w:rsidRPr="007646E8">
        <w:rPr>
          <w:rFonts w:ascii="Tahoma" w:hAnsi="Tahoma" w:cs="Tahoma"/>
          <w:b/>
          <w:sz w:val="24"/>
          <w:szCs w:val="24"/>
        </w:rPr>
        <w:t>SIN COSTAS</w:t>
      </w:r>
      <w:r w:rsidRPr="007646E8">
        <w:rPr>
          <w:rFonts w:ascii="Tahoma" w:hAnsi="Tahoma" w:cs="Tahoma"/>
          <w:sz w:val="24"/>
          <w:szCs w:val="24"/>
        </w:rPr>
        <w:t xml:space="preserve"> por haberse conocido el asunto en consulta.</w:t>
      </w:r>
    </w:p>
    <w:p w14:paraId="3E81C16A" w14:textId="77777777" w:rsidR="007646E8" w:rsidRPr="007646E8" w:rsidRDefault="007646E8" w:rsidP="007646E8">
      <w:pPr>
        <w:spacing w:after="0" w:line="276" w:lineRule="auto"/>
        <w:jc w:val="both"/>
        <w:rPr>
          <w:rFonts w:ascii="Tahoma" w:eastAsia="Calibri" w:hAnsi="Tahoma" w:cs="Tahoma"/>
          <w:sz w:val="24"/>
          <w:szCs w:val="24"/>
        </w:rPr>
      </w:pPr>
      <w:bookmarkStart w:id="6" w:name="_Hlk126574973"/>
    </w:p>
    <w:p w14:paraId="12E5CF4F" w14:textId="77777777" w:rsidR="007646E8" w:rsidRPr="007646E8" w:rsidRDefault="007646E8" w:rsidP="007646E8">
      <w:pPr>
        <w:spacing w:after="0" w:line="276" w:lineRule="auto"/>
        <w:jc w:val="center"/>
        <w:rPr>
          <w:rFonts w:ascii="Tahoma" w:eastAsia="Tahoma" w:hAnsi="Tahoma" w:cs="Tahoma"/>
          <w:b/>
          <w:bCs/>
          <w:sz w:val="24"/>
          <w:szCs w:val="24"/>
        </w:rPr>
      </w:pPr>
      <w:r w:rsidRPr="007646E8">
        <w:rPr>
          <w:rFonts w:ascii="Tahoma" w:eastAsia="Tahoma" w:hAnsi="Tahoma" w:cs="Tahoma"/>
          <w:b/>
          <w:bCs/>
          <w:sz w:val="24"/>
          <w:szCs w:val="24"/>
        </w:rPr>
        <w:t>NOTIFÍQUESE Y CÚMPLASE</w:t>
      </w:r>
    </w:p>
    <w:p w14:paraId="154ECE56" w14:textId="77777777" w:rsidR="007646E8" w:rsidRPr="007646E8" w:rsidRDefault="007646E8" w:rsidP="007646E8">
      <w:pPr>
        <w:spacing w:after="0" w:line="276" w:lineRule="auto"/>
        <w:jc w:val="both"/>
        <w:rPr>
          <w:rFonts w:ascii="Tahoma" w:eastAsia="Calibri" w:hAnsi="Tahoma" w:cs="Tahoma"/>
          <w:sz w:val="24"/>
          <w:szCs w:val="24"/>
        </w:rPr>
      </w:pPr>
      <w:r w:rsidRPr="007646E8">
        <w:rPr>
          <w:rFonts w:ascii="Tahoma" w:eastAsia="Calibri" w:hAnsi="Tahoma" w:cs="Tahoma"/>
          <w:sz w:val="24"/>
          <w:szCs w:val="24"/>
        </w:rPr>
        <w:t xml:space="preserve"> </w:t>
      </w:r>
    </w:p>
    <w:p w14:paraId="0B4E7B68" w14:textId="77777777" w:rsidR="007646E8" w:rsidRPr="007646E8" w:rsidRDefault="007646E8" w:rsidP="007646E8">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7646E8">
        <w:rPr>
          <w:rFonts w:ascii="Tahoma" w:eastAsia="Times New Roman" w:hAnsi="Tahoma" w:cs="Tahoma"/>
          <w:sz w:val="24"/>
          <w:szCs w:val="24"/>
          <w:lang w:val="es-ES" w:eastAsia="es-ES"/>
        </w:rPr>
        <w:tab/>
        <w:t>La Magistrada ponente,</w:t>
      </w:r>
    </w:p>
    <w:p w14:paraId="5CE1072B" w14:textId="77777777" w:rsidR="007646E8" w:rsidRPr="007646E8" w:rsidRDefault="007646E8" w:rsidP="007646E8">
      <w:pPr>
        <w:spacing w:after="0" w:line="276" w:lineRule="auto"/>
        <w:rPr>
          <w:rFonts w:ascii="Tahoma" w:eastAsia="Times New Roman" w:hAnsi="Tahoma" w:cs="Tahoma"/>
          <w:sz w:val="24"/>
          <w:szCs w:val="24"/>
          <w:lang w:val="es-ES" w:eastAsia="es-ES"/>
        </w:rPr>
      </w:pPr>
    </w:p>
    <w:p w14:paraId="3FDCD3EA" w14:textId="77777777" w:rsidR="007646E8" w:rsidRPr="007646E8" w:rsidRDefault="007646E8" w:rsidP="007646E8">
      <w:pPr>
        <w:spacing w:after="0" w:line="276" w:lineRule="auto"/>
        <w:rPr>
          <w:rFonts w:ascii="Tahoma" w:eastAsia="Times New Roman" w:hAnsi="Tahoma" w:cs="Tahoma"/>
          <w:sz w:val="24"/>
          <w:szCs w:val="24"/>
          <w:lang w:val="es-ES" w:eastAsia="es-ES"/>
        </w:rPr>
      </w:pPr>
    </w:p>
    <w:p w14:paraId="15BA82F0" w14:textId="77777777" w:rsidR="007646E8" w:rsidRPr="007646E8" w:rsidRDefault="007646E8" w:rsidP="007646E8">
      <w:pPr>
        <w:spacing w:after="0" w:line="276" w:lineRule="auto"/>
        <w:rPr>
          <w:rFonts w:ascii="Tahoma" w:eastAsia="Times New Roman" w:hAnsi="Tahoma" w:cs="Tahoma"/>
          <w:sz w:val="24"/>
          <w:szCs w:val="24"/>
          <w:lang w:val="es-ES" w:eastAsia="es-ES"/>
        </w:rPr>
      </w:pPr>
    </w:p>
    <w:p w14:paraId="2F3DFD3E" w14:textId="77777777" w:rsidR="007646E8" w:rsidRPr="007646E8" w:rsidRDefault="007646E8" w:rsidP="007646E8">
      <w:pPr>
        <w:keepNext/>
        <w:spacing w:after="0" w:line="276" w:lineRule="auto"/>
        <w:jc w:val="center"/>
        <w:outlineLvl w:val="2"/>
        <w:rPr>
          <w:rFonts w:ascii="Tahoma" w:eastAsia="Times New Roman" w:hAnsi="Tahoma" w:cs="Tahoma"/>
          <w:b/>
          <w:bCs/>
          <w:sz w:val="24"/>
          <w:szCs w:val="24"/>
          <w:lang w:val="es-ES" w:eastAsia="es-ES"/>
        </w:rPr>
      </w:pPr>
      <w:r w:rsidRPr="007646E8">
        <w:rPr>
          <w:rFonts w:ascii="Tahoma" w:eastAsia="Times New Roman" w:hAnsi="Tahoma" w:cs="Tahoma"/>
          <w:b/>
          <w:bCs/>
          <w:sz w:val="24"/>
          <w:szCs w:val="24"/>
          <w:lang w:val="es-ES" w:eastAsia="es-ES"/>
        </w:rPr>
        <w:t>ANA LUCÍA CAICEDO CALDERÓN</w:t>
      </w:r>
    </w:p>
    <w:p w14:paraId="7828F502" w14:textId="77777777" w:rsidR="007646E8" w:rsidRPr="007646E8" w:rsidRDefault="007646E8" w:rsidP="007646E8">
      <w:pPr>
        <w:spacing w:after="0" w:line="276" w:lineRule="auto"/>
        <w:rPr>
          <w:rFonts w:ascii="Tahoma" w:eastAsia="Times New Roman" w:hAnsi="Tahoma" w:cs="Tahoma"/>
          <w:sz w:val="24"/>
          <w:szCs w:val="24"/>
          <w:lang w:val="es-ES" w:eastAsia="es-ES"/>
        </w:rPr>
      </w:pPr>
    </w:p>
    <w:p w14:paraId="564C447D" w14:textId="77777777" w:rsidR="007646E8" w:rsidRPr="007646E8" w:rsidRDefault="007646E8" w:rsidP="007646E8">
      <w:pPr>
        <w:spacing w:after="0" w:line="276" w:lineRule="auto"/>
        <w:ind w:firstLine="708"/>
        <w:rPr>
          <w:rFonts w:ascii="Tahoma" w:eastAsia="Times New Roman" w:hAnsi="Tahoma" w:cs="Tahoma"/>
          <w:sz w:val="24"/>
          <w:szCs w:val="24"/>
          <w:lang w:val="es-ES" w:eastAsia="es-ES"/>
        </w:rPr>
      </w:pPr>
      <w:bookmarkStart w:id="7" w:name="_Hlk62478330"/>
      <w:r w:rsidRPr="007646E8">
        <w:rPr>
          <w:rFonts w:ascii="Tahoma" w:eastAsia="Times New Roman" w:hAnsi="Tahoma" w:cs="Tahoma"/>
          <w:sz w:val="24"/>
          <w:szCs w:val="24"/>
          <w:lang w:val="es-ES" w:eastAsia="es-ES"/>
        </w:rPr>
        <w:t>La Magistrada y el Magistrado,</w:t>
      </w:r>
    </w:p>
    <w:p w14:paraId="46EC4581" w14:textId="77777777" w:rsidR="007646E8" w:rsidRPr="007646E8" w:rsidRDefault="007646E8" w:rsidP="007646E8">
      <w:pPr>
        <w:spacing w:after="0" w:line="276" w:lineRule="auto"/>
        <w:rPr>
          <w:rFonts w:ascii="Tahoma" w:eastAsia="Times New Roman" w:hAnsi="Tahoma" w:cs="Tahoma"/>
          <w:sz w:val="24"/>
          <w:szCs w:val="24"/>
          <w:lang w:val="es-ES" w:eastAsia="es-ES"/>
        </w:rPr>
      </w:pPr>
    </w:p>
    <w:p w14:paraId="71333463" w14:textId="77777777" w:rsidR="007646E8" w:rsidRPr="007646E8" w:rsidRDefault="007646E8" w:rsidP="007646E8">
      <w:pPr>
        <w:spacing w:after="0" w:line="276" w:lineRule="auto"/>
        <w:rPr>
          <w:rFonts w:ascii="Tahoma" w:eastAsia="Times New Roman" w:hAnsi="Tahoma" w:cs="Tahoma"/>
          <w:sz w:val="24"/>
          <w:szCs w:val="24"/>
          <w:lang w:val="es-ES" w:eastAsia="es-ES"/>
        </w:rPr>
      </w:pPr>
    </w:p>
    <w:p w14:paraId="546DA197" w14:textId="77777777" w:rsidR="007646E8" w:rsidRPr="007646E8" w:rsidRDefault="007646E8" w:rsidP="007646E8">
      <w:pPr>
        <w:spacing w:after="0" w:line="276" w:lineRule="auto"/>
        <w:rPr>
          <w:rFonts w:ascii="Tahoma" w:eastAsia="Times New Roman" w:hAnsi="Tahoma" w:cs="Tahoma"/>
          <w:sz w:val="24"/>
          <w:szCs w:val="24"/>
          <w:lang w:val="es-ES" w:eastAsia="es-ES"/>
        </w:rPr>
      </w:pPr>
    </w:p>
    <w:p w14:paraId="0CDCFFCA" w14:textId="77777777" w:rsidR="007646E8" w:rsidRPr="007646E8" w:rsidRDefault="007646E8" w:rsidP="007646E8">
      <w:pPr>
        <w:spacing w:after="0" w:line="276" w:lineRule="auto"/>
        <w:jc w:val="both"/>
        <w:rPr>
          <w:rFonts w:ascii="Tahoma" w:eastAsia="Calibri" w:hAnsi="Tahoma" w:cs="Tahoma"/>
          <w:sz w:val="24"/>
          <w:szCs w:val="24"/>
          <w:lang w:val="es-ES"/>
        </w:rPr>
      </w:pPr>
      <w:r w:rsidRPr="007646E8">
        <w:rPr>
          <w:rFonts w:ascii="Tahoma" w:eastAsia="Times New Roman" w:hAnsi="Tahoma" w:cs="Tahoma"/>
          <w:b/>
          <w:bCs/>
          <w:sz w:val="24"/>
          <w:szCs w:val="24"/>
          <w:lang w:val="es-ES" w:eastAsia="es-ES"/>
        </w:rPr>
        <w:t>OLGA LUCÍA HOYOS SEPÚLVEDA</w:t>
      </w:r>
      <w:r w:rsidRPr="007646E8">
        <w:rPr>
          <w:rFonts w:ascii="Tahoma" w:eastAsia="Times New Roman" w:hAnsi="Tahoma" w:cs="Tahoma"/>
          <w:b/>
          <w:bCs/>
          <w:sz w:val="24"/>
          <w:szCs w:val="24"/>
          <w:lang w:val="es-ES" w:eastAsia="es-ES"/>
        </w:rPr>
        <w:tab/>
      </w:r>
      <w:r w:rsidRPr="007646E8">
        <w:rPr>
          <w:rFonts w:ascii="Tahoma" w:eastAsia="Times New Roman" w:hAnsi="Tahoma" w:cs="Tahoma"/>
          <w:b/>
          <w:bCs/>
          <w:sz w:val="24"/>
          <w:szCs w:val="24"/>
          <w:lang w:val="es-ES" w:eastAsia="es-ES"/>
        </w:rPr>
        <w:tab/>
        <w:t>GERMÁN DARÍO GÓEZ VINASCO</w:t>
      </w:r>
      <w:bookmarkEnd w:id="6"/>
      <w:bookmarkEnd w:id="7"/>
    </w:p>
    <w:p w14:paraId="2826FD96" w14:textId="676221FC" w:rsidR="00A16867" w:rsidRPr="007646E8" w:rsidRDefault="00B53A99" w:rsidP="007646E8">
      <w:pPr>
        <w:spacing w:after="0" w:line="276" w:lineRule="auto"/>
        <w:jc w:val="both"/>
        <w:rPr>
          <w:rFonts w:ascii="Tahoma" w:hAnsi="Tahoma" w:cs="Tahoma"/>
          <w:sz w:val="24"/>
          <w:szCs w:val="24"/>
        </w:rPr>
      </w:pPr>
      <w:r>
        <w:rPr>
          <w:rFonts w:ascii="Tahoma" w:hAnsi="Tahoma" w:cs="Tahoma"/>
          <w:sz w:val="24"/>
          <w:szCs w:val="24"/>
        </w:rPr>
        <w:t>Con salvamento de voto</w:t>
      </w:r>
    </w:p>
    <w:sectPr w:rsidR="00A16867" w:rsidRPr="007646E8" w:rsidSect="001D641C">
      <w:pgSz w:w="12242" w:h="18722" w:code="258"/>
      <w:pgMar w:top="1871" w:right="1304" w:bottom="1304" w:left="1871"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DF481E2" w16cex:dateUtc="2023-01-17T19:53:37.381Z"/>
  <w16cex:commentExtensible w16cex:durableId="690A1D7E" w16cex:dateUtc="2023-01-17T19:54:26.614Z"/>
  <w16cex:commentExtensible w16cex:durableId="317B9BF2" w16cex:dateUtc="2023-02-02T13:50:52.707Z"/>
  <w16cex:commentExtensible w16cex:durableId="36B95575" w16cex:dateUtc="2023-02-14T16:22:39.138Z"/>
  <w16cex:commentExtensible w16cex:durableId="62F00B6B" w16cex:dateUtc="2023-05-04T13:22:09.396Z"/>
  <w16cex:commentExtensible w16cex:durableId="46D403D3" w16cex:dateUtc="2023-05-04T13:31:00.69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D3D33" w14:textId="77777777" w:rsidR="00D809BF" w:rsidRDefault="00D809BF" w:rsidP="00FB37E4">
      <w:pPr>
        <w:spacing w:after="0" w:line="240" w:lineRule="auto"/>
      </w:pPr>
      <w:r>
        <w:separator/>
      </w:r>
    </w:p>
  </w:endnote>
  <w:endnote w:type="continuationSeparator" w:id="0">
    <w:p w14:paraId="22BC0826" w14:textId="77777777" w:rsidR="00D809BF" w:rsidRDefault="00D809BF" w:rsidP="00FB3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C67FE" w14:textId="77777777" w:rsidR="00D809BF" w:rsidRDefault="00D809BF" w:rsidP="00FB37E4">
      <w:pPr>
        <w:spacing w:after="0" w:line="240" w:lineRule="auto"/>
      </w:pPr>
      <w:r>
        <w:separator/>
      </w:r>
    </w:p>
  </w:footnote>
  <w:footnote w:type="continuationSeparator" w:id="0">
    <w:p w14:paraId="75D46860" w14:textId="77777777" w:rsidR="00D809BF" w:rsidRDefault="00D809BF" w:rsidP="00FB37E4">
      <w:pPr>
        <w:spacing w:after="0" w:line="240" w:lineRule="auto"/>
      </w:pPr>
      <w:r>
        <w:continuationSeparator/>
      </w:r>
    </w:p>
  </w:footnote>
  <w:footnote w:id="1">
    <w:p w14:paraId="37A94EDA" w14:textId="26905A2C" w:rsidR="00FA441A" w:rsidRDefault="00FA441A">
      <w:pPr>
        <w:pStyle w:val="Textonotapie"/>
      </w:pPr>
      <w:r>
        <w:rPr>
          <w:rStyle w:val="Refdenotaalpie"/>
        </w:rPr>
        <w:footnoteRef/>
      </w:r>
      <w:r>
        <w:t xml:space="preserve"> Aprobatorio del Acuerdo 224 de 1966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628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7D5458"/>
    <w:multiLevelType w:val="multilevel"/>
    <w:tmpl w:val="652A6E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C45"/>
    <w:rsid w:val="0003076A"/>
    <w:rsid w:val="0008233A"/>
    <w:rsid w:val="000E1F86"/>
    <w:rsid w:val="001223A1"/>
    <w:rsid w:val="00170C45"/>
    <w:rsid w:val="001766F4"/>
    <w:rsid w:val="00177317"/>
    <w:rsid w:val="00180540"/>
    <w:rsid w:val="00180D8C"/>
    <w:rsid w:val="001D641C"/>
    <w:rsid w:val="002A5299"/>
    <w:rsid w:val="002B082E"/>
    <w:rsid w:val="002C17F7"/>
    <w:rsid w:val="002D4368"/>
    <w:rsid w:val="002F36D8"/>
    <w:rsid w:val="0031029A"/>
    <w:rsid w:val="00336BA6"/>
    <w:rsid w:val="00342AA3"/>
    <w:rsid w:val="00345A73"/>
    <w:rsid w:val="003A0F23"/>
    <w:rsid w:val="003E2324"/>
    <w:rsid w:val="003F6F26"/>
    <w:rsid w:val="00405F56"/>
    <w:rsid w:val="00414EAE"/>
    <w:rsid w:val="0044617B"/>
    <w:rsid w:val="00450B67"/>
    <w:rsid w:val="004564D2"/>
    <w:rsid w:val="00460B98"/>
    <w:rsid w:val="00494C42"/>
    <w:rsid w:val="004B1F6B"/>
    <w:rsid w:val="00512F53"/>
    <w:rsid w:val="00540ECB"/>
    <w:rsid w:val="0057031F"/>
    <w:rsid w:val="005A3DCB"/>
    <w:rsid w:val="005D3001"/>
    <w:rsid w:val="005D37E2"/>
    <w:rsid w:val="00655512"/>
    <w:rsid w:val="00675A83"/>
    <w:rsid w:val="006A7C49"/>
    <w:rsid w:val="006B43F8"/>
    <w:rsid w:val="00710CBB"/>
    <w:rsid w:val="00714FDF"/>
    <w:rsid w:val="00721215"/>
    <w:rsid w:val="00740C0C"/>
    <w:rsid w:val="007646E8"/>
    <w:rsid w:val="007812BD"/>
    <w:rsid w:val="00790869"/>
    <w:rsid w:val="0082401A"/>
    <w:rsid w:val="00837C78"/>
    <w:rsid w:val="008A313F"/>
    <w:rsid w:val="008C04AC"/>
    <w:rsid w:val="009828C5"/>
    <w:rsid w:val="009936EE"/>
    <w:rsid w:val="00A16867"/>
    <w:rsid w:val="00A27946"/>
    <w:rsid w:val="00A35648"/>
    <w:rsid w:val="00A520E0"/>
    <w:rsid w:val="00A64381"/>
    <w:rsid w:val="00A917D1"/>
    <w:rsid w:val="00A91AE2"/>
    <w:rsid w:val="00A96416"/>
    <w:rsid w:val="00AB22F3"/>
    <w:rsid w:val="00AC7942"/>
    <w:rsid w:val="00B369D8"/>
    <w:rsid w:val="00B53A99"/>
    <w:rsid w:val="00B67768"/>
    <w:rsid w:val="00B804D1"/>
    <w:rsid w:val="00BC44EF"/>
    <w:rsid w:val="00BE1B37"/>
    <w:rsid w:val="00C25349"/>
    <w:rsid w:val="00C736A1"/>
    <w:rsid w:val="00C767E5"/>
    <w:rsid w:val="00CE3F36"/>
    <w:rsid w:val="00D22A86"/>
    <w:rsid w:val="00D809BF"/>
    <w:rsid w:val="00D92E0C"/>
    <w:rsid w:val="00D933B9"/>
    <w:rsid w:val="00D95326"/>
    <w:rsid w:val="00DF0BDC"/>
    <w:rsid w:val="00DF5C09"/>
    <w:rsid w:val="00E15A73"/>
    <w:rsid w:val="00E47C2E"/>
    <w:rsid w:val="00E95018"/>
    <w:rsid w:val="00ED483B"/>
    <w:rsid w:val="00EF0BE2"/>
    <w:rsid w:val="00F26782"/>
    <w:rsid w:val="00F63C96"/>
    <w:rsid w:val="00FA441A"/>
    <w:rsid w:val="00FB37E4"/>
    <w:rsid w:val="00FF0ED7"/>
    <w:rsid w:val="082C4F85"/>
    <w:rsid w:val="0ABEC8C4"/>
    <w:rsid w:val="0CFD6A58"/>
    <w:rsid w:val="0D80C6B3"/>
    <w:rsid w:val="3965B038"/>
    <w:rsid w:val="3DD8B7A0"/>
    <w:rsid w:val="50417D49"/>
    <w:rsid w:val="536E1D65"/>
    <w:rsid w:val="5C31B9CF"/>
    <w:rsid w:val="6CF92123"/>
    <w:rsid w:val="6FA5DCDB"/>
    <w:rsid w:val="7A94983D"/>
    <w:rsid w:val="7EB302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99ED"/>
  <w15:chartTrackingRefBased/>
  <w15:docId w15:val="{CABC2BF6-E99F-41CB-A80B-38A998C7B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unhideWhenUsed/>
    <w:qFormat/>
    <w:rsid w:val="00A91AE2"/>
    <w:pPr>
      <w:keepNext/>
      <w:tabs>
        <w:tab w:val="left" w:pos="0"/>
      </w:tabs>
      <w:overflowPunct w:val="0"/>
      <w:autoSpaceDE w:val="0"/>
      <w:autoSpaceDN w:val="0"/>
      <w:adjustRightInd w:val="0"/>
      <w:spacing w:after="0" w:line="240" w:lineRule="auto"/>
      <w:jc w:val="center"/>
      <w:outlineLvl w:val="3"/>
    </w:pPr>
    <w:rPr>
      <w:rFonts w:ascii="Times New Roman" w:eastAsia="Times New Roman" w:hAnsi="Times New Roman"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91AE2"/>
    <w:rPr>
      <w:rFonts w:ascii="Times New Roman" w:eastAsia="Times New Roman" w:hAnsi="Times New Roman" w:cs="Times New Roman"/>
      <w:b/>
      <w:sz w:val="24"/>
      <w:szCs w:val="20"/>
      <w:lang w:val="es-ES" w:eastAsia="es-ES"/>
    </w:rPr>
  </w:style>
  <w:style w:type="paragraph" w:customStyle="1" w:styleId="paragraph">
    <w:name w:val="paragraph"/>
    <w:basedOn w:val="Normal"/>
    <w:rsid w:val="00A91AE2"/>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A91AE2"/>
  </w:style>
  <w:style w:type="character" w:customStyle="1" w:styleId="eop">
    <w:name w:val="eop"/>
    <w:basedOn w:val="Fuentedeprrafopredeter"/>
    <w:rsid w:val="00A91AE2"/>
  </w:style>
  <w:style w:type="character" w:customStyle="1" w:styleId="fontstyle21">
    <w:name w:val="fontstyle21"/>
    <w:basedOn w:val="Fuentedeprrafopredeter"/>
    <w:rsid w:val="00A91AE2"/>
    <w:rPr>
      <w:rFonts w:ascii="Tahoma" w:hAnsi="Tahoma" w:cs="Tahoma" w:hint="default"/>
      <w:b w:val="0"/>
      <w:bCs w:val="0"/>
      <w:i w:val="0"/>
      <w:iCs w:val="0"/>
      <w:color w:val="000000"/>
      <w:sz w:val="24"/>
      <w:szCs w:val="24"/>
    </w:rPr>
  </w:style>
  <w:style w:type="paragraph" w:styleId="Prrafodelista">
    <w:name w:val="List Paragraph"/>
    <w:basedOn w:val="Normal"/>
    <w:uiPriority w:val="34"/>
    <w:qFormat/>
    <w:rsid w:val="00BE1B37"/>
    <w:pPr>
      <w:ind w:left="720"/>
      <w:contextualSpacing/>
    </w:pPr>
  </w:style>
  <w:style w:type="paragraph" w:styleId="Textoindependiente">
    <w:name w:val="Body Text"/>
    <w:basedOn w:val="Normal"/>
    <w:link w:val="TextoindependienteCar"/>
    <w:uiPriority w:val="1"/>
    <w:semiHidden/>
    <w:unhideWhenUsed/>
    <w:qFormat/>
    <w:rsid w:val="00675A83"/>
    <w:pPr>
      <w:widowControl w:val="0"/>
      <w:autoSpaceDE w:val="0"/>
      <w:autoSpaceDN w:val="0"/>
      <w:spacing w:after="0" w:line="240" w:lineRule="auto"/>
    </w:pPr>
    <w:rPr>
      <w:rFonts w:ascii="Arial Narrow" w:eastAsia="Arial Narrow" w:hAnsi="Arial Narrow" w:cs="Arial Narrow"/>
      <w:sz w:val="29"/>
      <w:szCs w:val="29"/>
      <w:lang w:val="es-ES" w:eastAsia="es-ES" w:bidi="es-ES"/>
    </w:rPr>
  </w:style>
  <w:style w:type="character" w:customStyle="1" w:styleId="TextoindependienteCar">
    <w:name w:val="Texto independiente Car"/>
    <w:basedOn w:val="Fuentedeprrafopredeter"/>
    <w:link w:val="Textoindependiente"/>
    <w:uiPriority w:val="1"/>
    <w:semiHidden/>
    <w:rsid w:val="00675A83"/>
    <w:rPr>
      <w:rFonts w:ascii="Arial Narrow" w:eastAsia="Arial Narrow" w:hAnsi="Arial Narrow" w:cs="Arial Narrow"/>
      <w:sz w:val="29"/>
      <w:szCs w:val="29"/>
      <w:lang w:val="es-ES" w:eastAsia="es-ES" w:bidi="es-ES"/>
    </w:rPr>
  </w:style>
  <w:style w:type="paragraph" w:styleId="Textonotapie">
    <w:name w:val="footnote text"/>
    <w:basedOn w:val="Normal"/>
    <w:link w:val="TextonotapieCar"/>
    <w:uiPriority w:val="99"/>
    <w:semiHidden/>
    <w:unhideWhenUsed/>
    <w:rsid w:val="00FB37E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B37E4"/>
    <w:rPr>
      <w:sz w:val="20"/>
      <w:szCs w:val="20"/>
    </w:rPr>
  </w:style>
  <w:style w:type="character" w:styleId="Refdenotaalpie">
    <w:name w:val="footnote reference"/>
    <w:basedOn w:val="Fuentedeprrafopredeter"/>
    <w:uiPriority w:val="99"/>
    <w:semiHidden/>
    <w:unhideWhenUsed/>
    <w:rsid w:val="00FB37E4"/>
    <w:rPr>
      <w:vertAlign w:val="superscript"/>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C736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36A1"/>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C736A1"/>
    <w:rPr>
      <w:b/>
      <w:bCs/>
    </w:rPr>
  </w:style>
  <w:style w:type="character" w:customStyle="1" w:styleId="AsuntodelcomentarioCar">
    <w:name w:val="Asunto del comentario Car"/>
    <w:basedOn w:val="TextocomentarioCar"/>
    <w:link w:val="Asuntodelcomentario"/>
    <w:uiPriority w:val="99"/>
    <w:semiHidden/>
    <w:rsid w:val="00C736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05765">
      <w:bodyDiv w:val="1"/>
      <w:marLeft w:val="0"/>
      <w:marRight w:val="0"/>
      <w:marTop w:val="0"/>
      <w:marBottom w:val="0"/>
      <w:divBdr>
        <w:top w:val="none" w:sz="0" w:space="0" w:color="auto"/>
        <w:left w:val="none" w:sz="0" w:space="0" w:color="auto"/>
        <w:bottom w:val="none" w:sz="0" w:space="0" w:color="auto"/>
        <w:right w:val="none" w:sz="0" w:space="0" w:color="auto"/>
      </w:divBdr>
    </w:div>
    <w:div w:id="1012099745">
      <w:bodyDiv w:val="1"/>
      <w:marLeft w:val="0"/>
      <w:marRight w:val="0"/>
      <w:marTop w:val="0"/>
      <w:marBottom w:val="0"/>
      <w:divBdr>
        <w:top w:val="none" w:sz="0" w:space="0" w:color="auto"/>
        <w:left w:val="none" w:sz="0" w:space="0" w:color="auto"/>
        <w:bottom w:val="none" w:sz="0" w:space="0" w:color="auto"/>
        <w:right w:val="none" w:sz="0" w:space="0" w:color="auto"/>
      </w:divBdr>
    </w:div>
    <w:div w:id="1351301991">
      <w:bodyDiv w:val="1"/>
      <w:marLeft w:val="0"/>
      <w:marRight w:val="0"/>
      <w:marTop w:val="0"/>
      <w:marBottom w:val="0"/>
      <w:divBdr>
        <w:top w:val="none" w:sz="0" w:space="0" w:color="auto"/>
        <w:left w:val="none" w:sz="0" w:space="0" w:color="auto"/>
        <w:bottom w:val="none" w:sz="0" w:space="0" w:color="auto"/>
        <w:right w:val="none" w:sz="0" w:space="0" w:color="auto"/>
      </w:divBdr>
    </w:div>
    <w:div w:id="1456023516">
      <w:bodyDiv w:val="1"/>
      <w:marLeft w:val="0"/>
      <w:marRight w:val="0"/>
      <w:marTop w:val="0"/>
      <w:marBottom w:val="0"/>
      <w:divBdr>
        <w:top w:val="none" w:sz="0" w:space="0" w:color="auto"/>
        <w:left w:val="none" w:sz="0" w:space="0" w:color="auto"/>
        <w:bottom w:val="none" w:sz="0" w:space="0" w:color="auto"/>
        <w:right w:val="none" w:sz="0" w:space="0" w:color="auto"/>
      </w:divBdr>
    </w:div>
    <w:div w:id="1728919658">
      <w:bodyDiv w:val="1"/>
      <w:marLeft w:val="0"/>
      <w:marRight w:val="0"/>
      <w:marTop w:val="0"/>
      <w:marBottom w:val="0"/>
      <w:divBdr>
        <w:top w:val="none" w:sz="0" w:space="0" w:color="auto"/>
        <w:left w:val="none" w:sz="0" w:space="0" w:color="auto"/>
        <w:bottom w:val="none" w:sz="0" w:space="0" w:color="auto"/>
        <w:right w:val="none" w:sz="0" w:space="0" w:color="auto"/>
      </w:divBdr>
    </w:div>
    <w:div w:id="177427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51ec8ef2300f430c"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7FF4B-8A52-4BCD-B85C-4C41F6493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02B5B2-324A-44D7-B30E-4777C3148C49}">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B4325817-5124-416E-87C4-DF91C6716F4D}">
  <ds:schemaRefs>
    <ds:schemaRef ds:uri="http://schemas.microsoft.com/sharepoint/v3/contenttype/forms"/>
  </ds:schemaRefs>
</ds:datastoreItem>
</file>

<file path=customXml/itemProps4.xml><?xml version="1.0" encoding="utf-8"?>
<ds:datastoreItem xmlns:ds="http://schemas.openxmlformats.org/officeDocument/2006/customXml" ds:itemID="{990E3C83-7DAD-4E11-A682-D7954DFE5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4391</Words>
  <Characters>24154</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8</cp:revision>
  <dcterms:created xsi:type="dcterms:W3CDTF">2023-05-02T14:01:00Z</dcterms:created>
  <dcterms:modified xsi:type="dcterms:W3CDTF">2023-07-11T16:18:00Z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