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E22FABC" w14:textId="77777777" w:rsidR="00B43216" w:rsidRPr="00281CBF" w:rsidRDefault="00B43216" w:rsidP="00B4321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Start w:id="1" w:name="_Hlk136339010"/>
      <w:bookmarkStart w:id="2" w:name="_Hlk138835899"/>
      <w:bookmarkEnd w:id="0"/>
      <w:r w:rsidRPr="00281CB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EF9E65F" w14:textId="77777777" w:rsidR="00B43216" w:rsidRPr="00281CBF" w:rsidRDefault="00B43216" w:rsidP="00B43216">
      <w:pPr>
        <w:jc w:val="both"/>
        <w:rPr>
          <w:rFonts w:ascii="Arial" w:hAnsi="Arial" w:cs="Arial"/>
          <w:sz w:val="20"/>
          <w:szCs w:val="20"/>
          <w:lang w:val="es-419"/>
        </w:rPr>
      </w:pPr>
    </w:p>
    <w:p w14:paraId="5B93EAF6" w14:textId="77777777" w:rsidR="00B43216" w:rsidRPr="00281CBF" w:rsidRDefault="00B43216" w:rsidP="00B43216">
      <w:pPr>
        <w:jc w:val="both"/>
        <w:rPr>
          <w:rFonts w:ascii="Arial" w:eastAsia="Tahoma" w:hAnsi="Arial" w:cs="Arial"/>
          <w:sz w:val="20"/>
          <w:szCs w:val="20"/>
          <w:lang w:val="es-419"/>
        </w:rPr>
      </w:pPr>
      <w:r w:rsidRPr="00281CBF">
        <w:rPr>
          <w:rFonts w:ascii="Arial" w:eastAsia="Tahoma" w:hAnsi="Arial" w:cs="Arial"/>
          <w:sz w:val="20"/>
          <w:szCs w:val="20"/>
          <w:lang w:val="es-419"/>
        </w:rPr>
        <w:t>Radicación No.:</w:t>
      </w:r>
      <w:r w:rsidRPr="00281CBF">
        <w:rPr>
          <w:rFonts w:ascii="Arial" w:eastAsia="Tahoma" w:hAnsi="Arial" w:cs="Arial"/>
          <w:sz w:val="20"/>
          <w:szCs w:val="20"/>
          <w:lang w:val="es-419"/>
        </w:rPr>
        <w:tab/>
      </w:r>
      <w:r w:rsidRPr="00281CBF">
        <w:rPr>
          <w:rFonts w:ascii="Arial" w:eastAsia="Tahoma" w:hAnsi="Arial" w:cs="Arial"/>
          <w:sz w:val="20"/>
          <w:szCs w:val="20"/>
          <w:lang w:val="es-419"/>
        </w:rPr>
        <w:tab/>
        <w:t>66001-31-05-002-2019-00218-01</w:t>
      </w:r>
    </w:p>
    <w:p w14:paraId="54A9D754" w14:textId="77777777" w:rsidR="00B43216" w:rsidRPr="00281CBF" w:rsidRDefault="00B43216" w:rsidP="00B43216">
      <w:pPr>
        <w:jc w:val="both"/>
        <w:rPr>
          <w:rFonts w:ascii="Arial" w:eastAsia="Tahoma" w:hAnsi="Arial" w:cs="Arial"/>
          <w:sz w:val="20"/>
          <w:szCs w:val="20"/>
          <w:lang w:val="es-419"/>
        </w:rPr>
      </w:pPr>
      <w:r w:rsidRPr="00281CBF">
        <w:rPr>
          <w:rFonts w:ascii="Arial" w:eastAsia="Tahoma" w:hAnsi="Arial" w:cs="Arial"/>
          <w:sz w:val="20"/>
          <w:szCs w:val="20"/>
          <w:lang w:val="es-419"/>
        </w:rPr>
        <w:t>Proceso:</w:t>
      </w:r>
      <w:r w:rsidRPr="00281CBF">
        <w:rPr>
          <w:rFonts w:ascii="Arial" w:eastAsia="Tahoma" w:hAnsi="Arial" w:cs="Arial"/>
          <w:sz w:val="20"/>
          <w:szCs w:val="20"/>
          <w:lang w:val="es-419"/>
        </w:rPr>
        <w:tab/>
      </w:r>
      <w:r w:rsidRPr="00281CBF">
        <w:rPr>
          <w:rFonts w:ascii="Arial" w:eastAsia="Tahoma" w:hAnsi="Arial" w:cs="Arial"/>
          <w:sz w:val="20"/>
          <w:szCs w:val="20"/>
          <w:lang w:val="es-419"/>
        </w:rPr>
        <w:tab/>
        <w:t>Ordinario laboral</w:t>
      </w:r>
    </w:p>
    <w:p w14:paraId="12B683F1" w14:textId="77777777" w:rsidR="00B43216" w:rsidRPr="00281CBF" w:rsidRDefault="00B43216" w:rsidP="00B43216">
      <w:pPr>
        <w:jc w:val="both"/>
        <w:rPr>
          <w:rFonts w:ascii="Arial" w:eastAsia="Tahoma" w:hAnsi="Arial" w:cs="Arial"/>
          <w:sz w:val="20"/>
          <w:szCs w:val="20"/>
          <w:lang w:val="es-419"/>
        </w:rPr>
      </w:pPr>
      <w:r w:rsidRPr="00281CBF">
        <w:rPr>
          <w:rFonts w:ascii="Arial" w:eastAsia="Tahoma" w:hAnsi="Arial" w:cs="Arial"/>
          <w:sz w:val="20"/>
          <w:szCs w:val="20"/>
          <w:lang w:val="es-419"/>
        </w:rPr>
        <w:t>Demandante:</w:t>
      </w:r>
      <w:r w:rsidRPr="00281CBF">
        <w:rPr>
          <w:rFonts w:ascii="Arial" w:eastAsia="Tahoma" w:hAnsi="Arial" w:cs="Arial"/>
          <w:sz w:val="20"/>
          <w:szCs w:val="20"/>
          <w:lang w:val="es-419"/>
        </w:rPr>
        <w:tab/>
      </w:r>
      <w:r w:rsidRPr="00281CBF">
        <w:rPr>
          <w:rFonts w:ascii="Arial" w:eastAsia="Tahoma" w:hAnsi="Arial" w:cs="Arial"/>
          <w:sz w:val="20"/>
          <w:szCs w:val="20"/>
          <w:lang w:val="es-419"/>
        </w:rPr>
        <w:tab/>
        <w:t>César Augusto García Quintero</w:t>
      </w:r>
    </w:p>
    <w:p w14:paraId="7EF06088" w14:textId="77777777" w:rsidR="00B43216" w:rsidRPr="00281CBF" w:rsidRDefault="00B43216" w:rsidP="00B43216">
      <w:pPr>
        <w:jc w:val="both"/>
        <w:rPr>
          <w:rFonts w:ascii="Arial" w:eastAsia="Tahoma" w:hAnsi="Arial" w:cs="Arial"/>
          <w:sz w:val="20"/>
          <w:szCs w:val="20"/>
          <w:lang w:val="es-419"/>
        </w:rPr>
      </w:pPr>
      <w:r w:rsidRPr="00281CBF">
        <w:rPr>
          <w:rFonts w:ascii="Arial" w:eastAsia="Tahoma" w:hAnsi="Arial" w:cs="Arial"/>
          <w:sz w:val="20"/>
          <w:szCs w:val="20"/>
          <w:lang w:val="es-419"/>
        </w:rPr>
        <w:t>Demandado:</w:t>
      </w:r>
      <w:r w:rsidRPr="00281CBF">
        <w:rPr>
          <w:rFonts w:ascii="Arial" w:eastAsia="Tahoma" w:hAnsi="Arial" w:cs="Arial"/>
          <w:sz w:val="20"/>
          <w:szCs w:val="20"/>
          <w:lang w:val="es-419"/>
        </w:rPr>
        <w:tab/>
      </w:r>
      <w:r w:rsidRPr="00281CBF">
        <w:rPr>
          <w:rFonts w:ascii="Arial" w:eastAsia="Tahoma" w:hAnsi="Arial" w:cs="Arial"/>
          <w:sz w:val="20"/>
          <w:szCs w:val="20"/>
          <w:lang w:val="es-419"/>
        </w:rPr>
        <w:tab/>
        <w:t xml:space="preserve">Colpensiones </w:t>
      </w:r>
    </w:p>
    <w:p w14:paraId="66B43325" w14:textId="6A202733" w:rsidR="00B43216" w:rsidRPr="00281CBF" w:rsidRDefault="00B43216" w:rsidP="00B43216">
      <w:pPr>
        <w:jc w:val="both"/>
        <w:rPr>
          <w:rFonts w:ascii="Arial" w:eastAsia="Tahoma" w:hAnsi="Arial" w:cs="Arial"/>
          <w:sz w:val="20"/>
          <w:szCs w:val="20"/>
          <w:lang w:val="es-419"/>
        </w:rPr>
      </w:pPr>
      <w:r w:rsidRPr="00281CBF">
        <w:rPr>
          <w:rFonts w:ascii="Arial" w:eastAsia="Tahoma" w:hAnsi="Arial" w:cs="Arial"/>
          <w:sz w:val="20"/>
          <w:szCs w:val="20"/>
          <w:lang w:val="es-419"/>
        </w:rPr>
        <w:t>Juzgado de origen:</w:t>
      </w:r>
      <w:r w:rsidRPr="00281CBF">
        <w:rPr>
          <w:rFonts w:ascii="Arial" w:eastAsia="Tahoma" w:hAnsi="Arial" w:cs="Arial"/>
          <w:sz w:val="20"/>
          <w:szCs w:val="20"/>
          <w:lang w:val="es-419"/>
        </w:rPr>
        <w:tab/>
        <w:t xml:space="preserve">Segundo Laboral del Circuito de Pereira </w:t>
      </w:r>
    </w:p>
    <w:p w14:paraId="796B3102" w14:textId="77777777" w:rsidR="00B43216" w:rsidRPr="00281CBF" w:rsidRDefault="00B43216" w:rsidP="00B43216">
      <w:pPr>
        <w:jc w:val="both"/>
        <w:rPr>
          <w:rFonts w:ascii="Arial" w:eastAsia="Tahoma" w:hAnsi="Arial" w:cs="Arial"/>
          <w:color w:val="000000"/>
          <w:sz w:val="20"/>
          <w:szCs w:val="20"/>
        </w:rPr>
      </w:pPr>
    </w:p>
    <w:p w14:paraId="6DA6C82C" w14:textId="441A276E" w:rsidR="00B43216" w:rsidRPr="00281CBF" w:rsidRDefault="006C474A" w:rsidP="00B43216">
      <w:pPr>
        <w:jc w:val="both"/>
        <w:rPr>
          <w:rFonts w:ascii="Arial" w:hAnsi="Arial" w:cs="Arial"/>
          <w:sz w:val="20"/>
          <w:szCs w:val="20"/>
          <w:lang w:val="es-419"/>
        </w:rPr>
      </w:pPr>
      <w:r w:rsidRPr="00281CBF">
        <w:rPr>
          <w:rFonts w:ascii="Arial" w:hAnsi="Arial" w:cs="Arial"/>
          <w:b/>
          <w:bCs/>
          <w:iCs/>
          <w:sz w:val="20"/>
          <w:szCs w:val="20"/>
          <w:u w:val="single"/>
          <w:lang w:val="es-419" w:eastAsia="fr-FR"/>
        </w:rPr>
        <w:t>TEMAS:</w:t>
      </w:r>
      <w:r w:rsidRPr="00281CBF">
        <w:rPr>
          <w:rFonts w:ascii="Arial" w:hAnsi="Arial" w:cs="Arial"/>
          <w:b/>
          <w:bCs/>
          <w:iCs/>
          <w:sz w:val="20"/>
          <w:szCs w:val="20"/>
          <w:lang w:val="es-419" w:eastAsia="fr-FR"/>
        </w:rPr>
        <w:tab/>
      </w:r>
      <w:r w:rsidRPr="008F381A">
        <w:rPr>
          <w:rFonts w:ascii="Arial" w:hAnsi="Arial" w:cs="Arial"/>
          <w:b/>
          <w:bCs/>
          <w:iCs/>
          <w:sz w:val="20"/>
          <w:szCs w:val="20"/>
          <w:lang w:val="es-419" w:eastAsia="fr-FR"/>
        </w:rPr>
        <w:t xml:space="preserve">PENSIÓN DE SOBREVIVIENTES / NORMA APLICABLE / LA VIGENTE A LA FECHA DEL FALLECIMIENTO DEL CAUSANTE / PRINCIPIO DE LA CONDICIÓN MÁS BENEFICIOSA / </w:t>
      </w:r>
      <w:r>
        <w:rPr>
          <w:rFonts w:ascii="Arial" w:hAnsi="Arial" w:cs="Arial"/>
          <w:b/>
          <w:bCs/>
          <w:iCs/>
          <w:sz w:val="20"/>
          <w:szCs w:val="20"/>
          <w:lang w:val="es-419" w:eastAsia="fr-FR"/>
        </w:rPr>
        <w:t xml:space="preserve">PERMITE APLICAR NORMATIVIDAD ANTERIOR / NO NECESARIAMENTE LA INMEDIATAMENTE ANTERIOR / </w:t>
      </w:r>
      <w:r w:rsidRPr="008F381A">
        <w:rPr>
          <w:rFonts w:ascii="Arial" w:hAnsi="Arial" w:cs="Arial"/>
          <w:b/>
          <w:bCs/>
          <w:iCs/>
          <w:sz w:val="20"/>
          <w:szCs w:val="20"/>
          <w:lang w:val="es-419" w:eastAsia="fr-FR"/>
        </w:rPr>
        <w:t>CRITERIO</w:t>
      </w:r>
      <w:r>
        <w:rPr>
          <w:rFonts w:ascii="Arial" w:hAnsi="Arial" w:cs="Arial"/>
          <w:b/>
          <w:bCs/>
          <w:iCs/>
          <w:sz w:val="20"/>
          <w:szCs w:val="20"/>
          <w:lang w:val="es-419" w:eastAsia="fr-FR"/>
        </w:rPr>
        <w:t>S</w:t>
      </w:r>
      <w:r w:rsidRPr="008F381A">
        <w:rPr>
          <w:rFonts w:ascii="Arial" w:hAnsi="Arial" w:cs="Arial"/>
          <w:b/>
          <w:bCs/>
          <w:iCs/>
          <w:sz w:val="20"/>
          <w:szCs w:val="20"/>
          <w:lang w:val="es-419" w:eastAsia="fr-FR"/>
        </w:rPr>
        <w:t xml:space="preserve"> DE LA CORTE</w:t>
      </w:r>
      <w:r>
        <w:rPr>
          <w:rFonts w:ascii="Arial" w:hAnsi="Arial" w:cs="Arial"/>
          <w:b/>
          <w:bCs/>
          <w:iCs/>
          <w:sz w:val="20"/>
          <w:szCs w:val="20"/>
          <w:lang w:val="es-419" w:eastAsia="fr-FR"/>
        </w:rPr>
        <w:t>S</w:t>
      </w:r>
      <w:r w:rsidRPr="008F381A">
        <w:rPr>
          <w:rFonts w:ascii="Arial" w:hAnsi="Arial" w:cs="Arial"/>
          <w:b/>
          <w:bCs/>
          <w:iCs/>
          <w:sz w:val="20"/>
          <w:szCs w:val="20"/>
          <w:lang w:val="es-419" w:eastAsia="fr-FR"/>
        </w:rPr>
        <w:t xml:space="preserve"> SUPREMA DE JUSTICIA </w:t>
      </w:r>
      <w:r>
        <w:rPr>
          <w:rFonts w:ascii="Arial" w:hAnsi="Arial" w:cs="Arial"/>
          <w:b/>
          <w:bCs/>
          <w:iCs/>
          <w:sz w:val="20"/>
          <w:szCs w:val="20"/>
          <w:lang w:val="es-419" w:eastAsia="fr-FR"/>
        </w:rPr>
        <w:t xml:space="preserve">Y CONSTITUCIONAL </w:t>
      </w:r>
      <w:r w:rsidRPr="008F381A">
        <w:rPr>
          <w:rFonts w:ascii="Arial" w:hAnsi="Arial" w:cs="Arial"/>
          <w:b/>
          <w:bCs/>
          <w:iCs/>
          <w:sz w:val="20"/>
          <w:szCs w:val="20"/>
          <w:lang w:val="es-419" w:eastAsia="fr-FR"/>
        </w:rPr>
        <w:t xml:space="preserve">/ DE LEY </w:t>
      </w:r>
      <w:r>
        <w:rPr>
          <w:rFonts w:ascii="Arial" w:hAnsi="Arial" w:cs="Arial"/>
          <w:b/>
          <w:bCs/>
          <w:iCs/>
          <w:sz w:val="20"/>
          <w:szCs w:val="20"/>
          <w:lang w:val="es-419" w:eastAsia="fr-FR"/>
        </w:rPr>
        <w:t>797 DE 2003</w:t>
      </w:r>
      <w:r w:rsidRPr="008F381A">
        <w:rPr>
          <w:rFonts w:ascii="Arial" w:hAnsi="Arial" w:cs="Arial"/>
          <w:b/>
          <w:bCs/>
          <w:iCs/>
          <w:sz w:val="20"/>
          <w:szCs w:val="20"/>
          <w:lang w:val="es-419" w:eastAsia="fr-FR"/>
        </w:rPr>
        <w:t xml:space="preserve"> A ACUERDO 049 DE 1990.</w:t>
      </w:r>
    </w:p>
    <w:p w14:paraId="7E00BA8B" w14:textId="77777777" w:rsidR="008F381A" w:rsidRDefault="008F381A" w:rsidP="00B43216">
      <w:pPr>
        <w:jc w:val="both"/>
        <w:rPr>
          <w:rFonts w:ascii="Arial" w:hAnsi="Arial" w:cs="Arial"/>
          <w:sz w:val="20"/>
          <w:szCs w:val="20"/>
          <w:lang w:val="es-419"/>
        </w:rPr>
      </w:pPr>
    </w:p>
    <w:p w14:paraId="325A27D6" w14:textId="76D900CD" w:rsidR="00B43216" w:rsidRDefault="00DB3F4B" w:rsidP="00B43216">
      <w:pPr>
        <w:jc w:val="both"/>
        <w:rPr>
          <w:rFonts w:ascii="Arial" w:hAnsi="Arial" w:cs="Arial"/>
          <w:sz w:val="20"/>
          <w:szCs w:val="20"/>
          <w:lang w:val="es-419"/>
        </w:rPr>
      </w:pPr>
      <w:r w:rsidRPr="00DB3F4B">
        <w:rPr>
          <w:rFonts w:ascii="Arial" w:hAnsi="Arial" w:cs="Arial"/>
          <w:sz w:val="20"/>
          <w:szCs w:val="20"/>
          <w:lang w:val="es-419"/>
        </w:rPr>
        <w:t>Es sabido que la normatividad aplicable a la pensión de sobrevivientes es la legislación vigente al momento del fallecimiento del afiliado, no obstante, por excepción es posible acudir a la normatividad anterior con el fin de determinar la concesión o no de la gracia pensional en aplicación del “Principio de la condición más beneficiosa”, siempre y cuando el causante o el afiliado, según se trate de pensión de sobrevivencia o pensión de invalidez, haya acumulado el número mínimo de semanas para causar el derecho conforme a las regulaciones previas a la norma vigente a la fecha del fallecimiento o la estructuración de la invalidez</w:t>
      </w:r>
      <w:r>
        <w:rPr>
          <w:rFonts w:ascii="Arial" w:hAnsi="Arial" w:cs="Arial"/>
          <w:sz w:val="20"/>
          <w:szCs w:val="20"/>
          <w:lang w:val="es-419"/>
        </w:rPr>
        <w:t>…</w:t>
      </w:r>
    </w:p>
    <w:p w14:paraId="1B4B94E2" w14:textId="3D9B665D" w:rsidR="00DB3F4B" w:rsidRDefault="00DB3F4B" w:rsidP="00B43216">
      <w:pPr>
        <w:jc w:val="both"/>
        <w:rPr>
          <w:rFonts w:ascii="Arial" w:hAnsi="Arial" w:cs="Arial"/>
          <w:sz w:val="20"/>
          <w:szCs w:val="20"/>
          <w:lang w:val="es-419"/>
        </w:rPr>
      </w:pPr>
    </w:p>
    <w:p w14:paraId="0DB2C379" w14:textId="1644AC12" w:rsidR="00DB3F4B" w:rsidRPr="00281CBF" w:rsidRDefault="00447B37" w:rsidP="00B43216">
      <w:pPr>
        <w:jc w:val="both"/>
        <w:rPr>
          <w:rFonts w:ascii="Arial" w:hAnsi="Arial" w:cs="Arial"/>
          <w:sz w:val="20"/>
          <w:szCs w:val="20"/>
          <w:lang w:val="es-419"/>
        </w:rPr>
      </w:pPr>
      <w:r w:rsidRPr="00447B37">
        <w:rPr>
          <w:rFonts w:ascii="Arial" w:hAnsi="Arial" w:cs="Arial"/>
          <w:sz w:val="20"/>
          <w:szCs w:val="20"/>
          <w:lang w:val="es-419"/>
        </w:rPr>
        <w:t>Atendiendo la interpretación que tuvo la Corte Constitucional sobre la materia, la cual resulta más favorable para el beneficiario, es posible el salto de la Ley 797 de 2003 al Acuerdo 049 de 1990, en la medida en que el artículo 53 de la Constitución no restringe la aplicación de la condición más beneficiosa a sólo dos normas aplicables al caso. En ese sentido, el presente asunto puede analizarse a la luz del aludido acuerdo, que si bien no es la norma inmediatamente anterior, se acompasa al precedente del Tribunal Constitucional</w:t>
      </w:r>
      <w:r>
        <w:rPr>
          <w:rFonts w:ascii="Arial" w:hAnsi="Arial" w:cs="Arial"/>
          <w:sz w:val="20"/>
          <w:szCs w:val="20"/>
          <w:lang w:val="es-419"/>
        </w:rPr>
        <w:t>…</w:t>
      </w:r>
    </w:p>
    <w:p w14:paraId="47B70D4A" w14:textId="77777777" w:rsidR="00B43216" w:rsidRPr="00281CBF" w:rsidRDefault="00B43216" w:rsidP="00B43216">
      <w:pPr>
        <w:jc w:val="both"/>
        <w:rPr>
          <w:rFonts w:ascii="Arial" w:hAnsi="Arial" w:cs="Arial"/>
          <w:sz w:val="20"/>
          <w:szCs w:val="20"/>
          <w:lang w:val="es-419"/>
        </w:rPr>
      </w:pPr>
    </w:p>
    <w:p w14:paraId="5485B3D6" w14:textId="03B2140C" w:rsidR="00B43216" w:rsidRPr="00281CBF" w:rsidRDefault="00447B37" w:rsidP="00B43216">
      <w:pPr>
        <w:jc w:val="both"/>
        <w:rPr>
          <w:rFonts w:ascii="Arial" w:hAnsi="Arial" w:cs="Arial"/>
          <w:sz w:val="20"/>
          <w:szCs w:val="20"/>
          <w:lang w:val="es-419"/>
        </w:rPr>
      </w:pPr>
      <w:r w:rsidRPr="00447B37">
        <w:rPr>
          <w:rFonts w:ascii="Arial" w:hAnsi="Arial" w:cs="Arial"/>
          <w:sz w:val="20"/>
          <w:szCs w:val="20"/>
          <w:lang w:val="es-419"/>
        </w:rPr>
        <w:t>Sin embargo, en sentencia SU-005 de 2018, la Corte Constitucional modificó su precedente y condicionó la procedencia de la acción de tutela para conceder la pensión de sobrevivientes consagrada en el Acuerdo 049 de 1990, en aplicación del principio de la condición más beneficiosa, siempre que se evidencie que: i) el accionante pertenece a un grupo de especial protección constitucional</w:t>
      </w:r>
      <w:r>
        <w:rPr>
          <w:rFonts w:ascii="Arial" w:hAnsi="Arial" w:cs="Arial"/>
          <w:sz w:val="20"/>
          <w:szCs w:val="20"/>
          <w:lang w:val="es-419"/>
        </w:rPr>
        <w:t>…</w:t>
      </w:r>
      <w:r w:rsidRPr="00447B37">
        <w:rPr>
          <w:rFonts w:ascii="Arial" w:hAnsi="Arial" w:cs="Arial"/>
          <w:sz w:val="20"/>
          <w:szCs w:val="20"/>
          <w:lang w:val="es-419"/>
        </w:rPr>
        <w:t>; ii) que el no reconocimiento de la prestación afecta su mínimo vital; iii) la dependencia económica hacia el causante; iv) la imposibilidad del causante de cotizar las semanas exigidas en el sistema de pensiones y, v) la actuación diligente del accionante para reclamar la pensión</w:t>
      </w:r>
      <w:r>
        <w:rPr>
          <w:rFonts w:ascii="Arial" w:hAnsi="Arial" w:cs="Arial"/>
          <w:sz w:val="20"/>
          <w:szCs w:val="20"/>
          <w:lang w:val="es-419"/>
        </w:rPr>
        <w:t>…</w:t>
      </w:r>
    </w:p>
    <w:p w14:paraId="2850FE6C" w14:textId="77777777" w:rsidR="00B43216" w:rsidRPr="00281CBF" w:rsidRDefault="00B43216" w:rsidP="00B43216">
      <w:pPr>
        <w:jc w:val="both"/>
        <w:rPr>
          <w:rFonts w:ascii="Arial" w:hAnsi="Arial" w:cs="Arial"/>
          <w:sz w:val="20"/>
          <w:szCs w:val="20"/>
          <w:lang w:val="es-419"/>
        </w:rPr>
      </w:pPr>
    </w:p>
    <w:p w14:paraId="463D3B5E" w14:textId="1426D70E" w:rsidR="00B43216" w:rsidRDefault="008D04B3" w:rsidP="00B43216">
      <w:pPr>
        <w:jc w:val="both"/>
        <w:rPr>
          <w:rFonts w:ascii="Arial" w:hAnsi="Arial" w:cs="Arial"/>
          <w:sz w:val="20"/>
          <w:szCs w:val="20"/>
          <w:lang w:val="es-419"/>
        </w:rPr>
      </w:pPr>
      <w:r w:rsidRPr="008D04B3">
        <w:rPr>
          <w:rFonts w:ascii="Arial" w:hAnsi="Arial" w:cs="Arial"/>
          <w:sz w:val="20"/>
          <w:szCs w:val="20"/>
          <w:lang w:val="es-419"/>
        </w:rPr>
        <w:t>Por su parte, la Sala de Casación Civil de la Corte Suprema de Justicia también avaló la aplicación del principio de condición más beneficiosa acudiendo a una norma pretérita que no necesariamente es la inmediatamente anterior</w:t>
      </w:r>
      <w:r w:rsidR="005A4456">
        <w:rPr>
          <w:rFonts w:ascii="Arial" w:hAnsi="Arial" w:cs="Arial"/>
          <w:sz w:val="20"/>
          <w:szCs w:val="20"/>
          <w:lang w:val="es-419"/>
        </w:rPr>
        <w:t xml:space="preserve">. </w:t>
      </w:r>
      <w:r w:rsidR="005A4456" w:rsidRPr="005A4456">
        <w:rPr>
          <w:rFonts w:ascii="Arial" w:hAnsi="Arial" w:cs="Arial"/>
          <w:sz w:val="20"/>
          <w:szCs w:val="20"/>
          <w:lang w:val="es-419"/>
        </w:rPr>
        <w:t>Así lo sostuvo en la sentencia de tutela del 20 de noviembre de 2020, STC10214-2020</w:t>
      </w:r>
      <w:r>
        <w:rPr>
          <w:rFonts w:ascii="Arial" w:hAnsi="Arial" w:cs="Arial"/>
          <w:sz w:val="20"/>
          <w:szCs w:val="20"/>
          <w:lang w:val="es-419"/>
        </w:rPr>
        <w:t>…</w:t>
      </w:r>
    </w:p>
    <w:p w14:paraId="5B4CF08C" w14:textId="31B5023A" w:rsidR="008D04B3" w:rsidRDefault="008D04B3" w:rsidP="00B43216">
      <w:pPr>
        <w:jc w:val="both"/>
        <w:rPr>
          <w:rFonts w:ascii="Arial" w:hAnsi="Arial" w:cs="Arial"/>
          <w:sz w:val="20"/>
          <w:szCs w:val="20"/>
          <w:lang w:val="es-419"/>
        </w:rPr>
      </w:pPr>
    </w:p>
    <w:p w14:paraId="733069C0" w14:textId="77777777" w:rsidR="008D04B3" w:rsidRPr="008D04B3" w:rsidRDefault="008D04B3" w:rsidP="008D04B3">
      <w:pPr>
        <w:jc w:val="both"/>
        <w:rPr>
          <w:rFonts w:ascii="Arial" w:hAnsi="Arial" w:cs="Arial"/>
          <w:sz w:val="20"/>
          <w:szCs w:val="20"/>
          <w:lang w:val="es-419"/>
        </w:rPr>
      </w:pPr>
      <w:r w:rsidRPr="008D04B3">
        <w:rPr>
          <w:rFonts w:ascii="Arial" w:hAnsi="Arial" w:cs="Arial"/>
          <w:sz w:val="20"/>
          <w:szCs w:val="20"/>
          <w:lang w:val="es-419"/>
        </w:rPr>
        <w:t>Como pilar fundamental de la providencia en comento, la Corte Suprema se refirió al principio de In dubio Pro Operario en los siguientes términos:</w:t>
      </w:r>
    </w:p>
    <w:p w14:paraId="2355EC74" w14:textId="77777777" w:rsidR="008D04B3" w:rsidRPr="008D04B3" w:rsidRDefault="008D04B3" w:rsidP="008D04B3">
      <w:pPr>
        <w:jc w:val="both"/>
        <w:rPr>
          <w:rFonts w:ascii="Arial" w:hAnsi="Arial" w:cs="Arial"/>
          <w:sz w:val="20"/>
          <w:szCs w:val="20"/>
          <w:lang w:val="es-419"/>
        </w:rPr>
      </w:pPr>
      <w:bookmarkStart w:id="3" w:name="_GoBack"/>
      <w:bookmarkEnd w:id="3"/>
    </w:p>
    <w:p w14:paraId="08233CF8" w14:textId="12771439" w:rsidR="008D04B3" w:rsidRDefault="008D04B3" w:rsidP="008D04B3">
      <w:pPr>
        <w:jc w:val="both"/>
        <w:rPr>
          <w:rFonts w:ascii="Arial" w:hAnsi="Arial" w:cs="Arial"/>
          <w:sz w:val="20"/>
          <w:szCs w:val="20"/>
          <w:lang w:val="es-419"/>
        </w:rPr>
      </w:pPr>
      <w:r w:rsidRPr="008D04B3">
        <w:rPr>
          <w:rFonts w:ascii="Arial" w:hAnsi="Arial" w:cs="Arial"/>
          <w:sz w:val="20"/>
          <w:szCs w:val="20"/>
          <w:lang w:val="es-419"/>
        </w:rPr>
        <w:t>“Igualmente, la jurisprudencia constitucional también ha consignado que el juzgador ordinario debe efectuar la exegesis más garantista en esta temática, de acuerdo con el postulado universal del «in dubio pro operario»</w:t>
      </w:r>
      <w:r>
        <w:rPr>
          <w:rFonts w:ascii="Arial" w:hAnsi="Arial" w:cs="Arial"/>
          <w:sz w:val="20"/>
          <w:szCs w:val="20"/>
          <w:lang w:val="es-419"/>
        </w:rPr>
        <w:t xml:space="preserve"> …</w:t>
      </w:r>
    </w:p>
    <w:p w14:paraId="1114D468" w14:textId="77777777" w:rsidR="008D04B3" w:rsidRPr="00281CBF" w:rsidRDefault="008D04B3" w:rsidP="00B43216">
      <w:pPr>
        <w:jc w:val="both"/>
        <w:rPr>
          <w:rFonts w:ascii="Arial" w:hAnsi="Arial" w:cs="Arial"/>
          <w:sz w:val="20"/>
          <w:szCs w:val="20"/>
          <w:lang w:val="es-419"/>
        </w:rPr>
      </w:pPr>
    </w:p>
    <w:p w14:paraId="361B5F96" w14:textId="1487569C" w:rsidR="00B43216" w:rsidRPr="00281CBF" w:rsidRDefault="005A4456" w:rsidP="00B43216">
      <w:pPr>
        <w:jc w:val="both"/>
        <w:rPr>
          <w:rFonts w:ascii="Arial" w:hAnsi="Arial" w:cs="Arial"/>
          <w:sz w:val="20"/>
          <w:szCs w:val="20"/>
          <w:lang w:val="es-419"/>
        </w:rPr>
      </w:pPr>
      <w:r w:rsidRPr="005A4456">
        <w:rPr>
          <w:rFonts w:ascii="Arial" w:hAnsi="Arial" w:cs="Arial"/>
          <w:sz w:val="20"/>
          <w:szCs w:val="20"/>
          <w:lang w:val="es-419"/>
        </w:rPr>
        <w:t>Estos precedentes de la Corte Constitucional, contenido en la sentencia SU-442 del 18 de agosto de 2016 -sin el condicionamiento realizado en la sentencia SU-005 de 2018-  y la citada sentencia de la Sala de Casación Civil, han sido acogidos por esta Sala atendiendo precisamente uno de los principios pilares del Derecho laboral, como es el Principio Pro Operario, en virtud del cual se debe acoger la interpretación más favorable cuando existan dos o más interpretaciones frente a una misma fuente normativa</w:t>
      </w:r>
      <w:r>
        <w:rPr>
          <w:rFonts w:ascii="Arial" w:hAnsi="Arial" w:cs="Arial"/>
          <w:sz w:val="20"/>
          <w:szCs w:val="20"/>
          <w:lang w:val="es-419"/>
        </w:rPr>
        <w:t>…</w:t>
      </w:r>
    </w:p>
    <w:p w14:paraId="532EE08C" w14:textId="75BAAD8E" w:rsidR="00B43216" w:rsidRDefault="00B43216" w:rsidP="00B43216">
      <w:pPr>
        <w:jc w:val="both"/>
        <w:rPr>
          <w:rFonts w:ascii="Arial" w:hAnsi="Arial" w:cs="Arial"/>
          <w:sz w:val="20"/>
          <w:szCs w:val="20"/>
          <w:lang w:val="es-419"/>
        </w:rPr>
      </w:pPr>
    </w:p>
    <w:p w14:paraId="15A111E1" w14:textId="77777777" w:rsidR="008F381A" w:rsidRPr="00281CBF" w:rsidRDefault="008F381A" w:rsidP="00B43216">
      <w:pPr>
        <w:jc w:val="both"/>
        <w:rPr>
          <w:rFonts w:ascii="Arial" w:hAnsi="Arial" w:cs="Arial"/>
          <w:sz w:val="20"/>
          <w:szCs w:val="20"/>
          <w:lang w:val="es-419"/>
        </w:rPr>
      </w:pPr>
    </w:p>
    <w:bookmarkEnd w:id="1"/>
    <w:p w14:paraId="486939A5" w14:textId="77777777" w:rsidR="00B43216" w:rsidRPr="00281CBF" w:rsidRDefault="00B43216" w:rsidP="00B43216">
      <w:pPr>
        <w:jc w:val="both"/>
        <w:rPr>
          <w:rFonts w:ascii="Arial" w:hAnsi="Arial" w:cs="Arial"/>
          <w:sz w:val="20"/>
          <w:szCs w:val="20"/>
          <w:lang w:val="es-419"/>
        </w:rPr>
      </w:pPr>
    </w:p>
    <w:bookmarkEnd w:id="2"/>
    <w:p w14:paraId="1DD29841" w14:textId="77777777" w:rsidR="00766B8A" w:rsidRPr="00281CBF" w:rsidRDefault="00766B8A" w:rsidP="00281CBF">
      <w:pPr>
        <w:spacing w:line="276" w:lineRule="auto"/>
        <w:jc w:val="center"/>
        <w:textAlignment w:val="baseline"/>
        <w:rPr>
          <w:rFonts w:ascii="Tahoma" w:hAnsi="Tahoma" w:cs="Tahoma"/>
          <w:b/>
          <w:bCs/>
          <w:color w:val="000000"/>
          <w:lang w:eastAsia="es-CO"/>
        </w:rPr>
      </w:pPr>
      <w:r w:rsidRPr="00281CBF">
        <w:rPr>
          <w:rFonts w:ascii="Tahoma" w:hAnsi="Tahoma" w:cs="Tahoma"/>
          <w:b/>
          <w:bCs/>
          <w:color w:val="000000"/>
          <w:lang w:eastAsia="es-CO"/>
        </w:rPr>
        <w:t xml:space="preserve">TRIBUNAL SUPERIOR DEL DISTRITO JUDICIAL DE PEREIRA </w:t>
      </w:r>
    </w:p>
    <w:p w14:paraId="3327ACFD" w14:textId="261B8315" w:rsidR="00766B8A" w:rsidRPr="00281CBF" w:rsidRDefault="00766B8A" w:rsidP="00281CBF">
      <w:pPr>
        <w:spacing w:line="276" w:lineRule="auto"/>
        <w:jc w:val="center"/>
        <w:textAlignment w:val="baseline"/>
        <w:rPr>
          <w:rFonts w:ascii="Tahoma" w:hAnsi="Tahoma" w:cs="Tahoma"/>
          <w:lang w:val="es-CO" w:eastAsia="es-CO"/>
        </w:rPr>
      </w:pPr>
      <w:r w:rsidRPr="00281CBF">
        <w:rPr>
          <w:rFonts w:ascii="Tahoma" w:hAnsi="Tahoma" w:cs="Tahoma"/>
          <w:b/>
          <w:bCs/>
          <w:color w:val="000000"/>
          <w:lang w:eastAsia="es-CO"/>
        </w:rPr>
        <w:t xml:space="preserve">SALA </w:t>
      </w:r>
      <w:r w:rsidR="00795791" w:rsidRPr="00281CBF">
        <w:rPr>
          <w:rFonts w:ascii="Tahoma" w:hAnsi="Tahoma" w:cs="Tahoma"/>
          <w:b/>
          <w:bCs/>
          <w:color w:val="000000"/>
          <w:lang w:eastAsia="es-CO"/>
        </w:rPr>
        <w:t>PRIMERA</w:t>
      </w:r>
      <w:r w:rsidR="000139C8" w:rsidRPr="00281CBF">
        <w:rPr>
          <w:rFonts w:ascii="Tahoma" w:hAnsi="Tahoma" w:cs="Tahoma"/>
          <w:b/>
          <w:bCs/>
          <w:color w:val="000000"/>
          <w:lang w:eastAsia="es-CO"/>
        </w:rPr>
        <w:t xml:space="preserve"> </w:t>
      </w:r>
      <w:r w:rsidRPr="00281CBF">
        <w:rPr>
          <w:rFonts w:ascii="Tahoma" w:hAnsi="Tahoma" w:cs="Tahoma"/>
          <w:b/>
          <w:bCs/>
          <w:color w:val="000000"/>
          <w:lang w:eastAsia="es-CO"/>
        </w:rPr>
        <w:t xml:space="preserve">DE DECISION LABORAL </w:t>
      </w:r>
      <w:r w:rsidRPr="00281CBF">
        <w:rPr>
          <w:rFonts w:ascii="Tahoma" w:hAnsi="Tahoma" w:cs="Tahoma"/>
          <w:color w:val="000000"/>
          <w:lang w:val="es-CO" w:eastAsia="es-CO"/>
        </w:rPr>
        <w:t> </w:t>
      </w:r>
    </w:p>
    <w:p w14:paraId="1424224E" w14:textId="77777777" w:rsidR="00766B8A" w:rsidRPr="00281CBF" w:rsidRDefault="00766B8A" w:rsidP="00281CBF">
      <w:pPr>
        <w:pStyle w:val="Sinespaciado"/>
        <w:spacing w:line="276" w:lineRule="auto"/>
        <w:rPr>
          <w:rFonts w:ascii="Tahoma" w:hAnsi="Tahoma" w:cs="Tahoma"/>
          <w:lang w:val="es-CO" w:eastAsia="es-CO"/>
        </w:rPr>
      </w:pPr>
      <w:r w:rsidRPr="00281CBF">
        <w:rPr>
          <w:rFonts w:ascii="Tahoma" w:hAnsi="Tahoma" w:cs="Tahoma"/>
          <w:lang w:val="es-CO" w:eastAsia="es-CO"/>
        </w:rPr>
        <w:t> </w:t>
      </w:r>
    </w:p>
    <w:p w14:paraId="4944CD3F" w14:textId="77777777" w:rsidR="00766B8A" w:rsidRPr="00281CBF" w:rsidRDefault="00766B8A" w:rsidP="00281CBF">
      <w:pPr>
        <w:spacing w:line="276" w:lineRule="auto"/>
        <w:jc w:val="center"/>
        <w:textAlignment w:val="baseline"/>
        <w:rPr>
          <w:rFonts w:ascii="Tahoma" w:hAnsi="Tahoma" w:cs="Tahoma"/>
          <w:lang w:val="es-CO" w:eastAsia="es-CO"/>
        </w:rPr>
      </w:pPr>
      <w:r w:rsidRPr="00281CBF">
        <w:rPr>
          <w:rFonts w:ascii="Tahoma" w:hAnsi="Tahoma" w:cs="Tahoma"/>
          <w:color w:val="000000"/>
          <w:lang w:eastAsia="es-CO"/>
        </w:rPr>
        <w:t>Magistrada Ponente: </w:t>
      </w:r>
      <w:r w:rsidRPr="00281CBF">
        <w:rPr>
          <w:rFonts w:ascii="Tahoma" w:hAnsi="Tahoma" w:cs="Tahoma"/>
          <w:b/>
          <w:bCs/>
          <w:color w:val="000000"/>
          <w:lang w:eastAsia="es-CO"/>
        </w:rPr>
        <w:t>Ana Lucía Caicedo Calderón</w:t>
      </w:r>
      <w:r w:rsidRPr="00281CBF">
        <w:rPr>
          <w:rFonts w:ascii="Tahoma" w:hAnsi="Tahoma" w:cs="Tahoma"/>
          <w:color w:val="000000"/>
          <w:lang w:val="es-CO" w:eastAsia="es-CO"/>
        </w:rPr>
        <w:t> </w:t>
      </w:r>
    </w:p>
    <w:p w14:paraId="6F82CB97" w14:textId="77777777" w:rsidR="00766B8A" w:rsidRPr="00281CBF" w:rsidRDefault="00766B8A" w:rsidP="00281CBF">
      <w:pPr>
        <w:spacing w:line="276" w:lineRule="auto"/>
        <w:jc w:val="center"/>
        <w:textAlignment w:val="baseline"/>
        <w:rPr>
          <w:rFonts w:ascii="Tahoma" w:hAnsi="Tahoma" w:cs="Tahoma"/>
          <w:lang w:val="es-CO" w:eastAsia="es-CO"/>
        </w:rPr>
      </w:pPr>
      <w:r w:rsidRPr="00281CBF">
        <w:rPr>
          <w:rFonts w:ascii="Tahoma" w:hAnsi="Tahoma" w:cs="Tahoma"/>
          <w:color w:val="000000"/>
          <w:lang w:val="es-CO" w:eastAsia="es-CO"/>
        </w:rPr>
        <w:t> </w:t>
      </w:r>
    </w:p>
    <w:p w14:paraId="3E6D147C" w14:textId="2F65A9EF" w:rsidR="00362ED1" w:rsidRPr="00281CBF" w:rsidRDefault="00362ED1" w:rsidP="00281CBF">
      <w:pPr>
        <w:spacing w:line="276" w:lineRule="auto"/>
        <w:mirrorIndents/>
        <w:jc w:val="center"/>
        <w:rPr>
          <w:rFonts w:ascii="Tahoma" w:hAnsi="Tahoma" w:cs="Tahoma"/>
          <w:lang w:val="es-CO"/>
        </w:rPr>
      </w:pPr>
      <w:r w:rsidRPr="00281CBF">
        <w:rPr>
          <w:rFonts w:ascii="Tahoma" w:hAnsi="Tahoma" w:cs="Tahoma"/>
        </w:rPr>
        <w:t>Pereira, Risaralda, quince (15) de mayo de dos mil veintitrés (2023)  </w:t>
      </w:r>
    </w:p>
    <w:p w14:paraId="79B7BF9F" w14:textId="02702D46" w:rsidR="00362ED1" w:rsidRPr="00281CBF" w:rsidRDefault="00362ED1" w:rsidP="00281CBF">
      <w:pPr>
        <w:spacing w:line="276" w:lineRule="auto"/>
        <w:mirrorIndents/>
        <w:jc w:val="center"/>
        <w:rPr>
          <w:rFonts w:ascii="Tahoma" w:hAnsi="Tahoma" w:cs="Tahoma"/>
        </w:rPr>
      </w:pPr>
      <w:r w:rsidRPr="00281CBF">
        <w:rPr>
          <w:rFonts w:ascii="Tahoma" w:hAnsi="Tahoma" w:cs="Tahoma"/>
        </w:rPr>
        <w:t> Acta No. </w:t>
      </w:r>
      <w:r w:rsidR="5F62FECF" w:rsidRPr="00281CBF">
        <w:rPr>
          <w:rFonts w:ascii="Tahoma" w:hAnsi="Tahoma" w:cs="Tahoma"/>
        </w:rPr>
        <w:t>75</w:t>
      </w:r>
      <w:r w:rsidRPr="00281CBF">
        <w:rPr>
          <w:rFonts w:ascii="Tahoma" w:hAnsi="Tahoma" w:cs="Tahoma"/>
        </w:rPr>
        <w:t xml:space="preserve"> del 1</w:t>
      </w:r>
      <w:r w:rsidR="253F1502" w:rsidRPr="00281CBF">
        <w:rPr>
          <w:rFonts w:ascii="Tahoma" w:hAnsi="Tahoma" w:cs="Tahoma"/>
        </w:rPr>
        <w:t>2</w:t>
      </w:r>
      <w:r w:rsidRPr="00281CBF">
        <w:rPr>
          <w:rFonts w:ascii="Tahoma" w:hAnsi="Tahoma" w:cs="Tahoma"/>
        </w:rPr>
        <w:t xml:space="preserve"> de mayo de 2023 </w:t>
      </w:r>
    </w:p>
    <w:p w14:paraId="65DD6587" w14:textId="059B04F2" w:rsidR="00592B15" w:rsidRPr="00281CBF" w:rsidRDefault="003A3BBB" w:rsidP="00281CBF">
      <w:pPr>
        <w:pStyle w:val="Sinespaciado"/>
        <w:spacing w:line="276" w:lineRule="auto"/>
        <w:rPr>
          <w:rFonts w:ascii="Tahoma" w:hAnsi="Tahoma" w:cs="Tahoma"/>
        </w:rPr>
      </w:pPr>
      <w:r w:rsidRPr="00281CBF">
        <w:rPr>
          <w:rFonts w:ascii="Tahoma" w:hAnsi="Tahoma" w:cs="Tahoma"/>
        </w:rPr>
        <w:lastRenderedPageBreak/>
        <w:tab/>
      </w:r>
      <w:r w:rsidR="004052FE" w:rsidRPr="00281CBF">
        <w:rPr>
          <w:rFonts w:ascii="Tahoma" w:hAnsi="Tahoma" w:cs="Tahoma"/>
        </w:rPr>
        <w:t xml:space="preserve"> </w:t>
      </w:r>
    </w:p>
    <w:p w14:paraId="27197582" w14:textId="77777777" w:rsidR="00856CDB" w:rsidRPr="00281CBF" w:rsidRDefault="00856CDB" w:rsidP="00281CBF">
      <w:pPr>
        <w:pStyle w:val="Sinespaciado"/>
        <w:spacing w:line="276" w:lineRule="auto"/>
        <w:rPr>
          <w:rFonts w:ascii="Tahoma" w:hAnsi="Tahoma" w:cs="Tahoma"/>
        </w:rPr>
      </w:pPr>
    </w:p>
    <w:p w14:paraId="2881D8D4" w14:textId="04115A2A" w:rsidR="008A4EEE" w:rsidRPr="006C474A" w:rsidRDefault="00E32AAE" w:rsidP="00281CBF">
      <w:pPr>
        <w:pStyle w:val="paragraph"/>
        <w:spacing w:before="0" w:beforeAutospacing="0" w:after="0" w:afterAutospacing="0" w:line="276" w:lineRule="auto"/>
        <w:ind w:firstLine="720"/>
        <w:jc w:val="both"/>
        <w:textAlignment w:val="baseline"/>
        <w:rPr>
          <w:rStyle w:val="normaltextrun"/>
          <w:rFonts w:ascii="Tahoma" w:hAnsi="Tahoma" w:cs="Tahoma"/>
          <w:b/>
          <w:bCs/>
          <w:spacing w:val="-2"/>
          <w:lang w:val="es-ES"/>
        </w:rPr>
      </w:pPr>
      <w:r w:rsidRPr="006C474A">
        <w:rPr>
          <w:rStyle w:val="normaltextrun"/>
          <w:rFonts w:ascii="Tahoma" w:hAnsi="Tahoma" w:cs="Tahoma"/>
          <w:color w:val="000000"/>
          <w:spacing w:val="-2"/>
          <w:shd w:val="clear" w:color="auto" w:fill="FFFFFF"/>
          <w:lang w:val="es-ES"/>
        </w:rPr>
        <w:t>Teniendo en cuenta que el artículo 15 del Decreto No. 806 del 4 de junio de 2020,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w:t>
      </w:r>
      <w:bookmarkStart w:id="4" w:name="_Hlk107745858"/>
      <w:r w:rsidRPr="006C474A">
        <w:rPr>
          <w:rStyle w:val="normaltextrun"/>
          <w:rFonts w:ascii="Tahoma" w:hAnsi="Tahoma" w:cs="Tahoma"/>
          <w:color w:val="000000"/>
          <w:spacing w:val="-2"/>
          <w:shd w:val="clear" w:color="auto" w:fill="FFFFFF"/>
          <w:lang w:val="es-ES"/>
        </w:rPr>
        <w:t>GÓEZ</w:t>
      </w:r>
      <w:bookmarkEnd w:id="4"/>
      <w:r w:rsidRPr="006C474A">
        <w:rPr>
          <w:rStyle w:val="normaltextrun"/>
          <w:rFonts w:ascii="Tahoma" w:hAnsi="Tahoma" w:cs="Tahoma"/>
          <w:color w:val="000000"/>
          <w:spacing w:val="-2"/>
          <w:shd w:val="clear" w:color="auto" w:fill="FFFFFF"/>
          <w:lang w:val="es-ES"/>
        </w:rPr>
        <w:t> VINASCO</w:t>
      </w:r>
      <w:r w:rsidRPr="006C474A">
        <w:rPr>
          <w:rStyle w:val="normaltextrun"/>
          <w:rFonts w:ascii="Tahoma" w:hAnsi="Tahoma" w:cs="Tahoma"/>
          <w:spacing w:val="-2"/>
          <w:lang w:val="es-ES"/>
        </w:rPr>
        <w:t xml:space="preserve">, procede a proferir la siguiente sentencia escrita dentro del proceso </w:t>
      </w:r>
      <w:r w:rsidRPr="006C474A">
        <w:rPr>
          <w:rStyle w:val="normaltextrun"/>
          <w:rFonts w:ascii="Tahoma" w:hAnsi="Tahoma" w:cs="Tahoma"/>
          <w:b/>
          <w:spacing w:val="-2"/>
          <w:lang w:val="es-ES"/>
        </w:rPr>
        <w:t>ordinario laboral</w:t>
      </w:r>
      <w:r w:rsidRPr="006C474A">
        <w:rPr>
          <w:rStyle w:val="normaltextrun"/>
          <w:rFonts w:ascii="Tahoma" w:hAnsi="Tahoma" w:cs="Tahoma"/>
          <w:spacing w:val="-2"/>
          <w:lang w:val="es-ES"/>
        </w:rPr>
        <w:t xml:space="preserve"> instaurado por </w:t>
      </w:r>
      <w:r w:rsidR="00281CBF" w:rsidRPr="006C474A">
        <w:rPr>
          <w:rFonts w:ascii="Tahoma" w:hAnsi="Tahoma" w:cs="Tahoma"/>
          <w:b/>
          <w:spacing w:val="-2"/>
          <w:lang w:val="es-ES"/>
        </w:rPr>
        <w:t>César Augusto García Quintero</w:t>
      </w:r>
      <w:r w:rsidR="00281CBF" w:rsidRPr="006C474A">
        <w:rPr>
          <w:rStyle w:val="normaltextrun"/>
          <w:rFonts w:ascii="Tahoma" w:hAnsi="Tahoma" w:cs="Tahoma"/>
          <w:b/>
          <w:spacing w:val="-2"/>
          <w:lang w:val="es-ES"/>
        </w:rPr>
        <w:t xml:space="preserve"> </w:t>
      </w:r>
      <w:r w:rsidRPr="006C474A">
        <w:rPr>
          <w:rStyle w:val="normaltextrun"/>
          <w:rFonts w:ascii="Tahoma" w:hAnsi="Tahoma" w:cs="Tahoma"/>
          <w:spacing w:val="-2"/>
          <w:lang w:val="es-ES"/>
        </w:rPr>
        <w:t xml:space="preserve">en contra de </w:t>
      </w:r>
      <w:r w:rsidR="00281CBF" w:rsidRPr="006C474A">
        <w:rPr>
          <w:rStyle w:val="normaltextrun"/>
          <w:rFonts w:ascii="Tahoma" w:hAnsi="Tahoma" w:cs="Tahoma"/>
          <w:bCs/>
          <w:spacing w:val="-2"/>
          <w:lang w:val="es-ES"/>
        </w:rPr>
        <w:t>la</w:t>
      </w:r>
      <w:r w:rsidR="00281CBF" w:rsidRPr="006C474A">
        <w:rPr>
          <w:rStyle w:val="normaltextrun"/>
          <w:rFonts w:ascii="Tahoma" w:hAnsi="Tahoma" w:cs="Tahoma"/>
          <w:b/>
          <w:bCs/>
          <w:spacing w:val="-2"/>
          <w:lang w:val="es-ES"/>
        </w:rPr>
        <w:t xml:space="preserve"> Administradora Colombiana de Pensiones –</w:t>
      </w:r>
      <w:r w:rsidR="00362ED1" w:rsidRPr="006C474A">
        <w:rPr>
          <w:rStyle w:val="normaltextrun"/>
          <w:rFonts w:ascii="Tahoma" w:hAnsi="Tahoma" w:cs="Tahoma"/>
          <w:b/>
          <w:bCs/>
          <w:spacing w:val="-2"/>
          <w:lang w:val="es-ES"/>
        </w:rPr>
        <w:t xml:space="preserve"> COLPENSIONES.</w:t>
      </w:r>
    </w:p>
    <w:p w14:paraId="0BF939B9" w14:textId="77777777" w:rsidR="00592B15" w:rsidRPr="006C474A" w:rsidRDefault="00592B15" w:rsidP="00281CBF">
      <w:pPr>
        <w:pStyle w:val="Sinespaciado"/>
        <w:spacing w:line="276" w:lineRule="auto"/>
        <w:rPr>
          <w:rFonts w:ascii="Tahoma" w:hAnsi="Tahoma" w:cs="Tahoma"/>
          <w:spacing w:val="-2"/>
        </w:rPr>
      </w:pPr>
    </w:p>
    <w:p w14:paraId="3864ECFF" w14:textId="116C4FF4" w:rsidR="00766B8A" w:rsidRPr="006C474A" w:rsidRDefault="00766B8A" w:rsidP="00281CBF">
      <w:pPr>
        <w:pStyle w:val="paragraph"/>
        <w:spacing w:before="0" w:beforeAutospacing="0" w:after="0" w:afterAutospacing="0" w:line="276" w:lineRule="auto"/>
        <w:jc w:val="center"/>
        <w:textAlignment w:val="baseline"/>
        <w:rPr>
          <w:rStyle w:val="normaltextrun"/>
          <w:rFonts w:ascii="Tahoma" w:hAnsi="Tahoma" w:cs="Tahoma"/>
          <w:b/>
          <w:bCs/>
          <w:color w:val="000000"/>
          <w:spacing w:val="-2"/>
          <w:lang w:val="es-ES"/>
        </w:rPr>
      </w:pPr>
      <w:r w:rsidRPr="006C474A">
        <w:rPr>
          <w:rStyle w:val="normaltextrun"/>
          <w:rFonts w:ascii="Tahoma" w:hAnsi="Tahoma" w:cs="Tahoma"/>
          <w:b/>
          <w:bCs/>
          <w:color w:val="000000"/>
          <w:spacing w:val="-2"/>
          <w:lang w:val="es-ES"/>
        </w:rPr>
        <w:t>PUNTO A TRATAR</w:t>
      </w:r>
    </w:p>
    <w:p w14:paraId="12E4D180" w14:textId="77777777" w:rsidR="00766B8A" w:rsidRPr="006C474A" w:rsidRDefault="00766B8A" w:rsidP="00281CBF">
      <w:pPr>
        <w:pStyle w:val="Sinespaciado"/>
        <w:spacing w:line="276" w:lineRule="auto"/>
        <w:rPr>
          <w:rFonts w:ascii="Tahoma" w:eastAsia="Tahoma" w:hAnsi="Tahoma" w:cs="Tahoma"/>
          <w:spacing w:val="-2"/>
        </w:rPr>
      </w:pPr>
    </w:p>
    <w:p w14:paraId="6F45CD53" w14:textId="5A96EAD1" w:rsidR="00766B8A" w:rsidRPr="006C474A" w:rsidRDefault="00766B8A" w:rsidP="00281CBF">
      <w:pPr>
        <w:spacing w:line="276" w:lineRule="auto"/>
        <w:ind w:firstLine="708"/>
        <w:jc w:val="both"/>
        <w:rPr>
          <w:rStyle w:val="eop"/>
          <w:rFonts w:ascii="Tahoma" w:hAnsi="Tahoma" w:cs="Tahoma"/>
          <w:spacing w:val="-2"/>
        </w:rPr>
      </w:pPr>
      <w:r w:rsidRPr="006C474A">
        <w:rPr>
          <w:rStyle w:val="normaltextrun"/>
          <w:rFonts w:ascii="Tahoma" w:hAnsi="Tahoma" w:cs="Tahoma"/>
          <w:spacing w:val="-2"/>
        </w:rPr>
        <w:t>Por medio de esta providencia procede la Sala a</w:t>
      </w:r>
      <w:r w:rsidRPr="006C474A">
        <w:rPr>
          <w:rFonts w:ascii="Tahoma" w:hAnsi="Tahoma" w:cs="Tahoma"/>
          <w:spacing w:val="-2"/>
        </w:rPr>
        <w:t xml:space="preserve"> </w:t>
      </w:r>
      <w:r w:rsidR="00C23E38" w:rsidRPr="006C474A">
        <w:rPr>
          <w:rFonts w:ascii="Tahoma" w:hAnsi="Tahoma" w:cs="Tahoma"/>
          <w:spacing w:val="-2"/>
        </w:rPr>
        <w:t>re</w:t>
      </w:r>
      <w:r w:rsidR="00887331" w:rsidRPr="006C474A">
        <w:rPr>
          <w:rFonts w:ascii="Tahoma" w:hAnsi="Tahoma" w:cs="Tahoma"/>
          <w:spacing w:val="-2"/>
        </w:rPr>
        <w:t>solver</w:t>
      </w:r>
      <w:r w:rsidR="00592B15" w:rsidRPr="006C474A">
        <w:rPr>
          <w:rFonts w:ascii="Tahoma" w:hAnsi="Tahoma" w:cs="Tahoma"/>
          <w:spacing w:val="-2"/>
        </w:rPr>
        <w:t xml:space="preserve"> e</w:t>
      </w:r>
      <w:r w:rsidR="00FC3D2F" w:rsidRPr="006C474A">
        <w:rPr>
          <w:rFonts w:ascii="Tahoma" w:hAnsi="Tahoma" w:cs="Tahoma"/>
          <w:spacing w:val="-2"/>
        </w:rPr>
        <w:t>l recurso de apelación presentado</w:t>
      </w:r>
      <w:r w:rsidR="008734B7" w:rsidRPr="006C474A">
        <w:rPr>
          <w:rFonts w:ascii="Tahoma" w:hAnsi="Tahoma" w:cs="Tahoma"/>
          <w:spacing w:val="-2"/>
        </w:rPr>
        <w:t xml:space="preserve"> por </w:t>
      </w:r>
      <w:r w:rsidR="003A5533" w:rsidRPr="006C474A">
        <w:rPr>
          <w:rFonts w:ascii="Tahoma" w:hAnsi="Tahoma" w:cs="Tahoma"/>
          <w:spacing w:val="-2"/>
        </w:rPr>
        <w:t xml:space="preserve">el </w:t>
      </w:r>
      <w:r w:rsidR="008734B7" w:rsidRPr="006C474A">
        <w:rPr>
          <w:rFonts w:ascii="Tahoma" w:hAnsi="Tahoma" w:cs="Tahoma"/>
          <w:spacing w:val="-2"/>
        </w:rPr>
        <w:t>demandante</w:t>
      </w:r>
      <w:r w:rsidR="00592B15" w:rsidRPr="006C474A">
        <w:rPr>
          <w:rFonts w:ascii="Tahoma" w:hAnsi="Tahoma" w:cs="Tahoma"/>
          <w:spacing w:val="-2"/>
        </w:rPr>
        <w:t xml:space="preserve"> </w:t>
      </w:r>
      <w:r w:rsidR="008734B7" w:rsidRPr="006C474A">
        <w:rPr>
          <w:rFonts w:ascii="Tahoma" w:hAnsi="Tahoma" w:cs="Tahoma"/>
          <w:spacing w:val="-2"/>
        </w:rPr>
        <w:t xml:space="preserve">en contra de la sentencia proferida por el </w:t>
      </w:r>
      <w:r w:rsidR="008734B7" w:rsidRPr="006C474A">
        <w:rPr>
          <w:rFonts w:ascii="Tahoma" w:hAnsi="Tahoma" w:cs="Tahoma"/>
          <w:spacing w:val="-2"/>
          <w:lang w:val="es-CO"/>
        </w:rPr>
        <w:t xml:space="preserve">Juzgado </w:t>
      </w:r>
      <w:r w:rsidR="00592B15" w:rsidRPr="006C474A">
        <w:rPr>
          <w:rFonts w:ascii="Tahoma" w:hAnsi="Tahoma" w:cs="Tahoma"/>
          <w:spacing w:val="-2"/>
          <w:lang w:val="es-CO"/>
        </w:rPr>
        <w:t xml:space="preserve">Segundo </w:t>
      </w:r>
      <w:r w:rsidR="008734B7" w:rsidRPr="006C474A">
        <w:rPr>
          <w:rFonts w:ascii="Tahoma" w:hAnsi="Tahoma" w:cs="Tahoma"/>
          <w:spacing w:val="-2"/>
          <w:lang w:val="es-CO"/>
        </w:rPr>
        <w:t>Laboral del Circuito</w:t>
      </w:r>
      <w:r w:rsidR="001E75D8" w:rsidRPr="006C474A">
        <w:rPr>
          <w:rFonts w:ascii="Tahoma" w:hAnsi="Tahoma" w:cs="Tahoma"/>
          <w:spacing w:val="-2"/>
          <w:lang w:val="es-CO"/>
        </w:rPr>
        <w:t xml:space="preserve"> de Pereira</w:t>
      </w:r>
      <w:r w:rsidR="008734B7" w:rsidRPr="006C474A">
        <w:rPr>
          <w:rFonts w:ascii="Tahoma" w:hAnsi="Tahoma" w:cs="Tahoma"/>
          <w:spacing w:val="-2"/>
          <w:lang w:val="es-CO"/>
        </w:rPr>
        <w:t xml:space="preserve"> el</w:t>
      </w:r>
      <w:r w:rsidR="001E75D8" w:rsidRPr="006C474A">
        <w:rPr>
          <w:rFonts w:ascii="Tahoma" w:hAnsi="Tahoma" w:cs="Tahoma"/>
          <w:spacing w:val="-2"/>
          <w:lang w:val="es-CO"/>
        </w:rPr>
        <w:t xml:space="preserve"> </w:t>
      </w:r>
      <w:r w:rsidR="00FC3D2F" w:rsidRPr="006C474A">
        <w:rPr>
          <w:rFonts w:ascii="Tahoma" w:hAnsi="Tahoma" w:cs="Tahoma"/>
          <w:spacing w:val="-2"/>
          <w:lang w:val="es-CO"/>
        </w:rPr>
        <w:t>30 de agosto</w:t>
      </w:r>
      <w:r w:rsidR="001E75D8" w:rsidRPr="006C474A">
        <w:rPr>
          <w:rFonts w:ascii="Tahoma" w:hAnsi="Tahoma" w:cs="Tahoma"/>
          <w:spacing w:val="-2"/>
          <w:lang w:val="es-CO"/>
        </w:rPr>
        <w:t xml:space="preserve"> de 2022</w:t>
      </w:r>
      <w:r w:rsidR="004B36BA" w:rsidRPr="006C474A">
        <w:rPr>
          <w:rFonts w:ascii="Tahoma" w:hAnsi="Tahoma" w:cs="Tahoma"/>
          <w:spacing w:val="-2"/>
          <w:lang w:val="es-CO"/>
        </w:rPr>
        <w:t xml:space="preserve">. Para ello se tiene en cuenta </w:t>
      </w:r>
      <w:r w:rsidR="00B424AD" w:rsidRPr="006C474A">
        <w:rPr>
          <w:rStyle w:val="normaltextrun"/>
          <w:rFonts w:ascii="Tahoma" w:hAnsi="Tahoma" w:cs="Tahoma"/>
          <w:spacing w:val="-2"/>
        </w:rPr>
        <w:t>lo siguiente:</w:t>
      </w:r>
    </w:p>
    <w:p w14:paraId="6C8F09EB" w14:textId="77777777" w:rsidR="00A014B8" w:rsidRPr="006C474A" w:rsidRDefault="00A014B8" w:rsidP="00281CBF">
      <w:pPr>
        <w:pStyle w:val="Sinespaciado"/>
        <w:spacing w:line="276" w:lineRule="auto"/>
        <w:rPr>
          <w:rFonts w:ascii="Tahoma" w:hAnsi="Tahoma" w:cs="Tahoma"/>
          <w:spacing w:val="-2"/>
        </w:rPr>
      </w:pPr>
    </w:p>
    <w:p w14:paraId="3F031650" w14:textId="44629A82" w:rsidR="00B424AD" w:rsidRPr="006C474A" w:rsidRDefault="0036288F" w:rsidP="00281CBF">
      <w:pPr>
        <w:pStyle w:val="Prrafodelista"/>
        <w:widowControl w:val="0"/>
        <w:numPr>
          <w:ilvl w:val="0"/>
          <w:numId w:val="3"/>
        </w:numPr>
        <w:autoSpaceDE w:val="0"/>
        <w:autoSpaceDN w:val="0"/>
        <w:adjustRightInd w:val="0"/>
        <w:spacing w:line="276" w:lineRule="auto"/>
        <w:ind w:left="357" w:hanging="357"/>
        <w:jc w:val="center"/>
        <w:rPr>
          <w:rFonts w:ascii="Tahoma" w:hAnsi="Tahoma" w:cs="Tahoma"/>
          <w:b/>
          <w:bCs/>
          <w:spacing w:val="-2"/>
        </w:rPr>
      </w:pPr>
      <w:r w:rsidRPr="006C474A">
        <w:rPr>
          <w:rFonts w:ascii="Tahoma" w:hAnsi="Tahoma" w:cs="Tahoma"/>
          <w:b/>
          <w:bCs/>
          <w:spacing w:val="-2"/>
        </w:rPr>
        <w:t>LA DEMANDA Y LA CONTESTACIÓN DE LA DEMANDA</w:t>
      </w:r>
    </w:p>
    <w:p w14:paraId="777E987C" w14:textId="4EACD438" w:rsidR="00F36C1D" w:rsidRPr="006C474A" w:rsidRDefault="00F36C1D" w:rsidP="00281CBF">
      <w:pPr>
        <w:pStyle w:val="Sinespaciado"/>
        <w:spacing w:line="276" w:lineRule="auto"/>
        <w:rPr>
          <w:rFonts w:ascii="Tahoma" w:hAnsi="Tahoma" w:cs="Tahoma"/>
          <w:spacing w:val="-2"/>
        </w:rPr>
      </w:pPr>
    </w:p>
    <w:p w14:paraId="111E66E1" w14:textId="51DDC962" w:rsidR="0018491F" w:rsidRPr="006C474A" w:rsidRDefault="008A4EEE" w:rsidP="00281CBF">
      <w:pPr>
        <w:widowControl w:val="0"/>
        <w:autoSpaceDE w:val="0"/>
        <w:autoSpaceDN w:val="0"/>
        <w:adjustRightInd w:val="0"/>
        <w:spacing w:line="276" w:lineRule="auto"/>
        <w:ind w:firstLine="706"/>
        <w:jc w:val="both"/>
        <w:rPr>
          <w:rFonts w:ascii="Tahoma" w:hAnsi="Tahoma" w:cs="Tahoma"/>
          <w:spacing w:val="-2"/>
          <w:lang w:val="es-CO"/>
        </w:rPr>
      </w:pPr>
      <w:r w:rsidRPr="006C474A">
        <w:rPr>
          <w:rFonts w:ascii="Tahoma" w:hAnsi="Tahoma" w:cs="Tahoma"/>
          <w:spacing w:val="-2"/>
          <w:lang w:val="es-CO"/>
        </w:rPr>
        <w:t>Pretende</w:t>
      </w:r>
      <w:r w:rsidR="000F0ADC" w:rsidRPr="006C474A">
        <w:rPr>
          <w:rFonts w:ascii="Tahoma" w:hAnsi="Tahoma" w:cs="Tahoma"/>
          <w:spacing w:val="-2"/>
          <w:lang w:val="es-CO"/>
        </w:rPr>
        <w:t xml:space="preserve"> el señor </w:t>
      </w:r>
      <w:r w:rsidR="00FC3D2F" w:rsidRPr="006C474A">
        <w:rPr>
          <w:rFonts w:ascii="Tahoma" w:hAnsi="Tahoma" w:cs="Tahoma"/>
          <w:spacing w:val="-2"/>
          <w:lang w:val="es-CO"/>
        </w:rPr>
        <w:t>César Augusto García</w:t>
      </w:r>
      <w:r w:rsidR="00592B15" w:rsidRPr="006C474A">
        <w:rPr>
          <w:rFonts w:ascii="Tahoma" w:hAnsi="Tahoma" w:cs="Tahoma"/>
          <w:spacing w:val="-2"/>
          <w:lang w:val="es-CO"/>
        </w:rPr>
        <w:t xml:space="preserve"> </w:t>
      </w:r>
      <w:r w:rsidR="00FC3D2F" w:rsidRPr="006C474A">
        <w:rPr>
          <w:rFonts w:ascii="Tahoma" w:hAnsi="Tahoma" w:cs="Tahoma"/>
          <w:spacing w:val="-2"/>
          <w:lang w:val="es-CO"/>
        </w:rPr>
        <w:t xml:space="preserve">Quintero </w:t>
      </w:r>
      <w:r w:rsidRPr="006C474A">
        <w:rPr>
          <w:rFonts w:ascii="Tahoma" w:hAnsi="Tahoma" w:cs="Tahoma"/>
          <w:spacing w:val="-2"/>
          <w:lang w:val="es-CO"/>
        </w:rPr>
        <w:t xml:space="preserve">que la justicia laboral declare </w:t>
      </w:r>
      <w:r w:rsidR="00605034" w:rsidRPr="006C474A">
        <w:rPr>
          <w:rFonts w:ascii="Tahoma" w:hAnsi="Tahoma" w:cs="Tahoma"/>
          <w:spacing w:val="-2"/>
          <w:lang w:val="es-CO"/>
        </w:rPr>
        <w:t xml:space="preserve">que tiene derecho al reconocimiento y pago de la pensión de sobrevivientes </w:t>
      </w:r>
      <w:r w:rsidR="00B55CA5" w:rsidRPr="006C474A">
        <w:rPr>
          <w:rFonts w:ascii="Tahoma" w:hAnsi="Tahoma" w:cs="Tahoma"/>
          <w:spacing w:val="-2"/>
          <w:lang w:val="es-CO"/>
        </w:rPr>
        <w:t xml:space="preserve">causada con el deceso de su </w:t>
      </w:r>
      <w:r w:rsidR="00FC3D2F" w:rsidRPr="006C474A">
        <w:rPr>
          <w:rFonts w:ascii="Tahoma" w:hAnsi="Tahoma" w:cs="Tahoma"/>
          <w:spacing w:val="-2"/>
          <w:lang w:val="es-CO"/>
        </w:rPr>
        <w:t>padre, Omar de Jesús García Zapata con fundamento en el Acuerdo 049 de 1990, en aplicación del principio de la condición más beneficiosa</w:t>
      </w:r>
      <w:r w:rsidR="00B55CA5" w:rsidRPr="006C474A">
        <w:rPr>
          <w:rFonts w:ascii="Tahoma" w:hAnsi="Tahoma" w:cs="Tahoma"/>
          <w:spacing w:val="-2"/>
          <w:lang w:val="es-CO"/>
        </w:rPr>
        <w:t xml:space="preserve">, </w:t>
      </w:r>
      <w:r w:rsidR="00410A0E" w:rsidRPr="006C474A">
        <w:rPr>
          <w:rFonts w:ascii="Tahoma" w:hAnsi="Tahoma" w:cs="Tahoma"/>
          <w:spacing w:val="-2"/>
          <w:lang w:val="es-CO"/>
        </w:rPr>
        <w:t xml:space="preserve">y, con base en ello, </w:t>
      </w:r>
      <w:r w:rsidR="00F53000" w:rsidRPr="006C474A">
        <w:rPr>
          <w:rFonts w:ascii="Tahoma" w:hAnsi="Tahoma" w:cs="Tahoma"/>
          <w:spacing w:val="-2"/>
          <w:lang w:val="es-CO"/>
        </w:rPr>
        <w:t>aspira a que se condene a la Administradora Colombiana de Pensiones -C</w:t>
      </w:r>
      <w:r w:rsidR="004D6E7B" w:rsidRPr="006C474A">
        <w:rPr>
          <w:rFonts w:ascii="Tahoma" w:hAnsi="Tahoma" w:cs="Tahoma"/>
          <w:spacing w:val="-2"/>
          <w:lang w:val="es-CO"/>
        </w:rPr>
        <w:t>olpensiones</w:t>
      </w:r>
      <w:r w:rsidR="00F53000" w:rsidRPr="006C474A">
        <w:rPr>
          <w:rFonts w:ascii="Tahoma" w:hAnsi="Tahoma" w:cs="Tahoma"/>
          <w:spacing w:val="-2"/>
          <w:lang w:val="es-CO"/>
        </w:rPr>
        <w:t xml:space="preserve">- a reconocer y pagar la prestación económica </w:t>
      </w:r>
      <w:r w:rsidR="0055041E" w:rsidRPr="006C474A">
        <w:rPr>
          <w:rFonts w:ascii="Tahoma" w:hAnsi="Tahoma" w:cs="Tahoma"/>
          <w:spacing w:val="-2"/>
          <w:lang w:val="es-CO"/>
        </w:rPr>
        <w:t xml:space="preserve">de manera retroactiva desde </w:t>
      </w:r>
      <w:r w:rsidR="00FC3D2F" w:rsidRPr="006C474A">
        <w:rPr>
          <w:rFonts w:ascii="Tahoma" w:hAnsi="Tahoma" w:cs="Tahoma"/>
          <w:spacing w:val="-2"/>
          <w:lang w:val="es-CO"/>
        </w:rPr>
        <w:t>el 11 de octubre de 2015</w:t>
      </w:r>
      <w:r w:rsidR="0055041E" w:rsidRPr="006C474A">
        <w:rPr>
          <w:rFonts w:ascii="Tahoma" w:hAnsi="Tahoma" w:cs="Tahoma"/>
          <w:spacing w:val="-2"/>
          <w:lang w:val="es-CO"/>
        </w:rPr>
        <w:t xml:space="preserve">, junto con la indexación </w:t>
      </w:r>
      <w:r w:rsidR="00F53000" w:rsidRPr="006C474A">
        <w:rPr>
          <w:rFonts w:ascii="Tahoma" w:hAnsi="Tahoma" w:cs="Tahoma"/>
          <w:spacing w:val="-2"/>
          <w:lang w:val="es-CO"/>
        </w:rPr>
        <w:t>y las costas procesales a su favor.</w:t>
      </w:r>
    </w:p>
    <w:p w14:paraId="1B2DE582" w14:textId="77777777" w:rsidR="008A4EEE" w:rsidRPr="006C474A" w:rsidRDefault="008A4EEE" w:rsidP="00281CBF">
      <w:pPr>
        <w:pStyle w:val="Sinespaciado"/>
        <w:spacing w:line="276" w:lineRule="auto"/>
        <w:rPr>
          <w:rFonts w:ascii="Tahoma" w:hAnsi="Tahoma" w:cs="Tahoma"/>
          <w:spacing w:val="-2"/>
        </w:rPr>
      </w:pPr>
    </w:p>
    <w:p w14:paraId="4F1CE4D2" w14:textId="31435201" w:rsidR="00D0181C" w:rsidRPr="006C474A" w:rsidRDefault="005C3B83" w:rsidP="00281CBF">
      <w:pPr>
        <w:widowControl w:val="0"/>
        <w:autoSpaceDE w:val="0"/>
        <w:autoSpaceDN w:val="0"/>
        <w:adjustRightInd w:val="0"/>
        <w:spacing w:line="276" w:lineRule="auto"/>
        <w:ind w:firstLine="706"/>
        <w:jc w:val="both"/>
        <w:rPr>
          <w:rFonts w:ascii="Tahoma" w:hAnsi="Tahoma" w:cs="Tahoma"/>
          <w:spacing w:val="-2"/>
          <w:lang w:val="es-CO"/>
        </w:rPr>
      </w:pPr>
      <w:r w:rsidRPr="006C474A">
        <w:rPr>
          <w:rFonts w:ascii="Tahoma" w:hAnsi="Tahoma" w:cs="Tahoma"/>
          <w:spacing w:val="-2"/>
          <w:lang w:val="es-CO"/>
        </w:rPr>
        <w:t xml:space="preserve">Como sustento de </w:t>
      </w:r>
      <w:r w:rsidR="00D0181C" w:rsidRPr="006C474A">
        <w:rPr>
          <w:rFonts w:ascii="Tahoma" w:hAnsi="Tahoma" w:cs="Tahoma"/>
          <w:spacing w:val="-2"/>
          <w:lang w:val="es-CO"/>
        </w:rPr>
        <w:t xml:space="preserve">lo peticionado, relata </w:t>
      </w:r>
      <w:r w:rsidR="0079176D" w:rsidRPr="006C474A">
        <w:rPr>
          <w:rFonts w:ascii="Tahoma" w:hAnsi="Tahoma" w:cs="Tahoma"/>
          <w:spacing w:val="-2"/>
          <w:lang w:val="es-CO"/>
        </w:rPr>
        <w:t xml:space="preserve">que </w:t>
      </w:r>
      <w:r w:rsidR="00FC3D2F" w:rsidRPr="006C474A">
        <w:rPr>
          <w:rFonts w:ascii="Tahoma" w:hAnsi="Tahoma" w:cs="Tahoma"/>
          <w:spacing w:val="-2"/>
          <w:lang w:val="es-CO"/>
        </w:rPr>
        <w:t>nació el 08 de julio de 1974; que mediante dictamen No. 2017216051LL del 16 de mayo de 2017, Colpensiones le determinó una pérdida de capacidad laboral del 80% estructurada el 08 de julio de 1978; que dependía económicamente de su padre, Omar de Jesús García Zapata, quien falleció el 16 de abril de 2006</w:t>
      </w:r>
      <w:r w:rsidR="0055041E" w:rsidRPr="006C474A">
        <w:rPr>
          <w:rFonts w:ascii="Tahoma" w:hAnsi="Tahoma" w:cs="Tahoma"/>
          <w:spacing w:val="-2"/>
          <w:lang w:val="es-CO"/>
        </w:rPr>
        <w:t>, momento para el cual había cotizado más de 300 semanas a la entrada en vigencia de la ley 100 de 1993.</w:t>
      </w:r>
    </w:p>
    <w:p w14:paraId="2B839919" w14:textId="228326A8" w:rsidR="00D0181C" w:rsidRPr="006C474A" w:rsidRDefault="00D0181C" w:rsidP="00281CBF">
      <w:pPr>
        <w:pStyle w:val="Sinespaciado"/>
        <w:spacing w:line="276" w:lineRule="auto"/>
        <w:rPr>
          <w:rFonts w:ascii="Tahoma" w:hAnsi="Tahoma" w:cs="Tahoma"/>
          <w:spacing w:val="-2"/>
          <w:lang w:val="es-CO"/>
        </w:rPr>
      </w:pPr>
    </w:p>
    <w:p w14:paraId="13AA023E" w14:textId="1361DB44" w:rsidR="00C30A6A" w:rsidRPr="006C474A" w:rsidRDefault="00D0181C" w:rsidP="00281CBF">
      <w:pPr>
        <w:widowControl w:val="0"/>
        <w:autoSpaceDE w:val="0"/>
        <w:autoSpaceDN w:val="0"/>
        <w:adjustRightInd w:val="0"/>
        <w:spacing w:line="276" w:lineRule="auto"/>
        <w:ind w:firstLine="706"/>
        <w:jc w:val="both"/>
        <w:rPr>
          <w:rFonts w:ascii="Tahoma" w:hAnsi="Tahoma" w:cs="Tahoma"/>
          <w:spacing w:val="-2"/>
          <w:lang w:val="es-CO"/>
        </w:rPr>
      </w:pPr>
      <w:r w:rsidRPr="006C474A">
        <w:rPr>
          <w:rFonts w:ascii="Tahoma" w:hAnsi="Tahoma" w:cs="Tahoma"/>
          <w:spacing w:val="-2"/>
          <w:lang w:val="es-CO"/>
        </w:rPr>
        <w:t>Manifiesta que</w:t>
      </w:r>
      <w:r w:rsidR="0055041E" w:rsidRPr="006C474A">
        <w:rPr>
          <w:rFonts w:ascii="Tahoma" w:hAnsi="Tahoma" w:cs="Tahoma"/>
          <w:spacing w:val="-2"/>
          <w:lang w:val="es-CO"/>
        </w:rPr>
        <w:t xml:space="preserve"> </w:t>
      </w:r>
      <w:r w:rsidR="004D6E7B" w:rsidRPr="006C474A">
        <w:rPr>
          <w:rFonts w:ascii="Tahoma" w:hAnsi="Tahoma" w:cs="Tahoma"/>
          <w:spacing w:val="-2"/>
          <w:lang w:val="es-CO"/>
        </w:rPr>
        <w:t xml:space="preserve">el 11 de octubre de 2018 </w:t>
      </w:r>
      <w:r w:rsidR="0055041E" w:rsidRPr="006C474A">
        <w:rPr>
          <w:rFonts w:ascii="Tahoma" w:hAnsi="Tahoma" w:cs="Tahoma"/>
          <w:spacing w:val="-2"/>
          <w:lang w:val="es-CO"/>
        </w:rPr>
        <w:t>solicitó ante Colpensiones el reconocimiento de la pensión de sobrevivientes, mism</w:t>
      </w:r>
      <w:r w:rsidR="004D6E7B" w:rsidRPr="006C474A">
        <w:rPr>
          <w:rFonts w:ascii="Tahoma" w:hAnsi="Tahoma" w:cs="Tahoma"/>
          <w:spacing w:val="-2"/>
          <w:lang w:val="es-CO"/>
        </w:rPr>
        <w:t>a</w:t>
      </w:r>
      <w:r w:rsidR="0055041E" w:rsidRPr="006C474A">
        <w:rPr>
          <w:rFonts w:ascii="Tahoma" w:hAnsi="Tahoma" w:cs="Tahoma"/>
          <w:spacing w:val="-2"/>
          <w:lang w:val="es-CO"/>
        </w:rPr>
        <w:t xml:space="preserve"> que fue negado mediante resolución No. </w:t>
      </w:r>
      <w:r w:rsidR="004D6E7B" w:rsidRPr="006C474A">
        <w:rPr>
          <w:rFonts w:ascii="Tahoma" w:hAnsi="Tahoma" w:cs="Tahoma"/>
          <w:spacing w:val="-2"/>
          <w:lang w:val="es-CO"/>
        </w:rPr>
        <w:t>SUB 321769 de 2018.</w:t>
      </w:r>
      <w:r w:rsidR="0055041E" w:rsidRPr="006C474A">
        <w:rPr>
          <w:rFonts w:ascii="Tahoma" w:hAnsi="Tahoma" w:cs="Tahoma"/>
          <w:spacing w:val="-2"/>
          <w:lang w:val="es-CO"/>
        </w:rPr>
        <w:t xml:space="preserve"> </w:t>
      </w:r>
    </w:p>
    <w:p w14:paraId="00E763E2" w14:textId="47EF9384" w:rsidR="00677622" w:rsidRPr="006C474A" w:rsidRDefault="00677622" w:rsidP="00281CBF">
      <w:pPr>
        <w:pStyle w:val="Sinespaciado"/>
        <w:spacing w:line="276" w:lineRule="auto"/>
        <w:rPr>
          <w:rFonts w:ascii="Tahoma" w:hAnsi="Tahoma" w:cs="Tahoma"/>
          <w:spacing w:val="-2"/>
          <w:lang w:val="es-CO"/>
        </w:rPr>
      </w:pPr>
    </w:p>
    <w:p w14:paraId="40D025C5" w14:textId="3DADA2C7" w:rsidR="008A4EEE" w:rsidRPr="006C474A" w:rsidRDefault="00677622" w:rsidP="00281CBF">
      <w:pPr>
        <w:widowControl w:val="0"/>
        <w:autoSpaceDE w:val="0"/>
        <w:autoSpaceDN w:val="0"/>
        <w:adjustRightInd w:val="0"/>
        <w:spacing w:line="276" w:lineRule="auto"/>
        <w:jc w:val="both"/>
        <w:rPr>
          <w:rFonts w:ascii="Tahoma" w:hAnsi="Tahoma" w:cs="Tahoma"/>
          <w:spacing w:val="-2"/>
          <w:lang w:val="es-CO"/>
        </w:rPr>
      </w:pPr>
      <w:r w:rsidRPr="006C474A">
        <w:rPr>
          <w:rFonts w:ascii="Tahoma" w:hAnsi="Tahoma" w:cs="Tahoma"/>
          <w:spacing w:val="-2"/>
          <w:lang w:val="es-CO"/>
        </w:rPr>
        <w:tab/>
      </w:r>
      <w:r w:rsidR="004D6E7B" w:rsidRPr="006C474A">
        <w:rPr>
          <w:rFonts w:ascii="Tahoma" w:hAnsi="Tahoma" w:cs="Tahoma"/>
          <w:spacing w:val="-2"/>
          <w:lang w:val="es-CO"/>
        </w:rPr>
        <w:t xml:space="preserve">La </w:t>
      </w:r>
      <w:r w:rsidR="004D6E7B" w:rsidRPr="006C474A">
        <w:rPr>
          <w:rFonts w:ascii="Tahoma" w:hAnsi="Tahoma" w:cs="Tahoma"/>
          <w:b/>
          <w:spacing w:val="-2"/>
          <w:lang w:val="es-CO"/>
        </w:rPr>
        <w:t xml:space="preserve">Administradora Colombia a de Pensiones- </w:t>
      </w:r>
      <w:r w:rsidR="00A03035" w:rsidRPr="006C474A">
        <w:rPr>
          <w:rFonts w:ascii="Tahoma" w:hAnsi="Tahoma" w:cs="Tahoma"/>
          <w:b/>
          <w:spacing w:val="-2"/>
          <w:lang w:val="es-CO"/>
        </w:rPr>
        <w:t>C</w:t>
      </w:r>
      <w:r w:rsidR="008765F7" w:rsidRPr="006C474A">
        <w:rPr>
          <w:rFonts w:ascii="Tahoma" w:hAnsi="Tahoma" w:cs="Tahoma"/>
          <w:b/>
          <w:spacing w:val="-2"/>
          <w:lang w:val="es-CO"/>
        </w:rPr>
        <w:t>olpensiones</w:t>
      </w:r>
      <w:r w:rsidR="008765F7" w:rsidRPr="006C474A">
        <w:rPr>
          <w:rFonts w:ascii="Tahoma" w:hAnsi="Tahoma" w:cs="Tahoma"/>
          <w:spacing w:val="-2"/>
          <w:lang w:val="es-CO"/>
        </w:rPr>
        <w:t xml:space="preserve"> se opuso a la totalidad de lo pretendido por el demandante alegando</w:t>
      </w:r>
      <w:r w:rsidR="0046411C" w:rsidRPr="006C474A">
        <w:rPr>
          <w:rFonts w:ascii="Tahoma" w:hAnsi="Tahoma" w:cs="Tahoma"/>
          <w:spacing w:val="-2"/>
          <w:lang w:val="es-CO"/>
        </w:rPr>
        <w:t xml:space="preserve"> que </w:t>
      </w:r>
      <w:r w:rsidR="00A03035" w:rsidRPr="006C474A">
        <w:rPr>
          <w:rFonts w:ascii="Tahoma" w:hAnsi="Tahoma" w:cs="Tahoma"/>
          <w:spacing w:val="-2"/>
          <w:lang w:val="es-CO"/>
        </w:rPr>
        <w:t>el señor Omar de Jesús García no cumplió los requisitos exigidos en el artículo 46 de la Ley 100 de 1993, en el entendido de que no cotizó el volumen de semanas necesarias para ello, adicional a lo cual no se dan los presupuestos para dar aplicación a la condición más beneficiosa, según la jurisprudencia pacifica de la Sala de Casación Laboral de la Corte Suprema de Justicia</w:t>
      </w:r>
      <w:r w:rsidR="0046411C" w:rsidRPr="006C474A">
        <w:rPr>
          <w:rFonts w:ascii="Tahoma" w:hAnsi="Tahoma" w:cs="Tahoma"/>
          <w:spacing w:val="-2"/>
          <w:lang w:val="es-CO"/>
        </w:rPr>
        <w:t xml:space="preserve">. Así, </w:t>
      </w:r>
      <w:r w:rsidR="008A4EEE" w:rsidRPr="006C474A">
        <w:rPr>
          <w:rFonts w:ascii="Tahoma" w:hAnsi="Tahoma" w:cs="Tahoma"/>
          <w:spacing w:val="-2"/>
          <w:lang w:val="es-CO"/>
        </w:rPr>
        <w:lastRenderedPageBreak/>
        <w:t>formuló las excepciones de mérito que denominó</w:t>
      </w:r>
      <w:r w:rsidR="00533B51" w:rsidRPr="006C474A">
        <w:rPr>
          <w:rFonts w:ascii="Tahoma" w:hAnsi="Tahoma" w:cs="Tahoma"/>
          <w:spacing w:val="-2"/>
          <w:lang w:val="es-CO"/>
        </w:rPr>
        <w:t>:</w:t>
      </w:r>
      <w:r w:rsidR="008A4EEE" w:rsidRPr="006C474A">
        <w:rPr>
          <w:rFonts w:ascii="Tahoma" w:hAnsi="Tahoma" w:cs="Tahoma"/>
          <w:spacing w:val="-2"/>
          <w:lang w:val="es-CO"/>
        </w:rPr>
        <w:t xml:space="preserve"> </w:t>
      </w:r>
      <w:r w:rsidR="008A4EEE" w:rsidRPr="006C474A">
        <w:rPr>
          <w:rFonts w:ascii="Tahoma" w:hAnsi="Tahoma" w:cs="Tahoma"/>
          <w:i/>
          <w:iCs/>
          <w:spacing w:val="-2"/>
          <w:lang w:val="es-CO"/>
        </w:rPr>
        <w:t>“Inexistencia de la obligación</w:t>
      </w:r>
      <w:r w:rsidR="001B64FC" w:rsidRPr="006C474A">
        <w:rPr>
          <w:rFonts w:ascii="Tahoma" w:hAnsi="Tahoma" w:cs="Tahoma"/>
          <w:i/>
          <w:iCs/>
          <w:spacing w:val="-2"/>
          <w:lang w:val="es-CO"/>
        </w:rPr>
        <w:t xml:space="preserve"> y c</w:t>
      </w:r>
      <w:r w:rsidR="0046411C" w:rsidRPr="006C474A">
        <w:rPr>
          <w:rFonts w:ascii="Tahoma" w:hAnsi="Tahoma" w:cs="Tahoma"/>
          <w:i/>
          <w:iCs/>
          <w:spacing w:val="-2"/>
          <w:lang w:val="es-CO"/>
        </w:rPr>
        <w:t xml:space="preserve">obro de lo no debido”, </w:t>
      </w:r>
      <w:r w:rsidR="008A4EEE" w:rsidRPr="006C474A">
        <w:rPr>
          <w:rFonts w:ascii="Tahoma" w:hAnsi="Tahoma" w:cs="Tahoma"/>
          <w:i/>
          <w:iCs/>
          <w:spacing w:val="-2"/>
          <w:lang w:val="es-CO"/>
        </w:rPr>
        <w:t>“Imposibilidad jurídica para reconocer y pagar derechos por fuera del ordenamiento legal”, “Buena fe”, “Imposibilidad de condena en costas</w:t>
      </w:r>
      <w:r w:rsidR="00ED7F94" w:rsidRPr="006C474A">
        <w:rPr>
          <w:rFonts w:ascii="Tahoma" w:hAnsi="Tahoma" w:cs="Tahoma"/>
          <w:i/>
          <w:iCs/>
          <w:spacing w:val="-2"/>
          <w:lang w:val="es-CO"/>
        </w:rPr>
        <w:t>”</w:t>
      </w:r>
      <w:r w:rsidR="001B64FC" w:rsidRPr="006C474A">
        <w:rPr>
          <w:rFonts w:ascii="Tahoma" w:hAnsi="Tahoma" w:cs="Tahoma"/>
          <w:i/>
          <w:iCs/>
          <w:spacing w:val="-2"/>
          <w:lang w:val="es-CO"/>
        </w:rPr>
        <w:t xml:space="preserve">, “Improcedencia de los intereses moratorios junto a la indexación”, “Prescripción” </w:t>
      </w:r>
      <w:r w:rsidR="008A4EEE" w:rsidRPr="006C474A">
        <w:rPr>
          <w:rFonts w:ascii="Tahoma" w:hAnsi="Tahoma" w:cs="Tahoma"/>
          <w:spacing w:val="-2"/>
          <w:lang w:val="es-CO"/>
        </w:rPr>
        <w:t xml:space="preserve">y </w:t>
      </w:r>
      <w:r w:rsidR="008A4EEE" w:rsidRPr="006C474A">
        <w:rPr>
          <w:rFonts w:ascii="Tahoma" w:hAnsi="Tahoma" w:cs="Tahoma"/>
          <w:i/>
          <w:iCs/>
          <w:spacing w:val="-2"/>
          <w:lang w:val="es-CO"/>
        </w:rPr>
        <w:t>“</w:t>
      </w:r>
      <w:r w:rsidR="001B64FC" w:rsidRPr="006C474A">
        <w:rPr>
          <w:rFonts w:ascii="Tahoma" w:hAnsi="Tahoma" w:cs="Tahoma"/>
          <w:i/>
          <w:iCs/>
          <w:spacing w:val="-2"/>
          <w:lang w:val="es-CO"/>
        </w:rPr>
        <w:t>Genérica</w:t>
      </w:r>
      <w:r w:rsidR="008A4EEE" w:rsidRPr="006C474A">
        <w:rPr>
          <w:rFonts w:ascii="Tahoma" w:hAnsi="Tahoma" w:cs="Tahoma"/>
          <w:i/>
          <w:iCs/>
          <w:spacing w:val="-2"/>
          <w:lang w:val="es-CO"/>
        </w:rPr>
        <w:t>”.</w:t>
      </w:r>
      <w:r w:rsidR="008A4EEE" w:rsidRPr="006C474A">
        <w:rPr>
          <w:rFonts w:ascii="Tahoma" w:hAnsi="Tahoma" w:cs="Tahoma"/>
          <w:spacing w:val="-2"/>
          <w:lang w:val="es-CO"/>
        </w:rPr>
        <w:t xml:space="preserve">  </w:t>
      </w:r>
    </w:p>
    <w:p w14:paraId="1722B97B" w14:textId="77777777" w:rsidR="00677620" w:rsidRPr="006C474A" w:rsidRDefault="00677620" w:rsidP="00281CBF">
      <w:pPr>
        <w:pStyle w:val="Sinespaciado"/>
        <w:spacing w:line="276" w:lineRule="auto"/>
        <w:rPr>
          <w:rFonts w:ascii="Tahoma" w:hAnsi="Tahoma" w:cs="Tahoma"/>
          <w:spacing w:val="-2"/>
        </w:rPr>
      </w:pPr>
    </w:p>
    <w:p w14:paraId="7304DE11" w14:textId="16E93C4E" w:rsidR="00677620" w:rsidRPr="006C474A" w:rsidRDefault="00677620" w:rsidP="00281CBF">
      <w:pPr>
        <w:pStyle w:val="Prrafodelista"/>
        <w:widowControl w:val="0"/>
        <w:numPr>
          <w:ilvl w:val="0"/>
          <w:numId w:val="3"/>
        </w:numPr>
        <w:autoSpaceDE w:val="0"/>
        <w:autoSpaceDN w:val="0"/>
        <w:adjustRightInd w:val="0"/>
        <w:spacing w:line="276" w:lineRule="auto"/>
        <w:jc w:val="center"/>
        <w:rPr>
          <w:rFonts w:ascii="Tahoma" w:hAnsi="Tahoma" w:cs="Tahoma"/>
          <w:b/>
          <w:bCs/>
          <w:spacing w:val="-2"/>
          <w:lang w:val="es-CO"/>
        </w:rPr>
      </w:pPr>
      <w:r w:rsidRPr="006C474A">
        <w:rPr>
          <w:rFonts w:ascii="Tahoma" w:hAnsi="Tahoma" w:cs="Tahoma"/>
          <w:b/>
          <w:bCs/>
          <w:spacing w:val="-2"/>
          <w:lang w:val="es-CO"/>
        </w:rPr>
        <w:t>SENTENCIA DE PRIMERA INSTANCIA</w:t>
      </w:r>
    </w:p>
    <w:p w14:paraId="0C45C1B9" w14:textId="2E46A848" w:rsidR="008A4EEE" w:rsidRPr="006C474A" w:rsidRDefault="008A4EEE" w:rsidP="00281CBF">
      <w:pPr>
        <w:pStyle w:val="Sinespaciado"/>
        <w:spacing w:line="276" w:lineRule="auto"/>
        <w:rPr>
          <w:rFonts w:ascii="Tahoma" w:hAnsi="Tahoma" w:cs="Tahoma"/>
          <w:spacing w:val="-2"/>
        </w:rPr>
      </w:pPr>
    </w:p>
    <w:p w14:paraId="570ADEC7" w14:textId="519034DC" w:rsidR="00856CDB" w:rsidRPr="006C474A" w:rsidRDefault="00856CDB" w:rsidP="00281CBF">
      <w:pPr>
        <w:widowControl w:val="0"/>
        <w:autoSpaceDE w:val="0"/>
        <w:autoSpaceDN w:val="0"/>
        <w:adjustRightInd w:val="0"/>
        <w:spacing w:line="276" w:lineRule="auto"/>
        <w:ind w:firstLine="708"/>
        <w:jc w:val="both"/>
        <w:rPr>
          <w:rFonts w:ascii="Tahoma" w:hAnsi="Tahoma" w:cs="Tahoma"/>
          <w:spacing w:val="-2"/>
          <w:lang w:val="es-CO"/>
        </w:rPr>
      </w:pPr>
      <w:r w:rsidRPr="006C474A">
        <w:rPr>
          <w:rFonts w:ascii="Tahoma" w:hAnsi="Tahoma" w:cs="Tahoma"/>
          <w:spacing w:val="-2"/>
        </w:rPr>
        <w:t>La Jueza</w:t>
      </w:r>
      <w:r w:rsidR="009C035C" w:rsidRPr="006C474A">
        <w:rPr>
          <w:rFonts w:ascii="Tahoma" w:hAnsi="Tahoma" w:cs="Tahoma"/>
          <w:spacing w:val="-2"/>
        </w:rPr>
        <w:t xml:space="preserve"> de primera instancia </w:t>
      </w:r>
      <w:r w:rsidRPr="006C474A">
        <w:rPr>
          <w:rFonts w:ascii="Tahoma" w:hAnsi="Tahoma" w:cs="Tahoma"/>
          <w:spacing w:val="-2"/>
          <w:lang w:val="es-CO"/>
        </w:rPr>
        <w:t>absolvió a Colpensiones de las pretensiones formuladas por el demandante</w:t>
      </w:r>
      <w:r w:rsidR="006A161A" w:rsidRPr="006C474A">
        <w:rPr>
          <w:rFonts w:ascii="Tahoma" w:hAnsi="Tahoma" w:cs="Tahoma"/>
          <w:spacing w:val="-2"/>
          <w:lang w:val="es-CO"/>
        </w:rPr>
        <w:t>, último a quien condenó en costas procesales</w:t>
      </w:r>
      <w:r w:rsidRPr="006C474A">
        <w:rPr>
          <w:rFonts w:ascii="Tahoma" w:hAnsi="Tahoma" w:cs="Tahoma"/>
          <w:spacing w:val="-2"/>
          <w:lang w:val="es-CO"/>
        </w:rPr>
        <w:t xml:space="preserve">. </w:t>
      </w:r>
    </w:p>
    <w:p w14:paraId="0F974AC8" w14:textId="77777777" w:rsidR="009C035C" w:rsidRPr="006C474A" w:rsidRDefault="009C035C" w:rsidP="00281CBF">
      <w:pPr>
        <w:pStyle w:val="Sinespaciado"/>
        <w:spacing w:line="276" w:lineRule="auto"/>
        <w:rPr>
          <w:rFonts w:ascii="Tahoma" w:hAnsi="Tahoma" w:cs="Tahoma"/>
          <w:spacing w:val="-2"/>
        </w:rPr>
      </w:pPr>
    </w:p>
    <w:p w14:paraId="52B01370" w14:textId="4B14D7BE" w:rsidR="009C035C" w:rsidRPr="006C474A" w:rsidRDefault="009C035C" w:rsidP="00281CBF">
      <w:pPr>
        <w:widowControl w:val="0"/>
        <w:autoSpaceDE w:val="0"/>
        <w:autoSpaceDN w:val="0"/>
        <w:adjustRightInd w:val="0"/>
        <w:spacing w:line="276" w:lineRule="auto"/>
        <w:ind w:firstLine="708"/>
        <w:jc w:val="both"/>
        <w:rPr>
          <w:rFonts w:ascii="Tahoma" w:hAnsi="Tahoma" w:cs="Tahoma"/>
          <w:spacing w:val="-2"/>
        </w:rPr>
      </w:pPr>
      <w:r w:rsidRPr="006C474A">
        <w:rPr>
          <w:rFonts w:ascii="Tahoma" w:hAnsi="Tahoma" w:cs="Tahoma"/>
          <w:spacing w:val="-2"/>
        </w:rPr>
        <w:t xml:space="preserve">Para llegar a tal determinación, el </w:t>
      </w:r>
      <w:r w:rsidRPr="006C474A">
        <w:rPr>
          <w:rFonts w:ascii="Tahoma" w:hAnsi="Tahoma" w:cs="Tahoma"/>
          <w:i/>
          <w:iCs/>
          <w:spacing w:val="-2"/>
        </w:rPr>
        <w:t>A-quo</w:t>
      </w:r>
      <w:r w:rsidRPr="006C474A">
        <w:rPr>
          <w:rFonts w:ascii="Tahoma" w:hAnsi="Tahoma" w:cs="Tahoma"/>
          <w:spacing w:val="-2"/>
        </w:rPr>
        <w:t xml:space="preserve"> </w:t>
      </w:r>
      <w:r w:rsidR="00BB6B55" w:rsidRPr="006C474A">
        <w:rPr>
          <w:rFonts w:ascii="Tahoma" w:hAnsi="Tahoma" w:cs="Tahoma"/>
          <w:spacing w:val="-2"/>
        </w:rPr>
        <w:t>consideró</w:t>
      </w:r>
      <w:r w:rsidRPr="006C474A">
        <w:rPr>
          <w:rFonts w:ascii="Tahoma" w:hAnsi="Tahoma" w:cs="Tahoma"/>
          <w:spacing w:val="-2"/>
        </w:rPr>
        <w:t xml:space="preserve"> que, </w:t>
      </w:r>
      <w:r w:rsidR="001F6872" w:rsidRPr="006C474A">
        <w:rPr>
          <w:rFonts w:ascii="Tahoma" w:hAnsi="Tahoma" w:cs="Tahoma"/>
          <w:spacing w:val="-2"/>
        </w:rPr>
        <w:t xml:space="preserve">como quiera que la totalidad de las semanas cotizadas por </w:t>
      </w:r>
      <w:r w:rsidR="006A161A" w:rsidRPr="006C474A">
        <w:rPr>
          <w:rFonts w:ascii="Tahoma" w:hAnsi="Tahoma" w:cs="Tahoma"/>
          <w:spacing w:val="-2"/>
        </w:rPr>
        <w:t>el señor Omar de Jesús García</w:t>
      </w:r>
      <w:r w:rsidR="001F6872" w:rsidRPr="006C474A">
        <w:rPr>
          <w:rFonts w:ascii="Tahoma" w:hAnsi="Tahoma" w:cs="Tahoma"/>
          <w:spacing w:val="-2"/>
        </w:rPr>
        <w:t xml:space="preserve"> fueron con anterioridad a la promulgación de la ley 100 de 1993 y </w:t>
      </w:r>
      <w:r w:rsidR="006A161A" w:rsidRPr="006C474A">
        <w:rPr>
          <w:rFonts w:ascii="Tahoma" w:hAnsi="Tahoma" w:cs="Tahoma"/>
          <w:spacing w:val="-2"/>
        </w:rPr>
        <w:t>él</w:t>
      </w:r>
      <w:r w:rsidR="001F6872" w:rsidRPr="006C474A">
        <w:rPr>
          <w:rFonts w:ascii="Tahoma" w:hAnsi="Tahoma" w:cs="Tahoma"/>
          <w:spacing w:val="-2"/>
        </w:rPr>
        <w:t xml:space="preserve"> falleció en vigencia de la ley 797 de 2003, aquel</w:t>
      </w:r>
      <w:r w:rsidR="006A161A" w:rsidRPr="006C474A">
        <w:rPr>
          <w:rFonts w:ascii="Tahoma" w:hAnsi="Tahoma" w:cs="Tahoma"/>
          <w:spacing w:val="-2"/>
        </w:rPr>
        <w:t xml:space="preserve"> </w:t>
      </w:r>
      <w:r w:rsidR="001F6872" w:rsidRPr="006C474A">
        <w:rPr>
          <w:rFonts w:ascii="Tahoma" w:hAnsi="Tahoma" w:cs="Tahoma"/>
          <w:spacing w:val="-2"/>
        </w:rPr>
        <w:t xml:space="preserve">no </w:t>
      </w:r>
      <w:r w:rsidR="00856CDB" w:rsidRPr="006C474A">
        <w:rPr>
          <w:rFonts w:ascii="Tahoma" w:hAnsi="Tahoma" w:cs="Tahoma"/>
          <w:spacing w:val="-2"/>
        </w:rPr>
        <w:t xml:space="preserve">acreditó </w:t>
      </w:r>
      <w:r w:rsidR="001F6872" w:rsidRPr="006C474A">
        <w:rPr>
          <w:rFonts w:ascii="Tahoma" w:hAnsi="Tahoma" w:cs="Tahoma"/>
          <w:spacing w:val="-2"/>
        </w:rPr>
        <w:t>los requisitos exigidos en e</w:t>
      </w:r>
      <w:r w:rsidR="00856CDB" w:rsidRPr="006C474A">
        <w:rPr>
          <w:rFonts w:ascii="Tahoma" w:hAnsi="Tahoma" w:cs="Tahoma"/>
          <w:spacing w:val="-2"/>
        </w:rPr>
        <w:t>l art</w:t>
      </w:r>
      <w:r w:rsidR="001F6872" w:rsidRPr="006C474A">
        <w:rPr>
          <w:rFonts w:ascii="Tahoma" w:hAnsi="Tahoma" w:cs="Tahoma"/>
          <w:spacing w:val="-2"/>
        </w:rPr>
        <w:t>.</w:t>
      </w:r>
      <w:r w:rsidR="00856CDB" w:rsidRPr="006C474A">
        <w:rPr>
          <w:rFonts w:ascii="Tahoma" w:hAnsi="Tahoma" w:cs="Tahoma"/>
          <w:spacing w:val="-2"/>
        </w:rPr>
        <w:t xml:space="preserve"> 12 de la</w:t>
      </w:r>
      <w:r w:rsidR="001F6872" w:rsidRPr="006C474A">
        <w:rPr>
          <w:rFonts w:ascii="Tahoma" w:hAnsi="Tahoma" w:cs="Tahoma"/>
          <w:spacing w:val="-2"/>
        </w:rPr>
        <w:t xml:space="preserve"> última de las leyes mencionadas, ni tampoco lo dispuesto en la </w:t>
      </w:r>
      <w:r w:rsidR="00856CDB" w:rsidRPr="006C474A">
        <w:rPr>
          <w:rFonts w:ascii="Tahoma" w:hAnsi="Tahoma" w:cs="Tahoma"/>
          <w:spacing w:val="-2"/>
        </w:rPr>
        <w:t>ley 100 de 1993</w:t>
      </w:r>
      <w:r w:rsidR="001F6872" w:rsidRPr="006C474A">
        <w:rPr>
          <w:rFonts w:ascii="Tahoma" w:hAnsi="Tahoma" w:cs="Tahoma"/>
          <w:spacing w:val="-2"/>
        </w:rPr>
        <w:t xml:space="preserve"> en su versión original</w:t>
      </w:r>
      <w:r w:rsidR="00856CDB" w:rsidRPr="006C474A">
        <w:rPr>
          <w:rFonts w:ascii="Tahoma" w:hAnsi="Tahoma" w:cs="Tahoma"/>
          <w:spacing w:val="-2"/>
        </w:rPr>
        <w:t xml:space="preserve">, sin </w:t>
      </w:r>
      <w:r w:rsidR="001F6872" w:rsidRPr="006C474A">
        <w:rPr>
          <w:rFonts w:ascii="Tahoma" w:hAnsi="Tahoma" w:cs="Tahoma"/>
          <w:spacing w:val="-2"/>
        </w:rPr>
        <w:t xml:space="preserve">que pudiera la judicatura acudir </w:t>
      </w:r>
      <w:r w:rsidR="00856CDB" w:rsidRPr="006C474A">
        <w:rPr>
          <w:rFonts w:ascii="Tahoma" w:hAnsi="Tahoma" w:cs="Tahoma"/>
          <w:spacing w:val="-2"/>
        </w:rPr>
        <w:t>al acuerdo 049 de 1990</w:t>
      </w:r>
      <w:r w:rsidR="001F6872" w:rsidRPr="006C474A">
        <w:rPr>
          <w:rFonts w:ascii="Tahoma" w:hAnsi="Tahoma" w:cs="Tahoma"/>
          <w:spacing w:val="-2"/>
        </w:rPr>
        <w:t xml:space="preserve"> para determinar la procedencia del reconocimiento pensional, </w:t>
      </w:r>
      <w:r w:rsidR="00856CDB" w:rsidRPr="006C474A">
        <w:rPr>
          <w:rFonts w:ascii="Tahoma" w:hAnsi="Tahoma" w:cs="Tahoma"/>
          <w:spacing w:val="-2"/>
        </w:rPr>
        <w:t>por no ser la inmediatamente anterior a la vigente al momento del siniestro</w:t>
      </w:r>
      <w:r w:rsidR="001F6872" w:rsidRPr="006C474A">
        <w:rPr>
          <w:rFonts w:ascii="Tahoma" w:hAnsi="Tahoma" w:cs="Tahoma"/>
          <w:spacing w:val="-2"/>
        </w:rPr>
        <w:t xml:space="preserve">, tal como lo ha considerado la Sala de Casación Laboral de la Corte Suprema de Justicia. </w:t>
      </w:r>
    </w:p>
    <w:p w14:paraId="79A57414" w14:textId="77777777" w:rsidR="006A161A" w:rsidRPr="006C474A" w:rsidRDefault="006A161A" w:rsidP="00281CBF">
      <w:pPr>
        <w:widowControl w:val="0"/>
        <w:autoSpaceDE w:val="0"/>
        <w:autoSpaceDN w:val="0"/>
        <w:adjustRightInd w:val="0"/>
        <w:spacing w:line="276" w:lineRule="auto"/>
        <w:ind w:firstLine="708"/>
        <w:jc w:val="both"/>
        <w:rPr>
          <w:rFonts w:ascii="Tahoma" w:hAnsi="Tahoma" w:cs="Tahoma"/>
          <w:spacing w:val="-2"/>
        </w:rPr>
      </w:pPr>
    </w:p>
    <w:p w14:paraId="3C4CCE74" w14:textId="623CAEEA" w:rsidR="007E2FA7" w:rsidRPr="006C474A" w:rsidRDefault="00891C3A" w:rsidP="00281CBF">
      <w:pPr>
        <w:pStyle w:val="Prrafodelista"/>
        <w:widowControl w:val="0"/>
        <w:numPr>
          <w:ilvl w:val="0"/>
          <w:numId w:val="3"/>
        </w:numPr>
        <w:autoSpaceDE w:val="0"/>
        <w:autoSpaceDN w:val="0"/>
        <w:adjustRightInd w:val="0"/>
        <w:spacing w:line="276" w:lineRule="auto"/>
        <w:jc w:val="center"/>
        <w:rPr>
          <w:rFonts w:ascii="Tahoma" w:hAnsi="Tahoma" w:cs="Tahoma"/>
          <w:b/>
          <w:bCs/>
          <w:spacing w:val="-2"/>
          <w:lang w:val="es-CO"/>
        </w:rPr>
      </w:pPr>
      <w:r w:rsidRPr="006C474A">
        <w:rPr>
          <w:rFonts w:ascii="Tahoma" w:hAnsi="Tahoma" w:cs="Tahoma"/>
          <w:b/>
          <w:bCs/>
          <w:spacing w:val="-2"/>
          <w:lang w:val="es-CO"/>
        </w:rPr>
        <w:t>RECURSO DE APELACIÓN</w:t>
      </w:r>
    </w:p>
    <w:p w14:paraId="3B38E85D" w14:textId="77777777" w:rsidR="008A4EEE" w:rsidRPr="006C474A" w:rsidRDefault="008A4EEE" w:rsidP="00281CBF">
      <w:pPr>
        <w:widowControl w:val="0"/>
        <w:autoSpaceDE w:val="0"/>
        <w:autoSpaceDN w:val="0"/>
        <w:adjustRightInd w:val="0"/>
        <w:spacing w:line="276" w:lineRule="auto"/>
        <w:ind w:firstLine="706"/>
        <w:jc w:val="both"/>
        <w:rPr>
          <w:rFonts w:ascii="Tahoma" w:hAnsi="Tahoma" w:cs="Tahoma"/>
          <w:spacing w:val="-2"/>
          <w:lang w:val="es-CO"/>
        </w:rPr>
      </w:pPr>
    </w:p>
    <w:p w14:paraId="6043DB11" w14:textId="6A80DF8D" w:rsidR="001F6872" w:rsidRPr="006C474A" w:rsidRDefault="001F6872" w:rsidP="00281CBF">
      <w:pPr>
        <w:widowControl w:val="0"/>
        <w:autoSpaceDE w:val="0"/>
        <w:autoSpaceDN w:val="0"/>
        <w:adjustRightInd w:val="0"/>
        <w:spacing w:line="276" w:lineRule="auto"/>
        <w:ind w:firstLine="706"/>
        <w:jc w:val="both"/>
        <w:rPr>
          <w:rFonts w:ascii="Tahoma" w:hAnsi="Tahoma" w:cs="Tahoma"/>
          <w:spacing w:val="-2"/>
        </w:rPr>
      </w:pPr>
      <w:bookmarkStart w:id="5" w:name="_Hlk111705359"/>
      <w:r w:rsidRPr="006C474A">
        <w:rPr>
          <w:rFonts w:ascii="Tahoma" w:hAnsi="Tahoma" w:cs="Tahoma"/>
          <w:spacing w:val="-2"/>
        </w:rPr>
        <w:t>El apoderado judicial</w:t>
      </w:r>
      <w:r w:rsidR="00847128" w:rsidRPr="006C474A">
        <w:rPr>
          <w:rFonts w:ascii="Tahoma" w:hAnsi="Tahoma" w:cs="Tahoma"/>
          <w:spacing w:val="-2"/>
        </w:rPr>
        <w:t xml:space="preserve"> del demandante en su alzada</w:t>
      </w:r>
      <w:r w:rsidRPr="006C474A">
        <w:rPr>
          <w:rFonts w:ascii="Tahoma" w:hAnsi="Tahoma" w:cs="Tahoma"/>
          <w:spacing w:val="-2"/>
        </w:rPr>
        <w:t xml:space="preserve"> solicitó la aplicación del precedente emanado por la Corte Constitucional respecto a la aplicación del principio de la Condición </w:t>
      </w:r>
      <w:r w:rsidR="008F381A" w:rsidRPr="006C474A">
        <w:rPr>
          <w:rFonts w:ascii="Tahoma" w:hAnsi="Tahoma" w:cs="Tahoma"/>
          <w:spacing w:val="-2"/>
        </w:rPr>
        <w:t xml:space="preserve">más </w:t>
      </w:r>
      <w:r w:rsidRPr="006C474A">
        <w:rPr>
          <w:rFonts w:ascii="Tahoma" w:hAnsi="Tahoma" w:cs="Tahoma"/>
          <w:spacing w:val="-2"/>
        </w:rPr>
        <w:t>Beneficios</w:t>
      </w:r>
      <w:r w:rsidR="006A161A" w:rsidRPr="006C474A">
        <w:rPr>
          <w:rFonts w:ascii="Tahoma" w:hAnsi="Tahoma" w:cs="Tahoma"/>
          <w:spacing w:val="-2"/>
        </w:rPr>
        <w:t>a, al considerar que el actor cumple con el test de procedibilidad de la sentencia SU 005-201</w:t>
      </w:r>
      <w:r w:rsidR="00821DF0" w:rsidRPr="006C474A">
        <w:rPr>
          <w:rFonts w:ascii="Tahoma" w:hAnsi="Tahoma" w:cs="Tahoma"/>
          <w:spacing w:val="-2"/>
        </w:rPr>
        <w:t>8</w:t>
      </w:r>
      <w:r w:rsidRPr="006C474A">
        <w:rPr>
          <w:rFonts w:ascii="Tahoma" w:hAnsi="Tahoma" w:cs="Tahoma"/>
          <w:spacing w:val="-2"/>
        </w:rPr>
        <w:t>.</w:t>
      </w:r>
    </w:p>
    <w:p w14:paraId="517D1537" w14:textId="60FCF56D" w:rsidR="002F151B" w:rsidRPr="006C474A" w:rsidRDefault="002F151B" w:rsidP="00281CBF">
      <w:pPr>
        <w:pStyle w:val="Sinespaciado"/>
        <w:spacing w:line="276" w:lineRule="auto"/>
        <w:rPr>
          <w:rFonts w:ascii="Tahoma" w:hAnsi="Tahoma" w:cs="Tahoma"/>
          <w:spacing w:val="-2"/>
        </w:rPr>
      </w:pPr>
    </w:p>
    <w:bookmarkEnd w:id="5"/>
    <w:p w14:paraId="63603455" w14:textId="0262F137" w:rsidR="00891C3A" w:rsidRPr="006C474A" w:rsidRDefault="00891C3A" w:rsidP="00281CBF">
      <w:pPr>
        <w:pStyle w:val="Prrafodelista"/>
        <w:widowControl w:val="0"/>
        <w:numPr>
          <w:ilvl w:val="0"/>
          <w:numId w:val="3"/>
        </w:numPr>
        <w:autoSpaceDE w:val="0"/>
        <w:autoSpaceDN w:val="0"/>
        <w:adjustRightInd w:val="0"/>
        <w:spacing w:line="276" w:lineRule="auto"/>
        <w:jc w:val="center"/>
        <w:rPr>
          <w:rFonts w:ascii="Tahoma" w:hAnsi="Tahoma" w:cs="Tahoma"/>
          <w:b/>
          <w:bCs/>
          <w:spacing w:val="-2"/>
          <w:lang w:val="es-CO"/>
        </w:rPr>
      </w:pPr>
      <w:r w:rsidRPr="006C474A">
        <w:rPr>
          <w:rFonts w:ascii="Tahoma" w:hAnsi="Tahoma" w:cs="Tahoma"/>
          <w:b/>
          <w:bCs/>
          <w:spacing w:val="-2"/>
          <w:lang w:val="es-CO"/>
        </w:rPr>
        <w:t>ALEGATOS DE CONCLUSIÓN/ CONCEPTO DEL MINISTERIO PÚBLICO</w:t>
      </w:r>
    </w:p>
    <w:p w14:paraId="1DD99D86" w14:textId="77777777" w:rsidR="00AA0F11" w:rsidRPr="006C474A" w:rsidRDefault="00AA0F11" w:rsidP="00281CBF">
      <w:pPr>
        <w:spacing w:line="276" w:lineRule="auto"/>
        <w:jc w:val="both"/>
        <w:rPr>
          <w:rStyle w:val="normaltextrun"/>
          <w:rFonts w:ascii="Tahoma" w:hAnsi="Tahoma" w:cs="Tahoma"/>
          <w:color w:val="000000"/>
          <w:spacing w:val="-2"/>
        </w:rPr>
      </w:pPr>
    </w:p>
    <w:p w14:paraId="4ECB68A4" w14:textId="317E45A1" w:rsidR="00AA0F11" w:rsidRPr="006C474A" w:rsidRDefault="00AA0F11" w:rsidP="00281CBF">
      <w:pPr>
        <w:spacing w:line="276" w:lineRule="auto"/>
        <w:ind w:firstLine="708"/>
        <w:jc w:val="both"/>
        <w:rPr>
          <w:rStyle w:val="normaltextrun"/>
          <w:rFonts w:ascii="Tahoma" w:hAnsi="Tahoma" w:cs="Tahoma"/>
          <w:color w:val="000000"/>
          <w:spacing w:val="-2"/>
        </w:rPr>
      </w:pPr>
      <w:r w:rsidRPr="006C474A">
        <w:rPr>
          <w:rStyle w:val="normaltextrun"/>
          <w:rFonts w:ascii="Tahoma" w:hAnsi="Tahoma" w:cs="Tahoma"/>
          <w:color w:val="000000"/>
          <w:spacing w:val="-2"/>
        </w:rPr>
        <w:t xml:space="preserve">Analizados los alegatos presentados </w:t>
      </w:r>
      <w:r w:rsidR="004A47DD" w:rsidRPr="006C474A">
        <w:rPr>
          <w:rStyle w:val="normaltextrun"/>
          <w:rFonts w:ascii="Tahoma" w:hAnsi="Tahoma" w:cs="Tahoma"/>
          <w:color w:val="000000"/>
          <w:spacing w:val="-2"/>
        </w:rPr>
        <w:t xml:space="preserve">por </w:t>
      </w:r>
      <w:r w:rsidR="006A161A" w:rsidRPr="006C474A">
        <w:rPr>
          <w:rStyle w:val="normaltextrun"/>
          <w:rFonts w:ascii="Tahoma" w:hAnsi="Tahoma" w:cs="Tahoma"/>
          <w:color w:val="000000"/>
          <w:spacing w:val="-2"/>
        </w:rPr>
        <w:t>el demandante</w:t>
      </w:r>
      <w:r w:rsidRPr="006C474A">
        <w:rPr>
          <w:rStyle w:val="normaltextrun"/>
          <w:rFonts w:ascii="Tahoma" w:hAnsi="Tahoma" w:cs="Tahoma"/>
          <w:color w:val="000000"/>
          <w:spacing w:val="-2"/>
        </w:rPr>
        <w:t>, mismos que obran en el expediente digital y a los cuales nos remitimos por economía procesal en virtud del artículo 280 del C.G.P., la Sala encuentra que los</w:t>
      </w:r>
      <w:r w:rsidR="001073B1" w:rsidRPr="006C474A">
        <w:rPr>
          <w:rStyle w:val="normaltextrun"/>
          <w:rFonts w:ascii="Tahoma" w:hAnsi="Tahoma" w:cs="Tahoma"/>
          <w:color w:val="000000"/>
          <w:spacing w:val="-2"/>
        </w:rPr>
        <w:t xml:space="preserve"> </w:t>
      </w:r>
      <w:r w:rsidRPr="006C474A">
        <w:rPr>
          <w:rStyle w:val="normaltextrun"/>
          <w:rFonts w:ascii="Tahoma" w:hAnsi="Tahoma" w:cs="Tahoma"/>
          <w:color w:val="000000"/>
          <w:spacing w:val="-2"/>
        </w:rPr>
        <w:t xml:space="preserve">argumentos fácticos y jurídicos expresados concuerdan con los puntos objeto de discusión en esta instancia y se relacionan con los problemas jurídicos que se expresan a continuación.  </w:t>
      </w:r>
      <w:r w:rsidR="00B36309" w:rsidRPr="006C474A">
        <w:rPr>
          <w:rStyle w:val="normaltextrun"/>
          <w:rFonts w:ascii="Tahoma" w:hAnsi="Tahoma" w:cs="Tahoma"/>
          <w:color w:val="000000"/>
          <w:spacing w:val="-2"/>
        </w:rPr>
        <w:t xml:space="preserve">Por su parte, el Ministerio Público no emitió concepto en el presente asunto. </w:t>
      </w:r>
    </w:p>
    <w:p w14:paraId="16F6FBBB" w14:textId="77777777" w:rsidR="00223C0B" w:rsidRPr="006C474A" w:rsidRDefault="00223C0B" w:rsidP="00281CBF">
      <w:pPr>
        <w:pStyle w:val="Sinespaciado"/>
        <w:spacing w:line="276" w:lineRule="auto"/>
        <w:rPr>
          <w:rFonts w:ascii="Tahoma" w:hAnsi="Tahoma" w:cs="Tahoma"/>
          <w:spacing w:val="-2"/>
        </w:rPr>
      </w:pPr>
    </w:p>
    <w:p w14:paraId="62F3537C" w14:textId="77777777" w:rsidR="00197F4F" w:rsidRPr="006C474A" w:rsidRDefault="00197F4F" w:rsidP="00281CBF">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spacing w:val="-2"/>
        </w:rPr>
      </w:pPr>
      <w:r w:rsidRPr="006C474A">
        <w:rPr>
          <w:rFonts w:ascii="Tahoma" w:hAnsi="Tahoma" w:cs="Tahoma"/>
          <w:b/>
          <w:caps/>
          <w:spacing w:val="-2"/>
        </w:rPr>
        <w:t>Problema jurídico por resolver</w:t>
      </w:r>
    </w:p>
    <w:p w14:paraId="3A5CC35A" w14:textId="40692193" w:rsidR="00C65EF6" w:rsidRPr="006C474A" w:rsidRDefault="00C65EF6" w:rsidP="00281CBF">
      <w:pPr>
        <w:pStyle w:val="Sinespaciado"/>
        <w:spacing w:line="276" w:lineRule="auto"/>
        <w:rPr>
          <w:rFonts w:ascii="Tahoma" w:hAnsi="Tahoma" w:cs="Tahoma"/>
          <w:spacing w:val="-2"/>
        </w:rPr>
      </w:pPr>
    </w:p>
    <w:p w14:paraId="69CB6C1A" w14:textId="05578014" w:rsidR="00D12BF0" w:rsidRPr="006C474A" w:rsidRDefault="00C16615" w:rsidP="00281CBF">
      <w:pPr>
        <w:spacing w:line="276" w:lineRule="auto"/>
        <w:ind w:firstLine="708"/>
        <w:jc w:val="both"/>
        <w:rPr>
          <w:rFonts w:ascii="Tahoma" w:hAnsi="Tahoma" w:cs="Tahoma"/>
          <w:spacing w:val="-2"/>
          <w:lang w:val="es-CO"/>
        </w:rPr>
      </w:pPr>
      <w:r w:rsidRPr="006C474A">
        <w:rPr>
          <w:rFonts w:ascii="Tahoma" w:hAnsi="Tahoma" w:cs="Tahoma"/>
          <w:spacing w:val="-2"/>
          <w:lang w:val="es-CO"/>
        </w:rPr>
        <w:t>De acuerdo a la sentencia de primera instancia y al esquema del recurso de apelación, e</w:t>
      </w:r>
      <w:r w:rsidR="00847128" w:rsidRPr="006C474A">
        <w:rPr>
          <w:rFonts w:ascii="Tahoma" w:hAnsi="Tahoma" w:cs="Tahoma"/>
          <w:spacing w:val="-2"/>
          <w:lang w:val="es-CO"/>
        </w:rPr>
        <w:t xml:space="preserve">l problema jurídico en el presente caso se circunscribe a determinar si en aplicación del principio de la condición más beneficiosa, el señor </w:t>
      </w:r>
      <w:r w:rsidR="006A161A" w:rsidRPr="006C474A">
        <w:rPr>
          <w:rFonts w:ascii="Tahoma" w:hAnsi="Tahoma" w:cs="Tahoma"/>
          <w:spacing w:val="-2"/>
        </w:rPr>
        <w:t>César Augusto García</w:t>
      </w:r>
      <w:r w:rsidR="00847128" w:rsidRPr="006C474A">
        <w:rPr>
          <w:rFonts w:ascii="Tahoma" w:hAnsi="Tahoma" w:cs="Tahoma"/>
          <w:spacing w:val="-2"/>
        </w:rPr>
        <w:t xml:space="preserve"> tiene derecho a que se reconozca y pague la pensión de sobrevivientes bajo los postulados del Acuerdo 049 de 1990</w:t>
      </w:r>
      <w:r w:rsidR="00F54C2D" w:rsidRPr="006C474A">
        <w:rPr>
          <w:rFonts w:ascii="Tahoma" w:hAnsi="Tahoma" w:cs="Tahoma"/>
          <w:spacing w:val="-2"/>
          <w:lang w:val="es-CO"/>
        </w:rPr>
        <w:t xml:space="preserve">. </w:t>
      </w:r>
    </w:p>
    <w:p w14:paraId="08D935D1" w14:textId="77777777" w:rsidR="0036288F" w:rsidRPr="006C474A" w:rsidRDefault="0036288F" w:rsidP="00281CBF">
      <w:pPr>
        <w:spacing w:line="276" w:lineRule="auto"/>
        <w:ind w:firstLine="708"/>
        <w:jc w:val="both"/>
        <w:rPr>
          <w:rFonts w:ascii="Tahoma" w:hAnsi="Tahoma" w:cs="Tahoma"/>
          <w:spacing w:val="-2"/>
          <w:lang w:val="es-CO"/>
        </w:rPr>
      </w:pPr>
    </w:p>
    <w:p w14:paraId="1DFC596C" w14:textId="0FF24F65" w:rsidR="003A3BBB" w:rsidRPr="006C474A" w:rsidRDefault="003A3BBB" w:rsidP="00281CBF">
      <w:pPr>
        <w:widowControl w:val="0"/>
        <w:numPr>
          <w:ilvl w:val="0"/>
          <w:numId w:val="3"/>
        </w:numPr>
        <w:autoSpaceDE w:val="0"/>
        <w:autoSpaceDN w:val="0"/>
        <w:adjustRightInd w:val="0"/>
        <w:spacing w:line="276" w:lineRule="auto"/>
        <w:ind w:left="522" w:hanging="522"/>
        <w:jc w:val="center"/>
        <w:rPr>
          <w:rFonts w:ascii="Tahoma" w:hAnsi="Tahoma" w:cs="Tahoma"/>
          <w:b/>
          <w:caps/>
          <w:spacing w:val="-2"/>
        </w:rPr>
      </w:pPr>
      <w:r w:rsidRPr="006C474A">
        <w:rPr>
          <w:rFonts w:ascii="Tahoma" w:hAnsi="Tahoma" w:cs="Tahoma"/>
          <w:b/>
          <w:caps/>
          <w:spacing w:val="-2"/>
        </w:rPr>
        <w:t>Consideraciones</w:t>
      </w:r>
    </w:p>
    <w:p w14:paraId="12AE0645" w14:textId="77777777" w:rsidR="00CC1D1D" w:rsidRPr="006C474A" w:rsidRDefault="00CC1D1D" w:rsidP="00281CBF">
      <w:pPr>
        <w:pStyle w:val="Sinespaciado"/>
        <w:spacing w:line="276" w:lineRule="auto"/>
        <w:rPr>
          <w:rFonts w:ascii="Tahoma" w:hAnsi="Tahoma" w:cs="Tahoma"/>
          <w:spacing w:val="-2"/>
        </w:rPr>
      </w:pPr>
    </w:p>
    <w:p w14:paraId="6D7D9254" w14:textId="563C21E7" w:rsidR="00461C34" w:rsidRPr="006C474A" w:rsidRDefault="00A77341" w:rsidP="00281CBF">
      <w:pPr>
        <w:pStyle w:val="Prrafodelista"/>
        <w:widowControl w:val="0"/>
        <w:numPr>
          <w:ilvl w:val="1"/>
          <w:numId w:val="16"/>
        </w:numPr>
        <w:autoSpaceDE w:val="0"/>
        <w:autoSpaceDN w:val="0"/>
        <w:adjustRightInd w:val="0"/>
        <w:spacing w:line="276" w:lineRule="auto"/>
        <w:jc w:val="both"/>
        <w:rPr>
          <w:rFonts w:ascii="Tahoma" w:hAnsi="Tahoma" w:cs="Tahoma"/>
          <w:b/>
          <w:caps/>
          <w:spacing w:val="-2"/>
        </w:rPr>
      </w:pPr>
      <w:r w:rsidRPr="006C474A">
        <w:rPr>
          <w:rFonts w:ascii="Tahoma" w:hAnsi="Tahoma" w:cs="Tahoma"/>
          <w:b/>
          <w:spacing w:val="-2"/>
        </w:rPr>
        <w:t xml:space="preserve">Pensión de sobreviviente con aplicación del principio de la condición </w:t>
      </w:r>
      <w:r w:rsidRPr="006C474A">
        <w:rPr>
          <w:rFonts w:ascii="Tahoma" w:hAnsi="Tahoma" w:cs="Tahoma"/>
          <w:b/>
          <w:spacing w:val="-2"/>
        </w:rPr>
        <w:lastRenderedPageBreak/>
        <w:t>más beneficiosa – Acuerdo 049 de 1990</w:t>
      </w:r>
    </w:p>
    <w:p w14:paraId="226C0E83" w14:textId="77777777" w:rsidR="00B70BD7" w:rsidRPr="006C474A" w:rsidRDefault="00B70BD7" w:rsidP="00281CBF">
      <w:pPr>
        <w:pStyle w:val="Sinespaciado"/>
        <w:spacing w:line="276" w:lineRule="auto"/>
        <w:rPr>
          <w:rFonts w:ascii="Tahoma" w:hAnsi="Tahoma" w:cs="Tahoma"/>
          <w:spacing w:val="-2"/>
        </w:rPr>
      </w:pPr>
    </w:p>
    <w:p w14:paraId="16E71E2B" w14:textId="77777777" w:rsidR="00EF0303" w:rsidRPr="006C474A" w:rsidRDefault="00EF0303" w:rsidP="00281CBF">
      <w:pPr>
        <w:widowControl w:val="0"/>
        <w:autoSpaceDE w:val="0"/>
        <w:autoSpaceDN w:val="0"/>
        <w:adjustRightInd w:val="0"/>
        <w:spacing w:line="276" w:lineRule="auto"/>
        <w:ind w:firstLine="708"/>
        <w:jc w:val="both"/>
        <w:rPr>
          <w:rFonts w:ascii="Tahoma" w:hAnsi="Tahoma" w:cs="Tahoma"/>
          <w:spacing w:val="-2"/>
        </w:rPr>
      </w:pPr>
      <w:r w:rsidRPr="006C474A">
        <w:rPr>
          <w:rFonts w:ascii="Tahoma" w:hAnsi="Tahoma" w:cs="Tahoma"/>
          <w:spacing w:val="-2"/>
        </w:rPr>
        <w:t xml:space="preserve">Es sabido que la normatividad aplicable a la pensión de sobrevivientes es la legislación vigente al momento del fallecimiento del afiliado, no obstante, por excepción es posible acudir a la normatividad anterior con el fin de determinar la concesión o no de la gracia pensional en aplicación del </w:t>
      </w:r>
      <w:r w:rsidRPr="006C474A">
        <w:rPr>
          <w:rFonts w:ascii="Tahoma" w:hAnsi="Tahoma" w:cs="Tahoma"/>
          <w:i/>
          <w:spacing w:val="-2"/>
        </w:rPr>
        <w:t>“Principio de la condición más beneficiosa</w:t>
      </w:r>
      <w:r w:rsidRPr="006C474A">
        <w:rPr>
          <w:rFonts w:ascii="Tahoma" w:hAnsi="Tahoma" w:cs="Tahoma"/>
          <w:spacing w:val="-2"/>
        </w:rPr>
        <w:t xml:space="preserve">”, siempre y cuando el causante o el afiliado, según se trate de pensión de sobrevivencia o pensión de invalidez, haya acumulado el número mínimo de semanas para causar el derecho conforme a las regulaciones previas a la norma vigente a la fecha del fallecimiento o la estructuración de la invalidez, según el caso.  </w:t>
      </w:r>
    </w:p>
    <w:p w14:paraId="3B7D07BA" w14:textId="77777777" w:rsidR="00EF0303" w:rsidRPr="006C474A" w:rsidRDefault="00EF0303" w:rsidP="00281CBF">
      <w:pPr>
        <w:pStyle w:val="Sinespaciado"/>
        <w:spacing w:line="276" w:lineRule="auto"/>
        <w:rPr>
          <w:rFonts w:ascii="Tahoma" w:hAnsi="Tahoma" w:cs="Tahoma"/>
          <w:spacing w:val="-2"/>
        </w:rPr>
      </w:pPr>
    </w:p>
    <w:p w14:paraId="469E3593" w14:textId="0F733C45" w:rsidR="00EF0303" w:rsidRPr="006C474A" w:rsidRDefault="00EF0303" w:rsidP="00281CBF">
      <w:pPr>
        <w:widowControl w:val="0"/>
        <w:autoSpaceDE w:val="0"/>
        <w:autoSpaceDN w:val="0"/>
        <w:adjustRightInd w:val="0"/>
        <w:spacing w:line="276" w:lineRule="auto"/>
        <w:ind w:firstLine="708"/>
        <w:jc w:val="both"/>
        <w:rPr>
          <w:rFonts w:ascii="Tahoma" w:hAnsi="Tahoma" w:cs="Tahoma"/>
          <w:i/>
          <w:spacing w:val="-2"/>
        </w:rPr>
      </w:pPr>
      <w:r w:rsidRPr="006C474A">
        <w:rPr>
          <w:rFonts w:ascii="Tahoma" w:hAnsi="Tahoma" w:cs="Tahoma"/>
          <w:spacing w:val="-2"/>
        </w:rPr>
        <w:t xml:space="preserve">Atendiendo la interpretación que tuvo la Corte Constitucional sobre la materia, la cual resulta más favorable para el beneficiario, es posible el salto de la Ley 797 de 2003 al Acuerdo 049 de 1990, en la medida en que el artículo 53 de la Constitución no restringe la aplicación de la condición más beneficiosa a sólo dos normas aplicables al caso. En ese sentido, el presente asunto puede analizarse a la luz del aludido acuerdo, que si bien no es la norma inmediatamente anterior, se acompasa al precedente del Tribunal Constitucional, quien a través de la sentencia SU-442 del 18 de agosto de 2016 </w:t>
      </w:r>
      <w:r w:rsidRPr="006C474A">
        <w:rPr>
          <w:rFonts w:ascii="Tahoma" w:hAnsi="Tahoma" w:cs="Tahoma"/>
          <w:i/>
          <w:spacing w:val="-2"/>
        </w:rPr>
        <w:t>–en la que se analizó una pensión de invalidez-</w:t>
      </w:r>
      <w:r w:rsidRPr="006C474A">
        <w:rPr>
          <w:rFonts w:ascii="Tahoma" w:hAnsi="Tahoma" w:cs="Tahoma"/>
          <w:spacing w:val="-2"/>
        </w:rPr>
        <w:t xml:space="preserve">, unificó los criterios en relación con la aplicación de principio en comento, reiterando los precedentes anteriores y precisando que </w:t>
      </w:r>
      <w:r w:rsidRPr="006C474A">
        <w:rPr>
          <w:rFonts w:ascii="Tahoma" w:hAnsi="Tahoma" w:cs="Tahoma"/>
          <w:i/>
          <w:spacing w:val="-2"/>
        </w:rPr>
        <w:t>“</w:t>
      </w:r>
      <w:r w:rsidRPr="006C474A">
        <w:rPr>
          <w:rFonts w:ascii="Tahoma" w:hAnsi="Tahoma" w:cs="Tahoma"/>
          <w:i/>
          <w:spacing w:val="-2"/>
          <w:sz w:val="22"/>
        </w:rPr>
        <w:t>Si bien el legislador podía introducir ajustes o incluso reformas estructurales al sistema pensional, debía hacerlo en un marco de respeto por los derechos adquiridos y las expectativas legítimas</w:t>
      </w:r>
      <w:r w:rsidRPr="006C474A">
        <w:rPr>
          <w:rFonts w:ascii="Tahoma" w:hAnsi="Tahoma" w:cs="Tahoma"/>
          <w:i/>
          <w:spacing w:val="-2"/>
        </w:rPr>
        <w:t>”</w:t>
      </w:r>
      <w:r w:rsidRPr="006C474A">
        <w:rPr>
          <w:rFonts w:ascii="Tahoma" w:hAnsi="Tahoma" w:cs="Tahoma"/>
          <w:spacing w:val="-2"/>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6C474A">
        <w:rPr>
          <w:rFonts w:ascii="Tahoma" w:hAnsi="Tahoma" w:cs="Tahoma"/>
          <w:i/>
          <w:spacing w:val="-2"/>
          <w:sz w:val="22"/>
        </w:rPr>
        <w:t>no puede hablarse de un detrimento para la sostenibilidad financiera del sistema pensional</w:t>
      </w:r>
      <w:r w:rsidRPr="006C474A">
        <w:rPr>
          <w:rFonts w:ascii="Tahoma" w:hAnsi="Tahoma" w:cs="Tahoma"/>
          <w:i/>
          <w:spacing w:val="-2"/>
        </w:rPr>
        <w:t>”.</w:t>
      </w:r>
    </w:p>
    <w:p w14:paraId="3E7A1B6C" w14:textId="77777777" w:rsidR="00EF0303" w:rsidRPr="006C474A" w:rsidRDefault="00EF0303" w:rsidP="00281CBF">
      <w:pPr>
        <w:pStyle w:val="Sinespaciado"/>
        <w:spacing w:line="276" w:lineRule="auto"/>
        <w:rPr>
          <w:rFonts w:ascii="Tahoma" w:hAnsi="Tahoma" w:cs="Tahoma"/>
          <w:spacing w:val="-2"/>
        </w:rPr>
      </w:pPr>
    </w:p>
    <w:p w14:paraId="6D7AE1F6" w14:textId="77777777" w:rsidR="00EF0303" w:rsidRPr="006C474A" w:rsidRDefault="00EF0303" w:rsidP="00281CBF">
      <w:pPr>
        <w:spacing w:line="276" w:lineRule="auto"/>
        <w:ind w:firstLine="709"/>
        <w:jc w:val="both"/>
        <w:rPr>
          <w:rFonts w:ascii="Tahoma" w:eastAsia="Tahoma" w:hAnsi="Tahoma" w:cs="Tahoma"/>
          <w:color w:val="000000"/>
          <w:spacing w:val="-2"/>
        </w:rPr>
      </w:pPr>
      <w:r w:rsidRPr="006C474A">
        <w:rPr>
          <w:rFonts w:ascii="Tahoma" w:eastAsia="Tahoma" w:hAnsi="Tahoma" w:cs="Tahoma"/>
          <w:color w:val="000000"/>
          <w:spacing w:val="-2"/>
        </w:rPr>
        <w:t>Sin embargo, en sentencia SU-005 de 2018, la Corte Constitucional modificó su precedente y condicionó la procedencia de la acción de tutela para conceder la pensión de sobrevivientes consagrada en el Acuerdo 049 de 1990, en aplicación del principio de la condición más beneficiosa, siempre que se evidencie que:</w:t>
      </w:r>
      <w:r w:rsidRPr="006C474A">
        <w:rPr>
          <w:rFonts w:ascii="Tahoma" w:eastAsia="Tahoma" w:hAnsi="Tahoma" w:cs="Tahoma"/>
          <w:i/>
          <w:iCs/>
          <w:color w:val="000000"/>
          <w:spacing w:val="-2"/>
        </w:rPr>
        <w:t xml:space="preserve"> i) el accionante pertenece a un grupo de especial protección constitucional o se encuentra en uno o varios supuestos de riesgo tales como analfabetismo, vejez, enfermedad, pobreza extrema, cabeza de familia o desplazamiento; ii) que el no reconocimiento de la prestación afecta su mínimo vital; iii) la dependencia económica hacia el causante; iv) la imposibilidad del causante de cotizar las semanas exigidas en el sistema de pensiones y, v) la actuación diligente del accionante para reclamar la pensión administrativa y judicialmente. </w:t>
      </w:r>
      <w:r w:rsidRPr="006C474A">
        <w:rPr>
          <w:rFonts w:ascii="Tahoma" w:eastAsia="Tahoma" w:hAnsi="Tahoma" w:cs="Tahoma"/>
          <w:iCs/>
          <w:color w:val="000000"/>
          <w:spacing w:val="-2"/>
        </w:rPr>
        <w:t xml:space="preserve">Esta sentencia tuvo tres importantes salvamentos de voto que estuvieron en desacuerdo con la </w:t>
      </w:r>
      <w:r w:rsidRPr="006C474A">
        <w:rPr>
          <w:rFonts w:ascii="Tahoma" w:hAnsi="Tahoma" w:cs="Tahoma"/>
          <w:spacing w:val="-2"/>
        </w:rPr>
        <w:t>nueva postura, la cual, según explican, constituye un cambio de tal magnitud que limita y contradice la postura pacífica que se venía sosteniendo de tiempo atrás. Sobre estos salvamentos volveremos más adelante</w:t>
      </w:r>
      <w:r w:rsidRPr="006C474A">
        <w:rPr>
          <w:rFonts w:ascii="Tahoma" w:eastAsia="Tahoma" w:hAnsi="Tahoma" w:cs="Tahoma"/>
          <w:iCs/>
          <w:color w:val="000000"/>
          <w:spacing w:val="-2"/>
        </w:rPr>
        <w:t>.</w:t>
      </w:r>
    </w:p>
    <w:p w14:paraId="1E3B9181" w14:textId="77777777" w:rsidR="00EF0303" w:rsidRPr="006C474A" w:rsidRDefault="00EF0303" w:rsidP="00281CBF">
      <w:pPr>
        <w:pStyle w:val="Sinespaciado"/>
        <w:spacing w:line="276" w:lineRule="auto"/>
        <w:rPr>
          <w:rFonts w:ascii="Tahoma" w:hAnsi="Tahoma" w:cs="Tahoma"/>
          <w:spacing w:val="-2"/>
        </w:rPr>
      </w:pPr>
    </w:p>
    <w:p w14:paraId="6E49D482" w14:textId="77777777" w:rsidR="00EF0303" w:rsidRPr="006C474A" w:rsidRDefault="00EF0303" w:rsidP="00281CBF">
      <w:pPr>
        <w:overflowPunct w:val="0"/>
        <w:autoSpaceDE w:val="0"/>
        <w:autoSpaceDN w:val="0"/>
        <w:adjustRightInd w:val="0"/>
        <w:spacing w:line="276" w:lineRule="auto"/>
        <w:ind w:right="193" w:firstLine="709"/>
        <w:jc w:val="both"/>
        <w:textAlignment w:val="baseline"/>
        <w:rPr>
          <w:rFonts w:ascii="Tahoma" w:hAnsi="Tahoma" w:cs="Tahoma"/>
          <w:spacing w:val="-2"/>
        </w:rPr>
      </w:pPr>
      <w:bookmarkStart w:id="6" w:name="_Hlk139980927"/>
      <w:r w:rsidRPr="006C474A">
        <w:rPr>
          <w:rFonts w:ascii="Tahoma" w:hAnsi="Tahoma" w:cs="Tahoma"/>
          <w:spacing w:val="-2"/>
        </w:rPr>
        <w:t xml:space="preserve">Por su parte, la Sala de Casación Civil de la Corte Suprema de Justicia también avaló la aplicación del principio de condición más beneficiosa acudiendo a una norma </w:t>
      </w:r>
      <w:r w:rsidRPr="006C474A">
        <w:rPr>
          <w:rFonts w:ascii="Tahoma" w:hAnsi="Tahoma" w:cs="Tahoma"/>
          <w:spacing w:val="-2"/>
        </w:rPr>
        <w:lastRenderedPageBreak/>
        <w:t>pretérita que no necesariamente es la inmediatamente anterior</w:t>
      </w:r>
      <w:bookmarkEnd w:id="6"/>
      <w:r w:rsidRPr="006C474A">
        <w:rPr>
          <w:rFonts w:ascii="Tahoma" w:hAnsi="Tahoma" w:cs="Tahoma"/>
          <w:spacing w:val="-2"/>
        </w:rPr>
        <w:t xml:space="preserve">. Así lo sostuvo en la sentencia de tutela del 20 de noviembre de 2020, STC10214-2020, M.P. Francisco Ternera Barrios, en la que revocó el fallo de tutela proferido en primera instancia por su homóloga de la especialidad Penal, resaltando que era factible acudir al contenido del Acuerdo 049 de 1990 en aquellos casos en los que el siniestro ocurrió en vigencia de la Ley 797 de 2003 pero se contaba con la densidad de semanas exigidas por dicho acuerdo; ello en aplicación del precedente sentado por la Corte Constitucional frente al principio de la condición más beneficiosa. En estos términos se pronunció el Alto Tribunal: </w:t>
      </w:r>
    </w:p>
    <w:p w14:paraId="216A667B" w14:textId="77777777" w:rsidR="00EF0303" w:rsidRPr="006C474A" w:rsidRDefault="00EF0303" w:rsidP="00281CBF">
      <w:pPr>
        <w:pStyle w:val="Sinespaciado"/>
        <w:spacing w:line="276" w:lineRule="auto"/>
        <w:rPr>
          <w:rFonts w:ascii="Tahoma" w:hAnsi="Tahoma" w:cs="Tahoma"/>
          <w:spacing w:val="-2"/>
        </w:rPr>
      </w:pPr>
    </w:p>
    <w:p w14:paraId="09EA3BDA" w14:textId="77777777" w:rsidR="00EF0303" w:rsidRPr="006C474A" w:rsidRDefault="00EF0303" w:rsidP="006844D3">
      <w:pPr>
        <w:overflowPunct w:val="0"/>
        <w:autoSpaceDE w:val="0"/>
        <w:autoSpaceDN w:val="0"/>
        <w:adjustRightInd w:val="0"/>
        <w:ind w:left="426" w:right="420"/>
        <w:jc w:val="both"/>
        <w:textAlignment w:val="baseline"/>
        <w:rPr>
          <w:rFonts w:ascii="Tahoma" w:hAnsi="Tahoma" w:cs="Tahoma"/>
          <w:i/>
          <w:spacing w:val="-2"/>
          <w:sz w:val="22"/>
        </w:rPr>
      </w:pPr>
      <w:r w:rsidRPr="006C474A">
        <w:rPr>
          <w:rFonts w:ascii="Tahoma" w:hAnsi="Tahoma" w:cs="Tahoma"/>
          <w:i/>
          <w:spacing w:val="-2"/>
          <w:sz w:val="22"/>
        </w:rPr>
        <w:t xml:space="preserve">“Conforme a lo anterior, se tiene que para el reconocimiento de la pensión de sobrevivientes por muerte de origen común proceda, el beneficiario del asegurado debe acreditar que el causante haya cotizado 300 semanas al sistema de pensión y, de conformidad con lo establecido en los precedentes emitidos por la Corte Constitucional, éstas se hubiesen realizado en su totalidad, con antelación a la vigencia de la Ley 100 de 1993. </w:t>
      </w:r>
    </w:p>
    <w:p w14:paraId="7A06D263" w14:textId="77777777" w:rsidR="00EF0303" w:rsidRPr="006C474A" w:rsidRDefault="00EF0303" w:rsidP="006844D3">
      <w:pPr>
        <w:pStyle w:val="Sinespaciado"/>
        <w:ind w:left="426" w:right="420"/>
        <w:rPr>
          <w:rFonts w:ascii="Tahoma" w:hAnsi="Tahoma" w:cs="Tahoma"/>
          <w:spacing w:val="-2"/>
          <w:sz w:val="22"/>
        </w:rPr>
      </w:pPr>
    </w:p>
    <w:p w14:paraId="72C22902" w14:textId="77777777" w:rsidR="00EF0303" w:rsidRPr="006C474A" w:rsidRDefault="00EF0303" w:rsidP="006844D3">
      <w:pPr>
        <w:overflowPunct w:val="0"/>
        <w:autoSpaceDE w:val="0"/>
        <w:autoSpaceDN w:val="0"/>
        <w:adjustRightInd w:val="0"/>
        <w:ind w:left="426" w:right="420"/>
        <w:jc w:val="both"/>
        <w:textAlignment w:val="baseline"/>
        <w:rPr>
          <w:rFonts w:ascii="Tahoma" w:hAnsi="Tahoma" w:cs="Tahoma"/>
          <w:i/>
          <w:spacing w:val="-2"/>
          <w:sz w:val="22"/>
        </w:rPr>
      </w:pPr>
      <w:r w:rsidRPr="006C474A">
        <w:rPr>
          <w:rFonts w:ascii="Tahoma" w:hAnsi="Tahoma" w:cs="Tahoma"/>
          <w:i/>
          <w:spacing w:val="-2"/>
          <w:sz w:val="22"/>
        </w:rPr>
        <w:t>Así, de cara al caso concreto, se tiene que tales presupuestos se encuentran satisfechos, ya que el señor José Julián Rojas Sánchez, compañero permanente de la hoy reclamante, había cotizado un total de 300.99</w:t>
      </w:r>
      <w:r w:rsidRPr="006C474A">
        <w:rPr>
          <w:rFonts w:ascii="Tahoma" w:hAnsi="Tahoma" w:cs="Tahoma"/>
          <w:i/>
          <w:spacing w:val="-2"/>
          <w:sz w:val="22"/>
          <w:vertAlign w:val="superscript"/>
        </w:rPr>
        <w:footnoteReference w:id="2"/>
      </w:r>
      <w:r w:rsidRPr="006C474A">
        <w:rPr>
          <w:rFonts w:ascii="Tahoma" w:hAnsi="Tahoma" w:cs="Tahoma"/>
          <w:i/>
          <w:spacing w:val="-2"/>
          <w:sz w:val="22"/>
        </w:rPr>
        <w:t xml:space="preserve"> semanas en vigor del acuerdo 049 de 1990, de manera que, estando vigente ese régimen, a su patrimonio ingresó el derecho a la aplicación de ese sistema, por lo cual la nueva ley no podía menoscabar el derecho válidamente adquirido por el trabajador. Resulta incuestionable, que la Ley 797 de 2003 al momento del fallecimiento del señor Rojas era desfavorable para los intereses de la promotora. No obstante, resulta aplicable por el Acuerdo 049 de 1990 aprobado por el Decreto 758 de 1990, en atención al principio de la condición más beneficiosa, pues el causante, al momento de la vigencia de esa disposición, contaba con una densidad superior a 300 semanas cotizadas, cumpliendo con la exigencia pecuniaria o temporal establecida en ese instante.”</w:t>
      </w:r>
    </w:p>
    <w:p w14:paraId="1DAC141C" w14:textId="77777777" w:rsidR="00EF0303" w:rsidRPr="006C474A" w:rsidRDefault="00EF0303" w:rsidP="00281CBF">
      <w:pPr>
        <w:pStyle w:val="Sinespaciado"/>
        <w:spacing w:line="276" w:lineRule="auto"/>
        <w:rPr>
          <w:rFonts w:ascii="Tahoma" w:hAnsi="Tahoma" w:cs="Tahoma"/>
          <w:spacing w:val="-2"/>
        </w:rPr>
      </w:pPr>
      <w:r w:rsidRPr="006C474A">
        <w:rPr>
          <w:rFonts w:ascii="Tahoma" w:hAnsi="Tahoma" w:cs="Tahoma"/>
          <w:spacing w:val="-2"/>
        </w:rPr>
        <w:tab/>
      </w:r>
    </w:p>
    <w:p w14:paraId="6D8C3CAD" w14:textId="77777777" w:rsidR="00EF0303" w:rsidRPr="006C474A" w:rsidRDefault="00EF0303" w:rsidP="00281CBF">
      <w:pPr>
        <w:overflowPunct w:val="0"/>
        <w:autoSpaceDE w:val="0"/>
        <w:autoSpaceDN w:val="0"/>
        <w:adjustRightInd w:val="0"/>
        <w:spacing w:line="276" w:lineRule="auto"/>
        <w:ind w:right="193" w:firstLine="708"/>
        <w:jc w:val="both"/>
        <w:textAlignment w:val="baseline"/>
        <w:rPr>
          <w:rFonts w:ascii="Tahoma" w:hAnsi="Tahoma" w:cs="Tahoma"/>
          <w:spacing w:val="-2"/>
        </w:rPr>
      </w:pPr>
      <w:r w:rsidRPr="006C474A">
        <w:rPr>
          <w:rFonts w:ascii="Tahoma" w:hAnsi="Tahoma" w:cs="Tahoma"/>
          <w:spacing w:val="-2"/>
        </w:rPr>
        <w:t xml:space="preserve">Como pilar fundamental de la providencia en comento, la Corte Suprema se refirió al principio de </w:t>
      </w:r>
      <w:r w:rsidRPr="006C474A">
        <w:rPr>
          <w:rFonts w:ascii="Tahoma" w:hAnsi="Tahoma" w:cs="Tahoma"/>
          <w:b/>
          <w:i/>
          <w:spacing w:val="-2"/>
        </w:rPr>
        <w:t>In dubio Pro Operario</w:t>
      </w:r>
      <w:r w:rsidRPr="006C474A">
        <w:rPr>
          <w:rFonts w:ascii="Tahoma" w:hAnsi="Tahoma" w:cs="Tahoma"/>
          <w:spacing w:val="-2"/>
        </w:rPr>
        <w:t xml:space="preserve"> en los siguientes términos:</w:t>
      </w:r>
    </w:p>
    <w:p w14:paraId="3800B621" w14:textId="77777777" w:rsidR="00EF0303" w:rsidRPr="006C474A" w:rsidRDefault="00EF0303" w:rsidP="00281CBF">
      <w:pPr>
        <w:pStyle w:val="Sinespaciado"/>
        <w:spacing w:line="276" w:lineRule="auto"/>
        <w:rPr>
          <w:rFonts w:ascii="Tahoma" w:hAnsi="Tahoma" w:cs="Tahoma"/>
          <w:spacing w:val="-2"/>
        </w:rPr>
      </w:pPr>
    </w:p>
    <w:p w14:paraId="0E57DE71" w14:textId="77777777" w:rsidR="00EF0303" w:rsidRPr="006C474A" w:rsidRDefault="00EF0303" w:rsidP="006844D3">
      <w:pPr>
        <w:overflowPunct w:val="0"/>
        <w:autoSpaceDE w:val="0"/>
        <w:autoSpaceDN w:val="0"/>
        <w:adjustRightInd w:val="0"/>
        <w:ind w:left="426" w:right="420"/>
        <w:jc w:val="both"/>
        <w:textAlignment w:val="baseline"/>
        <w:rPr>
          <w:rFonts w:ascii="Tahoma" w:hAnsi="Tahoma" w:cs="Tahoma"/>
          <w:i/>
          <w:spacing w:val="-2"/>
          <w:sz w:val="22"/>
        </w:rPr>
      </w:pPr>
      <w:r w:rsidRPr="006C474A">
        <w:rPr>
          <w:rFonts w:ascii="Tahoma" w:hAnsi="Tahoma" w:cs="Tahoma"/>
          <w:i/>
          <w:spacing w:val="-2"/>
          <w:sz w:val="22"/>
        </w:rPr>
        <w:t>“Igualmente, la jurisprudencia constitucional también ha consignado que el juzgador ordinario debe efectuar la exegesis más garantista en esta temática, de acuerdo con el postulado universal del «in dubio pro operario», en efecto, precisó que:</w:t>
      </w:r>
    </w:p>
    <w:p w14:paraId="5BFD4F58" w14:textId="77777777" w:rsidR="00EF0303" w:rsidRPr="006C474A" w:rsidRDefault="00EF0303" w:rsidP="006844D3">
      <w:pPr>
        <w:overflowPunct w:val="0"/>
        <w:autoSpaceDE w:val="0"/>
        <w:autoSpaceDN w:val="0"/>
        <w:adjustRightInd w:val="0"/>
        <w:ind w:left="426" w:right="420"/>
        <w:jc w:val="both"/>
        <w:textAlignment w:val="baseline"/>
        <w:rPr>
          <w:rFonts w:ascii="Tahoma" w:hAnsi="Tahoma" w:cs="Tahoma"/>
          <w:i/>
          <w:spacing w:val="-2"/>
          <w:sz w:val="22"/>
        </w:rPr>
      </w:pPr>
    </w:p>
    <w:p w14:paraId="1FD9C8F3" w14:textId="77777777" w:rsidR="00EF0303" w:rsidRPr="006C474A" w:rsidRDefault="00EF0303" w:rsidP="00425BF1">
      <w:pPr>
        <w:overflowPunct w:val="0"/>
        <w:autoSpaceDE w:val="0"/>
        <w:autoSpaceDN w:val="0"/>
        <w:adjustRightInd w:val="0"/>
        <w:ind w:left="851" w:right="845"/>
        <w:jc w:val="both"/>
        <w:textAlignment w:val="baseline"/>
        <w:rPr>
          <w:rFonts w:ascii="Tahoma" w:hAnsi="Tahoma" w:cs="Tahoma"/>
          <w:i/>
          <w:spacing w:val="-2"/>
          <w:sz w:val="22"/>
        </w:rPr>
      </w:pPr>
      <w:r w:rsidRPr="006C474A">
        <w:rPr>
          <w:rFonts w:ascii="Tahoma" w:hAnsi="Tahoma" w:cs="Tahoma"/>
          <w:i/>
          <w:spacing w:val="-2"/>
          <w:sz w:val="22"/>
        </w:rPr>
        <w:t>…pueden surgir dudas sobre el alcance de la condición más beneficiosa como extensión del principio de favorabilidad, en particular si se le interpreta de manera conjunta con otros principios constitucionales y legales. Así, por un lado, en virtud de los principios de legalidad de la legislación laboral y de seguridad jurídica, podría argumentarse que el mencionado principio de favorabilidad en su extensión a la condición más beneficiosa debe limitar su aplicación en el tiempo solo a la norma inmediatamente anterior a la vigente al momento de causarse la pensión. Pero también, con fundamento en otros principios constitucionales como el respeto de la confianza legítima, solidaridad y buena fe (artículos 58 y 83 de la Constitución), puede entenderse que el alcance del principio de favorabilidad en la condición más beneficiosa no limita su aplicación en el tiempo a la norma inmediatamente anterior a la vigente al momento de causación de la pensión de sobrevivientes, esto es, el régimen legal vigente al momento de la muerte del causante (…)”.</w:t>
      </w:r>
    </w:p>
    <w:p w14:paraId="00FECDED" w14:textId="77777777" w:rsidR="00EF0303" w:rsidRPr="006C474A" w:rsidRDefault="00EF0303" w:rsidP="00425BF1">
      <w:pPr>
        <w:overflowPunct w:val="0"/>
        <w:autoSpaceDE w:val="0"/>
        <w:autoSpaceDN w:val="0"/>
        <w:adjustRightInd w:val="0"/>
        <w:ind w:left="851" w:right="845"/>
        <w:jc w:val="both"/>
        <w:textAlignment w:val="baseline"/>
        <w:rPr>
          <w:rFonts w:ascii="Tahoma" w:hAnsi="Tahoma" w:cs="Tahoma"/>
          <w:i/>
          <w:spacing w:val="-2"/>
          <w:sz w:val="22"/>
        </w:rPr>
      </w:pPr>
    </w:p>
    <w:p w14:paraId="4A2EA0B0" w14:textId="77777777" w:rsidR="00EF0303" w:rsidRPr="006C474A" w:rsidRDefault="00EF0303" w:rsidP="00425BF1">
      <w:pPr>
        <w:overflowPunct w:val="0"/>
        <w:autoSpaceDE w:val="0"/>
        <w:autoSpaceDN w:val="0"/>
        <w:adjustRightInd w:val="0"/>
        <w:ind w:left="851" w:right="845"/>
        <w:jc w:val="both"/>
        <w:textAlignment w:val="baseline"/>
        <w:rPr>
          <w:rFonts w:ascii="Tahoma" w:hAnsi="Tahoma" w:cs="Tahoma"/>
          <w:i/>
          <w:spacing w:val="-2"/>
          <w:sz w:val="22"/>
        </w:rPr>
      </w:pPr>
      <w:r w:rsidRPr="006C474A">
        <w:rPr>
          <w:rFonts w:ascii="Tahoma" w:hAnsi="Tahoma" w:cs="Tahoma"/>
          <w:i/>
          <w:spacing w:val="-2"/>
          <w:sz w:val="22"/>
        </w:rPr>
        <w:lastRenderedPageBreak/>
        <w:t xml:space="preserve">“(…) Frente a estas dos interpretaciones, una menos restrictiva que la otra, considera la Corte que la interpretación más adecuada frente al principio constitucional de favorabilidad, previsto en el artículo 53 de la Constitución, será aquella que respete la “situación más favorable al trabajador en caso de duda en la aplicación e interpretación de las fuentes formales de derecho”. Como se aprecia, el principio de favorabilidad opera en caso de duda sobre la interpretación de las “fuentes formales del derecho”, las cuales incluyen no solo las normas legales o </w:t>
      </w:r>
      <w:proofErr w:type="spellStart"/>
      <w:r w:rsidRPr="006C474A">
        <w:rPr>
          <w:rFonts w:ascii="Tahoma" w:hAnsi="Tahoma" w:cs="Tahoma"/>
          <w:i/>
          <w:spacing w:val="-2"/>
          <w:sz w:val="22"/>
        </w:rPr>
        <w:t>infralegales</w:t>
      </w:r>
      <w:proofErr w:type="spellEnd"/>
      <w:r w:rsidRPr="006C474A">
        <w:rPr>
          <w:rFonts w:ascii="Tahoma" w:hAnsi="Tahoma" w:cs="Tahoma"/>
          <w:i/>
          <w:spacing w:val="-2"/>
          <w:sz w:val="22"/>
        </w:rPr>
        <w:t>, por lo que debe ser tomado en cuenta para determinar el sentido y alcance de las normas laborales de la propia Constitución. Por lo tanto, cuando una norma constitucional admita dos o más interpretaciones razonables, el intérprete debe elegir aquella que sea más favorable al trabajador. De no hacerlo, incurriría en violación directa de la Constitución… (CC T-084/17).</w:t>
      </w:r>
    </w:p>
    <w:p w14:paraId="79D7647D" w14:textId="77777777" w:rsidR="00EF0303" w:rsidRPr="006C474A" w:rsidRDefault="00EF0303" w:rsidP="006844D3">
      <w:pPr>
        <w:overflowPunct w:val="0"/>
        <w:autoSpaceDE w:val="0"/>
        <w:autoSpaceDN w:val="0"/>
        <w:adjustRightInd w:val="0"/>
        <w:ind w:left="426" w:right="420"/>
        <w:jc w:val="both"/>
        <w:textAlignment w:val="baseline"/>
        <w:rPr>
          <w:rFonts w:ascii="Tahoma" w:hAnsi="Tahoma" w:cs="Tahoma"/>
          <w:i/>
          <w:spacing w:val="-2"/>
          <w:sz w:val="22"/>
        </w:rPr>
      </w:pPr>
    </w:p>
    <w:p w14:paraId="573711EF" w14:textId="77777777" w:rsidR="00EF0303" w:rsidRPr="006C474A" w:rsidRDefault="00EF0303" w:rsidP="006844D3">
      <w:pPr>
        <w:overflowPunct w:val="0"/>
        <w:autoSpaceDE w:val="0"/>
        <w:autoSpaceDN w:val="0"/>
        <w:adjustRightInd w:val="0"/>
        <w:ind w:left="426" w:right="420"/>
        <w:jc w:val="both"/>
        <w:textAlignment w:val="baseline"/>
        <w:rPr>
          <w:rFonts w:ascii="Tahoma" w:hAnsi="Tahoma" w:cs="Tahoma"/>
          <w:i/>
          <w:spacing w:val="-2"/>
          <w:sz w:val="22"/>
        </w:rPr>
      </w:pPr>
      <w:r w:rsidRPr="006C474A">
        <w:rPr>
          <w:rFonts w:ascii="Tahoma" w:hAnsi="Tahoma" w:cs="Tahoma"/>
          <w:i/>
          <w:spacing w:val="-2"/>
          <w:sz w:val="22"/>
        </w:rPr>
        <w:t>Así pues, en el presente caso, no se acogió la interpretación más beneficiosa para la accionante, pues su compañero permanente solventó la densidad de tiempo necesaria para ser beneficiario de la prestación pensional conforme a lo establecido en el Acuerdo 049 de 1990, reglamentado por el Decreto 758 del mismo año, razón por la que era incontrovertible la procedencia del derecho deprecado.”</w:t>
      </w:r>
    </w:p>
    <w:p w14:paraId="76B7E7D8" w14:textId="77777777" w:rsidR="00EF0303" w:rsidRPr="006C474A" w:rsidRDefault="00EF0303" w:rsidP="00281CBF">
      <w:pPr>
        <w:spacing w:line="276" w:lineRule="auto"/>
        <w:ind w:firstLine="705"/>
        <w:jc w:val="both"/>
        <w:textAlignment w:val="baseline"/>
        <w:rPr>
          <w:rFonts w:ascii="Tahoma" w:hAnsi="Tahoma" w:cs="Tahoma"/>
          <w:spacing w:val="-2"/>
          <w:lang w:eastAsia="es-ES_tradnl"/>
        </w:rPr>
      </w:pPr>
    </w:p>
    <w:p w14:paraId="08464A80" w14:textId="77777777" w:rsidR="00EF0303" w:rsidRPr="006C474A" w:rsidRDefault="00EF0303" w:rsidP="00281CBF">
      <w:pPr>
        <w:spacing w:line="276" w:lineRule="auto"/>
        <w:ind w:firstLine="705"/>
        <w:jc w:val="both"/>
        <w:textAlignment w:val="baseline"/>
        <w:rPr>
          <w:rFonts w:ascii="Tahoma" w:hAnsi="Tahoma" w:cs="Tahoma"/>
          <w:spacing w:val="-2"/>
          <w:lang w:val="es-CO" w:eastAsia="es-ES_tradnl"/>
        </w:rPr>
      </w:pPr>
      <w:bookmarkStart w:id="7" w:name="_Hlk139981116"/>
      <w:r w:rsidRPr="006C474A">
        <w:rPr>
          <w:rFonts w:ascii="Tahoma" w:hAnsi="Tahoma" w:cs="Tahoma"/>
          <w:spacing w:val="-2"/>
          <w:lang w:eastAsia="es-ES_tradnl"/>
        </w:rPr>
        <w:t xml:space="preserve">Estos precedentes de la Corte Constitucional, contenido en la </w:t>
      </w:r>
      <w:r w:rsidRPr="006C474A">
        <w:rPr>
          <w:rFonts w:ascii="Tahoma" w:hAnsi="Tahoma" w:cs="Tahoma"/>
          <w:spacing w:val="-2"/>
          <w:lang w:val="es-CO" w:eastAsia="es-ES_tradnl"/>
        </w:rPr>
        <w:t xml:space="preserve">sentencia SU-442 del 18 de agosto de 2016 </w:t>
      </w:r>
      <w:r w:rsidRPr="006C474A">
        <w:rPr>
          <w:rFonts w:ascii="Tahoma" w:hAnsi="Tahoma" w:cs="Tahoma"/>
          <w:i/>
          <w:spacing w:val="-2"/>
          <w:lang w:val="es-CO" w:eastAsia="es-ES_tradnl"/>
        </w:rPr>
        <w:t xml:space="preserve">-sin el condicionamiento realizado en la </w:t>
      </w:r>
      <w:r w:rsidRPr="006C474A">
        <w:rPr>
          <w:rFonts w:ascii="Tahoma" w:eastAsia="Tahoma" w:hAnsi="Tahoma" w:cs="Tahoma"/>
          <w:i/>
          <w:color w:val="000000"/>
          <w:spacing w:val="-2"/>
          <w:lang w:eastAsia="es-ES_tradnl"/>
        </w:rPr>
        <w:t>sentencia SU-005 de 2018</w:t>
      </w:r>
      <w:r w:rsidRPr="006C474A">
        <w:rPr>
          <w:rFonts w:ascii="Tahoma" w:hAnsi="Tahoma" w:cs="Tahoma"/>
          <w:spacing w:val="-2"/>
          <w:lang w:eastAsia="es-ES_tradnl"/>
        </w:rPr>
        <w:t>-  y la citada sentencia de la Sala de Casación Civil, han sido acogidos por esta Sala atendiendo precisamente uno de los principios pilares del Derecho laboral, como es el Principio Pro Operario, en virtud del cual se debe acoger la interpretación más favorable cuando existan dos o más interpretaciones frente a una misma fuente normativa</w:t>
      </w:r>
      <w:bookmarkEnd w:id="7"/>
      <w:r w:rsidRPr="006C474A">
        <w:rPr>
          <w:rFonts w:ascii="Tahoma" w:hAnsi="Tahoma" w:cs="Tahoma"/>
          <w:spacing w:val="-2"/>
          <w:lang w:eastAsia="es-ES_tradnl"/>
        </w:rPr>
        <w:t>,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r w:rsidRPr="006C474A">
        <w:rPr>
          <w:rFonts w:ascii="Tahoma" w:hAnsi="Tahoma" w:cs="Tahoma"/>
          <w:spacing w:val="-2"/>
          <w:lang w:val="es-CO" w:eastAsia="es-ES_tradnl"/>
        </w:rPr>
        <w:t> </w:t>
      </w:r>
    </w:p>
    <w:p w14:paraId="0BA4BBE3" w14:textId="77777777" w:rsidR="00EF0303" w:rsidRPr="006C474A" w:rsidRDefault="00EF0303" w:rsidP="00281CBF">
      <w:pPr>
        <w:pStyle w:val="Sinespaciado"/>
        <w:spacing w:line="276" w:lineRule="auto"/>
        <w:rPr>
          <w:rFonts w:ascii="Tahoma" w:hAnsi="Tahoma" w:cs="Tahoma"/>
          <w:spacing w:val="-2"/>
          <w:lang w:val="es-CO" w:eastAsia="es-ES_tradnl"/>
        </w:rPr>
      </w:pPr>
    </w:p>
    <w:p w14:paraId="49C8AD76" w14:textId="77777777" w:rsidR="00EF0303" w:rsidRPr="006C474A" w:rsidRDefault="00EF0303" w:rsidP="00281CBF">
      <w:pPr>
        <w:spacing w:line="276" w:lineRule="auto"/>
        <w:jc w:val="both"/>
        <w:rPr>
          <w:rFonts w:ascii="Tahoma" w:hAnsi="Tahoma" w:cs="Tahoma"/>
          <w:spacing w:val="-2"/>
        </w:rPr>
      </w:pPr>
      <w:r w:rsidRPr="006C474A">
        <w:rPr>
          <w:rFonts w:ascii="Tahoma" w:hAnsi="Tahoma" w:cs="Tahoma"/>
          <w:spacing w:val="-2"/>
        </w:rPr>
        <w:tab/>
        <w:t xml:space="preserve">Así mismo, el acogimiento de dicha postura se apuntala en el hecho de que la seguridad social es un derecho fundamental cuya naturaleza no cambia por el hecho de que se analice en un proceso ordinario o en una acción de tutela y por eso no es dable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w:t>
      </w:r>
    </w:p>
    <w:p w14:paraId="32B351F9" w14:textId="77777777" w:rsidR="00EF0303" w:rsidRPr="006C474A" w:rsidRDefault="00EF0303" w:rsidP="00281CBF">
      <w:pPr>
        <w:pStyle w:val="Sinespaciado"/>
        <w:spacing w:line="276" w:lineRule="auto"/>
        <w:rPr>
          <w:rFonts w:ascii="Tahoma" w:hAnsi="Tahoma" w:cs="Tahoma"/>
          <w:spacing w:val="-2"/>
        </w:rPr>
      </w:pPr>
    </w:p>
    <w:p w14:paraId="245C8996" w14:textId="77777777" w:rsidR="00EF0303" w:rsidRPr="006C474A" w:rsidRDefault="00EF0303" w:rsidP="00281CBF">
      <w:pPr>
        <w:overflowPunct w:val="0"/>
        <w:autoSpaceDE w:val="0"/>
        <w:autoSpaceDN w:val="0"/>
        <w:adjustRightInd w:val="0"/>
        <w:spacing w:line="276" w:lineRule="auto"/>
        <w:ind w:firstLine="851"/>
        <w:jc w:val="both"/>
        <w:rPr>
          <w:rFonts w:ascii="Tahoma" w:hAnsi="Tahoma" w:cs="Tahoma"/>
          <w:spacing w:val="-2"/>
          <w:lang w:val="es-CO"/>
        </w:rPr>
      </w:pPr>
      <w:r w:rsidRPr="006C474A">
        <w:rPr>
          <w:rFonts w:ascii="Tahoma" w:hAnsi="Tahoma" w:cs="Tahoma"/>
          <w:spacing w:val="-2"/>
          <w:lang w:val="es-CO"/>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14:paraId="0D1707F4" w14:textId="77777777" w:rsidR="00EF0303" w:rsidRPr="006C474A" w:rsidRDefault="00EF0303" w:rsidP="00281CBF">
      <w:pPr>
        <w:pStyle w:val="Sinespaciado"/>
        <w:spacing w:line="276" w:lineRule="auto"/>
        <w:rPr>
          <w:rFonts w:ascii="Tahoma" w:eastAsia="Calibri" w:hAnsi="Tahoma" w:cs="Tahoma"/>
          <w:spacing w:val="-2"/>
          <w:lang w:val="es-CO" w:eastAsia="en-US"/>
        </w:rPr>
      </w:pPr>
    </w:p>
    <w:p w14:paraId="4798C18E" w14:textId="73E2819F" w:rsidR="00EF0303" w:rsidRPr="006C474A" w:rsidRDefault="00EF0303" w:rsidP="00425BF1">
      <w:pPr>
        <w:overflowPunct w:val="0"/>
        <w:autoSpaceDE w:val="0"/>
        <w:autoSpaceDN w:val="0"/>
        <w:adjustRightInd w:val="0"/>
        <w:ind w:left="426" w:right="420"/>
        <w:jc w:val="both"/>
        <w:textAlignment w:val="baseline"/>
        <w:rPr>
          <w:rFonts w:ascii="Tahoma" w:hAnsi="Tahoma" w:cs="Tahoma"/>
          <w:i/>
          <w:spacing w:val="-2"/>
          <w:sz w:val="22"/>
        </w:rPr>
      </w:pPr>
      <w:r w:rsidRPr="006C474A">
        <w:rPr>
          <w:rFonts w:ascii="Tahoma" w:hAnsi="Tahoma" w:cs="Tahoma"/>
          <w:i/>
          <w:spacing w:val="-2"/>
          <w:sz w:val="22"/>
        </w:rPr>
        <w:t xml:space="preserve">“Por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w:t>
      </w:r>
      <w:r w:rsidRPr="006C474A">
        <w:rPr>
          <w:rFonts w:ascii="Tahoma" w:hAnsi="Tahoma" w:cs="Tahoma"/>
          <w:i/>
          <w:spacing w:val="-2"/>
          <w:sz w:val="22"/>
        </w:rPr>
        <w:lastRenderedPageBreak/>
        <w:t xml:space="preserve">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 </w:t>
      </w:r>
    </w:p>
    <w:p w14:paraId="03C73E04" w14:textId="77777777" w:rsidR="00FD70AF" w:rsidRPr="006C474A" w:rsidRDefault="00FD70AF" w:rsidP="00281CBF">
      <w:pPr>
        <w:pStyle w:val="Sinespaciado"/>
        <w:spacing w:line="276" w:lineRule="auto"/>
        <w:rPr>
          <w:rFonts w:ascii="Tahoma" w:hAnsi="Tahoma" w:cs="Tahoma"/>
          <w:spacing w:val="-2"/>
        </w:rPr>
      </w:pPr>
    </w:p>
    <w:p w14:paraId="7677DD7D" w14:textId="3A255E52" w:rsidR="00FE3425" w:rsidRPr="006C474A" w:rsidRDefault="00DE7B42" w:rsidP="00281CBF">
      <w:pPr>
        <w:pStyle w:val="Prrafodelista"/>
        <w:widowControl w:val="0"/>
        <w:numPr>
          <w:ilvl w:val="1"/>
          <w:numId w:val="16"/>
        </w:numPr>
        <w:autoSpaceDE w:val="0"/>
        <w:autoSpaceDN w:val="0"/>
        <w:adjustRightInd w:val="0"/>
        <w:spacing w:line="276" w:lineRule="auto"/>
        <w:jc w:val="both"/>
        <w:rPr>
          <w:rFonts w:ascii="Tahoma" w:hAnsi="Tahoma" w:cs="Tahoma"/>
          <w:b/>
          <w:spacing w:val="-2"/>
        </w:rPr>
      </w:pPr>
      <w:r w:rsidRPr="006C474A">
        <w:rPr>
          <w:rFonts w:ascii="Tahoma" w:hAnsi="Tahoma" w:cs="Tahoma"/>
          <w:b/>
          <w:spacing w:val="-2"/>
        </w:rPr>
        <w:t>Caso concreto</w:t>
      </w:r>
    </w:p>
    <w:p w14:paraId="4804B4D1" w14:textId="77777777" w:rsidR="00D7420C" w:rsidRPr="006C474A" w:rsidRDefault="00D7420C" w:rsidP="00281CBF">
      <w:pPr>
        <w:pStyle w:val="NormalWeb"/>
        <w:spacing w:before="0" w:beforeAutospacing="0" w:after="0" w:afterAutospacing="0" w:line="276" w:lineRule="auto"/>
        <w:rPr>
          <w:rFonts w:ascii="Tahoma" w:hAnsi="Tahoma" w:cs="Tahoma"/>
          <w:b/>
          <w:spacing w:val="-2"/>
        </w:rPr>
      </w:pPr>
    </w:p>
    <w:p w14:paraId="2DF04516" w14:textId="2F5D901D" w:rsidR="006E25AE" w:rsidRPr="006C474A" w:rsidRDefault="008C1CF8" w:rsidP="00281CBF">
      <w:pPr>
        <w:spacing w:line="276" w:lineRule="auto"/>
        <w:ind w:firstLine="708"/>
        <w:jc w:val="both"/>
        <w:rPr>
          <w:rFonts w:ascii="Tahoma" w:eastAsia="Tahoma" w:hAnsi="Tahoma" w:cs="Tahoma"/>
          <w:color w:val="000000" w:themeColor="text1"/>
          <w:spacing w:val="-2"/>
          <w:lang w:val="es-CO"/>
        </w:rPr>
      </w:pPr>
      <w:r w:rsidRPr="006C474A">
        <w:rPr>
          <w:rFonts w:ascii="Tahoma" w:eastAsia="Tahoma" w:hAnsi="Tahoma" w:cs="Tahoma"/>
          <w:color w:val="000000" w:themeColor="text1"/>
          <w:spacing w:val="-2"/>
          <w:lang w:val="es-CO"/>
        </w:rPr>
        <w:t>De acuerdo a lo anterior,</w:t>
      </w:r>
      <w:r w:rsidR="006E25AE" w:rsidRPr="006C474A">
        <w:rPr>
          <w:rFonts w:ascii="Tahoma" w:eastAsia="Tahoma" w:hAnsi="Tahoma" w:cs="Tahoma"/>
          <w:color w:val="000000" w:themeColor="text1"/>
          <w:spacing w:val="-2"/>
          <w:lang w:val="es-CO"/>
        </w:rPr>
        <w:t xml:space="preserve"> sea lo primero indicar que en este caso son hechos que se encuentran por fuera de discusión, bien por la aceptación de la pasiva, bien por la documental aportada, los siguientes:</w:t>
      </w:r>
    </w:p>
    <w:p w14:paraId="336E647B" w14:textId="2D118226" w:rsidR="006E25AE" w:rsidRPr="006C474A" w:rsidRDefault="006E25AE" w:rsidP="00281CBF">
      <w:pPr>
        <w:pStyle w:val="Sinespaciado"/>
        <w:spacing w:line="276" w:lineRule="auto"/>
        <w:rPr>
          <w:rFonts w:ascii="Tahoma" w:eastAsia="Tahoma" w:hAnsi="Tahoma" w:cs="Tahoma"/>
          <w:spacing w:val="-2"/>
        </w:rPr>
      </w:pPr>
    </w:p>
    <w:p w14:paraId="718AF480" w14:textId="509EA708" w:rsidR="006E25AE" w:rsidRPr="006C474A" w:rsidRDefault="006E25AE" w:rsidP="00281CBF">
      <w:pPr>
        <w:pStyle w:val="Prrafodelista"/>
        <w:numPr>
          <w:ilvl w:val="0"/>
          <w:numId w:val="13"/>
        </w:numPr>
        <w:spacing w:line="276" w:lineRule="auto"/>
        <w:jc w:val="both"/>
        <w:rPr>
          <w:rFonts w:ascii="Tahoma" w:eastAsia="Tahoma" w:hAnsi="Tahoma" w:cs="Tahoma"/>
          <w:color w:val="000000" w:themeColor="text1"/>
          <w:spacing w:val="-2"/>
          <w:lang w:val="es-CO"/>
        </w:rPr>
      </w:pPr>
      <w:r w:rsidRPr="006C474A">
        <w:rPr>
          <w:rFonts w:ascii="Tahoma" w:eastAsia="Tahoma" w:hAnsi="Tahoma" w:cs="Tahoma"/>
          <w:color w:val="000000" w:themeColor="text1"/>
          <w:spacing w:val="-2"/>
          <w:lang w:val="es-CO"/>
        </w:rPr>
        <w:t xml:space="preserve">El señor </w:t>
      </w:r>
      <w:r w:rsidR="00262C37" w:rsidRPr="006C474A">
        <w:rPr>
          <w:rFonts w:ascii="Tahoma" w:eastAsia="Tahoma" w:hAnsi="Tahoma" w:cs="Tahoma"/>
          <w:color w:val="000000" w:themeColor="text1"/>
          <w:spacing w:val="-2"/>
          <w:lang w:val="es-CO"/>
        </w:rPr>
        <w:t xml:space="preserve">César Augusto García Quintero es hijo del señor Omar de Jesús García Zapata y de la señora </w:t>
      </w:r>
      <w:r w:rsidR="00085C73" w:rsidRPr="006C474A">
        <w:rPr>
          <w:rFonts w:ascii="Tahoma" w:eastAsia="Tahoma" w:hAnsi="Tahoma" w:cs="Tahoma"/>
          <w:color w:val="000000" w:themeColor="text1"/>
          <w:spacing w:val="-2"/>
          <w:lang w:val="es-CO"/>
        </w:rPr>
        <w:t>maría Ruby Quintero Amariles, según da cuenta el registro civil de nacimiento visible en el archivo 04, página 04 del cuaderno de primera instancia</w:t>
      </w:r>
      <w:r w:rsidRPr="006C474A">
        <w:rPr>
          <w:rFonts w:ascii="Tahoma" w:eastAsia="Tahoma" w:hAnsi="Tahoma" w:cs="Tahoma"/>
          <w:color w:val="000000" w:themeColor="text1"/>
          <w:spacing w:val="-2"/>
          <w:lang w:val="es-CO"/>
        </w:rPr>
        <w:t xml:space="preserve">. </w:t>
      </w:r>
    </w:p>
    <w:p w14:paraId="286F1C21" w14:textId="77777777" w:rsidR="006E25AE" w:rsidRPr="006C474A" w:rsidRDefault="006E25AE" w:rsidP="00281CBF">
      <w:pPr>
        <w:pStyle w:val="Sinespaciado"/>
        <w:spacing w:line="276" w:lineRule="auto"/>
        <w:rPr>
          <w:rFonts w:ascii="Tahoma" w:eastAsia="Tahoma" w:hAnsi="Tahoma" w:cs="Tahoma"/>
          <w:spacing w:val="-2"/>
          <w:lang w:val="es-CO"/>
        </w:rPr>
      </w:pPr>
    </w:p>
    <w:p w14:paraId="34EFF2F4" w14:textId="6FBF2A67" w:rsidR="00D2138F" w:rsidRPr="006C474A" w:rsidRDefault="00FE17DE" w:rsidP="00281CBF">
      <w:pPr>
        <w:pStyle w:val="Prrafodelista"/>
        <w:numPr>
          <w:ilvl w:val="0"/>
          <w:numId w:val="13"/>
        </w:numPr>
        <w:spacing w:line="276" w:lineRule="auto"/>
        <w:jc w:val="both"/>
        <w:rPr>
          <w:rFonts w:ascii="Tahoma" w:eastAsia="Tahoma" w:hAnsi="Tahoma" w:cs="Tahoma"/>
          <w:color w:val="000000" w:themeColor="text1"/>
          <w:spacing w:val="-2"/>
          <w:lang w:val="es-CO"/>
        </w:rPr>
      </w:pPr>
      <w:r w:rsidRPr="006C474A">
        <w:rPr>
          <w:rFonts w:ascii="Tahoma" w:eastAsia="Tahoma" w:hAnsi="Tahoma" w:cs="Tahoma"/>
          <w:color w:val="000000" w:themeColor="text1"/>
          <w:spacing w:val="-2"/>
          <w:lang w:val="es-CO"/>
        </w:rPr>
        <w:t>El señor César Augusto García, mediante dictamen No. 2017216051LL del 16 de mayo de 2017 fue calificado por Colpensiones con una pérdida de capacidad laboral del 80%, estructurada el 08 de julio de 1978</w:t>
      </w:r>
      <w:r w:rsidRPr="006C474A">
        <w:rPr>
          <w:rStyle w:val="Refdenotaalpie"/>
          <w:rFonts w:ascii="Tahoma" w:eastAsia="Tahoma" w:hAnsi="Tahoma" w:cs="Tahoma"/>
          <w:color w:val="000000" w:themeColor="text1"/>
          <w:spacing w:val="-2"/>
          <w:lang w:val="es-CO"/>
        </w:rPr>
        <w:footnoteReference w:id="3"/>
      </w:r>
      <w:r w:rsidRPr="006C474A">
        <w:rPr>
          <w:rFonts w:ascii="Tahoma" w:eastAsia="Tahoma" w:hAnsi="Tahoma" w:cs="Tahoma"/>
          <w:color w:val="000000" w:themeColor="text1"/>
          <w:spacing w:val="-2"/>
          <w:lang w:val="es-CO"/>
        </w:rPr>
        <w:t xml:space="preserve"> </w:t>
      </w:r>
    </w:p>
    <w:p w14:paraId="7448403F" w14:textId="77777777" w:rsidR="00D2138F" w:rsidRPr="006C474A" w:rsidRDefault="00D2138F" w:rsidP="00281CBF">
      <w:pPr>
        <w:pStyle w:val="Prrafodelista"/>
        <w:spacing w:line="276" w:lineRule="auto"/>
        <w:rPr>
          <w:rFonts w:ascii="Tahoma" w:eastAsia="Tahoma" w:hAnsi="Tahoma" w:cs="Tahoma"/>
          <w:color w:val="000000" w:themeColor="text1"/>
          <w:spacing w:val="-2"/>
          <w:lang w:val="es-CO"/>
        </w:rPr>
      </w:pPr>
    </w:p>
    <w:p w14:paraId="73D52A33" w14:textId="2792EFFA" w:rsidR="006E25AE" w:rsidRPr="006C474A" w:rsidRDefault="00085C73" w:rsidP="00281CBF">
      <w:pPr>
        <w:pStyle w:val="Prrafodelista"/>
        <w:numPr>
          <w:ilvl w:val="0"/>
          <w:numId w:val="13"/>
        </w:numPr>
        <w:spacing w:line="276" w:lineRule="auto"/>
        <w:jc w:val="both"/>
        <w:rPr>
          <w:rFonts w:ascii="Tahoma" w:eastAsia="Tahoma" w:hAnsi="Tahoma" w:cs="Tahoma"/>
          <w:color w:val="000000" w:themeColor="text1"/>
          <w:spacing w:val="-2"/>
          <w:lang w:val="es-CO"/>
        </w:rPr>
      </w:pPr>
      <w:r w:rsidRPr="006C474A">
        <w:rPr>
          <w:rFonts w:ascii="Tahoma" w:eastAsia="Tahoma" w:hAnsi="Tahoma" w:cs="Tahoma"/>
          <w:color w:val="000000" w:themeColor="text1"/>
          <w:spacing w:val="-2"/>
          <w:lang w:val="es-CO"/>
        </w:rPr>
        <w:t xml:space="preserve">El señor </w:t>
      </w:r>
      <w:r w:rsidR="00D2138F" w:rsidRPr="006C474A">
        <w:rPr>
          <w:rFonts w:ascii="Tahoma" w:eastAsia="Tahoma" w:hAnsi="Tahoma" w:cs="Tahoma"/>
          <w:color w:val="000000" w:themeColor="text1"/>
          <w:spacing w:val="-2"/>
          <w:lang w:val="es-CO"/>
        </w:rPr>
        <w:t>Omar de Jesús García Zapata en toda su vida laboral cotizó un total de 710.14, todas ellas entre el 22 de enero de 1971 y el 01 de noviembre de 1986</w:t>
      </w:r>
      <w:r w:rsidR="00D2138F" w:rsidRPr="006C474A">
        <w:rPr>
          <w:rStyle w:val="Refdenotaalpie"/>
          <w:rFonts w:ascii="Tahoma" w:eastAsia="Tahoma" w:hAnsi="Tahoma" w:cs="Tahoma"/>
          <w:color w:val="000000" w:themeColor="text1"/>
          <w:spacing w:val="-2"/>
          <w:lang w:val="es-CO"/>
        </w:rPr>
        <w:footnoteReference w:id="4"/>
      </w:r>
      <w:r w:rsidR="00D2138F" w:rsidRPr="006C474A">
        <w:rPr>
          <w:rFonts w:ascii="Tahoma" w:eastAsia="Tahoma" w:hAnsi="Tahoma" w:cs="Tahoma"/>
          <w:color w:val="000000" w:themeColor="text1"/>
          <w:spacing w:val="-2"/>
          <w:lang w:val="es-CO"/>
        </w:rPr>
        <w:t>.</w:t>
      </w:r>
    </w:p>
    <w:p w14:paraId="01523E87" w14:textId="77777777" w:rsidR="006E25AE" w:rsidRPr="006C474A" w:rsidRDefault="006E25AE" w:rsidP="00281CBF">
      <w:pPr>
        <w:pStyle w:val="Sinespaciado"/>
        <w:spacing w:line="276" w:lineRule="auto"/>
        <w:rPr>
          <w:rFonts w:ascii="Tahoma" w:eastAsia="Tahoma" w:hAnsi="Tahoma" w:cs="Tahoma"/>
          <w:spacing w:val="-2"/>
          <w:lang w:val="es-CO"/>
        </w:rPr>
      </w:pPr>
    </w:p>
    <w:p w14:paraId="0A498B18" w14:textId="45731AB7" w:rsidR="006E25AE" w:rsidRPr="006C474A" w:rsidRDefault="00D2138F" w:rsidP="00281CBF">
      <w:pPr>
        <w:pStyle w:val="Prrafodelista"/>
        <w:numPr>
          <w:ilvl w:val="0"/>
          <w:numId w:val="13"/>
        </w:numPr>
        <w:spacing w:line="276" w:lineRule="auto"/>
        <w:jc w:val="both"/>
        <w:rPr>
          <w:rFonts w:ascii="Tahoma" w:eastAsia="Tahoma" w:hAnsi="Tahoma" w:cs="Tahoma"/>
          <w:color w:val="000000" w:themeColor="text1"/>
          <w:spacing w:val="-2"/>
          <w:lang w:val="es-CO"/>
        </w:rPr>
      </w:pPr>
      <w:r w:rsidRPr="006C474A">
        <w:rPr>
          <w:rFonts w:ascii="Tahoma" w:eastAsia="Tahoma" w:hAnsi="Tahoma" w:cs="Tahoma"/>
          <w:color w:val="000000" w:themeColor="text1"/>
          <w:spacing w:val="-2"/>
          <w:lang w:val="es-CO"/>
        </w:rPr>
        <w:t>El señor Omar de Jesús García Zapata</w:t>
      </w:r>
      <w:r w:rsidR="006E25AE" w:rsidRPr="006C474A">
        <w:rPr>
          <w:rFonts w:ascii="Tahoma" w:eastAsia="Tahoma" w:hAnsi="Tahoma" w:cs="Tahoma"/>
          <w:color w:val="000000" w:themeColor="text1"/>
          <w:spacing w:val="-2"/>
          <w:lang w:val="es-CO"/>
        </w:rPr>
        <w:t xml:space="preserve"> falleció el </w:t>
      </w:r>
      <w:r w:rsidRPr="006C474A">
        <w:rPr>
          <w:rFonts w:ascii="Tahoma" w:eastAsia="Tahoma" w:hAnsi="Tahoma" w:cs="Tahoma"/>
          <w:color w:val="000000" w:themeColor="text1"/>
          <w:spacing w:val="-2"/>
          <w:lang w:val="es-CO"/>
        </w:rPr>
        <w:t xml:space="preserve">16 de abril de 2006, tal como lo indica el registro civil de defunción que milita en la página 2 del archivo 04 del cuaderno de primera instancia. </w:t>
      </w:r>
    </w:p>
    <w:p w14:paraId="39E90E38" w14:textId="77777777" w:rsidR="00060C87" w:rsidRPr="006C474A" w:rsidRDefault="00060C87" w:rsidP="00281CBF">
      <w:pPr>
        <w:pStyle w:val="Prrafodelista"/>
        <w:spacing w:line="276" w:lineRule="auto"/>
        <w:rPr>
          <w:rFonts w:ascii="Tahoma" w:eastAsia="Tahoma" w:hAnsi="Tahoma" w:cs="Tahoma"/>
          <w:color w:val="000000" w:themeColor="text1"/>
          <w:spacing w:val="-2"/>
          <w:lang w:val="es-CO"/>
        </w:rPr>
      </w:pPr>
    </w:p>
    <w:p w14:paraId="1884CE3F" w14:textId="42E5FE7B" w:rsidR="00060C87" w:rsidRPr="006C474A" w:rsidRDefault="00060C87" w:rsidP="00281CBF">
      <w:pPr>
        <w:pStyle w:val="Prrafodelista"/>
        <w:numPr>
          <w:ilvl w:val="0"/>
          <w:numId w:val="13"/>
        </w:numPr>
        <w:spacing w:line="276" w:lineRule="auto"/>
        <w:jc w:val="both"/>
        <w:rPr>
          <w:rFonts w:ascii="Tahoma" w:eastAsia="Tahoma" w:hAnsi="Tahoma" w:cs="Tahoma"/>
          <w:color w:val="000000" w:themeColor="text1"/>
          <w:spacing w:val="-2"/>
          <w:lang w:val="es-CO"/>
        </w:rPr>
      </w:pPr>
      <w:r w:rsidRPr="006C474A">
        <w:rPr>
          <w:rFonts w:ascii="Tahoma" w:eastAsia="Tahoma" w:hAnsi="Tahoma" w:cs="Tahoma"/>
          <w:color w:val="000000" w:themeColor="text1"/>
          <w:spacing w:val="-2"/>
          <w:lang w:val="es-CO"/>
        </w:rPr>
        <w:t xml:space="preserve">El demandante reclamó la pensión de sobrevivientes ante Colpensiones el </w:t>
      </w:r>
      <w:r w:rsidR="00D2138F" w:rsidRPr="006C474A">
        <w:rPr>
          <w:rFonts w:ascii="Tahoma" w:eastAsia="Tahoma" w:hAnsi="Tahoma" w:cs="Tahoma"/>
          <w:color w:val="000000" w:themeColor="text1"/>
          <w:spacing w:val="-2"/>
          <w:lang w:val="es-CO"/>
        </w:rPr>
        <w:t>11 de octubre de 2018</w:t>
      </w:r>
      <w:r w:rsidRPr="006C474A">
        <w:rPr>
          <w:rFonts w:ascii="Tahoma" w:eastAsia="Tahoma" w:hAnsi="Tahoma" w:cs="Tahoma"/>
          <w:color w:val="000000" w:themeColor="text1"/>
          <w:spacing w:val="-2"/>
          <w:lang w:val="es-CO"/>
        </w:rPr>
        <w:t xml:space="preserve">, </w:t>
      </w:r>
      <w:r w:rsidR="00D2138F" w:rsidRPr="006C474A">
        <w:rPr>
          <w:rFonts w:ascii="Tahoma" w:eastAsia="Tahoma" w:hAnsi="Tahoma" w:cs="Tahoma"/>
          <w:color w:val="000000" w:themeColor="text1"/>
          <w:spacing w:val="-2"/>
          <w:lang w:val="es-CO"/>
        </w:rPr>
        <w:t>siéndole negada la prestación mediante resolución SUB 321769 del 11 de diciembre de 2018</w:t>
      </w:r>
      <w:r w:rsidR="00D2138F" w:rsidRPr="006C474A">
        <w:rPr>
          <w:rStyle w:val="Refdenotaalpie"/>
          <w:rFonts w:ascii="Tahoma" w:eastAsia="Tahoma" w:hAnsi="Tahoma" w:cs="Tahoma"/>
          <w:color w:val="000000" w:themeColor="text1"/>
          <w:spacing w:val="-2"/>
          <w:lang w:val="es-CO"/>
        </w:rPr>
        <w:footnoteReference w:id="5"/>
      </w:r>
      <w:r w:rsidRPr="006C474A">
        <w:rPr>
          <w:rFonts w:ascii="Tahoma" w:eastAsia="Tahoma" w:hAnsi="Tahoma" w:cs="Tahoma"/>
          <w:color w:val="000000" w:themeColor="text1"/>
          <w:spacing w:val="-2"/>
          <w:lang w:val="es-CO"/>
        </w:rPr>
        <w:t xml:space="preserve">. </w:t>
      </w:r>
    </w:p>
    <w:p w14:paraId="4269C979" w14:textId="77777777" w:rsidR="006E25AE" w:rsidRPr="006C474A" w:rsidRDefault="006E25AE" w:rsidP="00281CBF">
      <w:pPr>
        <w:pStyle w:val="Prrafodelista"/>
        <w:spacing w:line="276" w:lineRule="auto"/>
        <w:rPr>
          <w:rFonts w:ascii="Tahoma" w:eastAsia="Tahoma" w:hAnsi="Tahoma" w:cs="Tahoma"/>
          <w:color w:val="000000" w:themeColor="text1"/>
          <w:spacing w:val="-2"/>
          <w:lang w:val="es-CO"/>
        </w:rPr>
      </w:pPr>
    </w:p>
    <w:p w14:paraId="778F6FA3" w14:textId="5186EB44" w:rsidR="008C1CF8" w:rsidRPr="006C474A" w:rsidRDefault="008C1CF8" w:rsidP="00281CBF">
      <w:pPr>
        <w:overflowPunct w:val="0"/>
        <w:autoSpaceDE w:val="0"/>
        <w:autoSpaceDN w:val="0"/>
        <w:adjustRightInd w:val="0"/>
        <w:spacing w:line="276" w:lineRule="auto"/>
        <w:ind w:firstLine="851"/>
        <w:jc w:val="both"/>
        <w:rPr>
          <w:rFonts w:ascii="Tahoma" w:eastAsia="Tahoma" w:hAnsi="Tahoma" w:cs="Tahoma"/>
          <w:color w:val="000000" w:themeColor="text1"/>
          <w:spacing w:val="-2"/>
          <w:lang w:val="es-CO"/>
        </w:rPr>
      </w:pPr>
      <w:r w:rsidRPr="006C474A">
        <w:rPr>
          <w:rFonts w:ascii="Tahoma" w:eastAsia="Tahoma" w:hAnsi="Tahoma" w:cs="Tahoma"/>
          <w:color w:val="000000" w:themeColor="text1"/>
          <w:spacing w:val="-2"/>
          <w:lang w:val="es-CO"/>
        </w:rPr>
        <w:t xml:space="preserve"> </w:t>
      </w:r>
      <w:r w:rsidR="006E25AE" w:rsidRPr="006C474A">
        <w:rPr>
          <w:rFonts w:ascii="Tahoma" w:eastAsia="Tahoma" w:hAnsi="Tahoma" w:cs="Tahoma"/>
          <w:color w:val="000000" w:themeColor="text1"/>
          <w:spacing w:val="-2"/>
          <w:lang w:val="es-CO"/>
        </w:rPr>
        <w:t xml:space="preserve">Así, </w:t>
      </w:r>
      <w:r w:rsidR="00C56FA4" w:rsidRPr="006C474A">
        <w:rPr>
          <w:rFonts w:ascii="Tahoma" w:eastAsia="Tahoma" w:hAnsi="Tahoma" w:cs="Tahoma"/>
          <w:color w:val="000000" w:themeColor="text1"/>
          <w:spacing w:val="-2"/>
          <w:lang w:val="es-CO"/>
        </w:rPr>
        <w:t xml:space="preserve">en cuanto a la pensión de sobrevivientes deprecada, </w:t>
      </w:r>
      <w:r w:rsidR="0036288F" w:rsidRPr="006C474A">
        <w:rPr>
          <w:rFonts w:ascii="Tahoma" w:eastAsia="Tahoma" w:hAnsi="Tahoma" w:cs="Tahoma"/>
          <w:color w:val="000000" w:themeColor="text1"/>
          <w:spacing w:val="-2"/>
          <w:lang w:val="es-CO"/>
        </w:rPr>
        <w:t xml:space="preserve">se </w:t>
      </w:r>
      <w:r w:rsidR="00C56FA4" w:rsidRPr="006C474A">
        <w:rPr>
          <w:rFonts w:ascii="Tahoma" w:eastAsia="Tahoma" w:hAnsi="Tahoma" w:cs="Tahoma"/>
          <w:color w:val="000000" w:themeColor="text1"/>
          <w:spacing w:val="-2"/>
          <w:lang w:val="es-CO"/>
        </w:rPr>
        <w:t>debe decir que, dado</w:t>
      </w:r>
      <w:r w:rsidRPr="006C474A">
        <w:rPr>
          <w:rFonts w:ascii="Tahoma" w:eastAsia="Tahoma" w:hAnsi="Tahoma" w:cs="Tahoma"/>
          <w:color w:val="000000" w:themeColor="text1"/>
          <w:spacing w:val="-2"/>
          <w:lang w:val="es-CO"/>
        </w:rPr>
        <w:t xml:space="preserve"> que la muerte de</w:t>
      </w:r>
      <w:r w:rsidR="00505CD9" w:rsidRPr="006C474A">
        <w:rPr>
          <w:rFonts w:ascii="Tahoma" w:eastAsia="Tahoma" w:hAnsi="Tahoma" w:cs="Tahoma"/>
          <w:color w:val="000000" w:themeColor="text1"/>
          <w:spacing w:val="-2"/>
          <w:lang w:val="es-CO"/>
        </w:rPr>
        <w:t xml:space="preserve">l señor Omar de Jesús García </w:t>
      </w:r>
      <w:r w:rsidR="0036288F" w:rsidRPr="006C474A">
        <w:rPr>
          <w:rFonts w:ascii="Tahoma" w:eastAsia="Tahoma" w:hAnsi="Tahoma" w:cs="Tahoma"/>
          <w:color w:val="000000" w:themeColor="text1"/>
          <w:spacing w:val="-2"/>
          <w:lang w:val="es-CO"/>
        </w:rPr>
        <w:t>Z</w:t>
      </w:r>
      <w:r w:rsidR="00505CD9" w:rsidRPr="006C474A">
        <w:rPr>
          <w:rFonts w:ascii="Tahoma" w:eastAsia="Tahoma" w:hAnsi="Tahoma" w:cs="Tahoma"/>
          <w:color w:val="000000" w:themeColor="text1"/>
          <w:spacing w:val="-2"/>
          <w:lang w:val="es-CO"/>
        </w:rPr>
        <w:t xml:space="preserve">apata </w:t>
      </w:r>
      <w:r w:rsidRPr="006C474A">
        <w:rPr>
          <w:rFonts w:ascii="Tahoma" w:eastAsia="Tahoma" w:hAnsi="Tahoma" w:cs="Tahoma"/>
          <w:color w:val="000000" w:themeColor="text1"/>
          <w:spacing w:val="-2"/>
          <w:lang w:val="es-CO"/>
        </w:rPr>
        <w:t>ocurrió el</w:t>
      </w:r>
      <w:r w:rsidR="00C56FA4" w:rsidRPr="006C474A">
        <w:rPr>
          <w:rFonts w:ascii="Tahoma" w:eastAsia="Tahoma" w:hAnsi="Tahoma" w:cs="Tahoma"/>
          <w:color w:val="000000" w:themeColor="text1"/>
          <w:spacing w:val="-2"/>
          <w:lang w:val="es-CO"/>
        </w:rPr>
        <w:t xml:space="preserve"> </w:t>
      </w:r>
      <w:r w:rsidR="00505CD9" w:rsidRPr="006C474A">
        <w:rPr>
          <w:rFonts w:ascii="Tahoma" w:eastAsia="Tahoma" w:hAnsi="Tahoma" w:cs="Tahoma"/>
          <w:color w:val="000000" w:themeColor="text1"/>
          <w:spacing w:val="-2"/>
          <w:lang w:val="es-CO"/>
        </w:rPr>
        <w:t>16 de abril de 2006</w:t>
      </w:r>
      <w:r w:rsidRPr="006C474A">
        <w:rPr>
          <w:rFonts w:ascii="Tahoma" w:eastAsia="Tahoma" w:hAnsi="Tahoma" w:cs="Tahoma"/>
          <w:color w:val="000000" w:themeColor="text1"/>
          <w:spacing w:val="-2"/>
          <w:lang w:val="es-CO"/>
        </w:rPr>
        <w:t xml:space="preserve">, la norma que gobernaba </w:t>
      </w:r>
      <w:r w:rsidR="00C56FA4" w:rsidRPr="006C474A">
        <w:rPr>
          <w:rFonts w:ascii="Tahoma" w:eastAsia="Tahoma" w:hAnsi="Tahoma" w:cs="Tahoma"/>
          <w:color w:val="000000" w:themeColor="text1"/>
          <w:spacing w:val="-2"/>
          <w:lang w:val="es-CO"/>
        </w:rPr>
        <w:t>la gracia pensional</w:t>
      </w:r>
      <w:r w:rsidRPr="006C474A">
        <w:rPr>
          <w:rFonts w:ascii="Tahoma" w:eastAsia="Tahoma" w:hAnsi="Tahoma" w:cs="Tahoma"/>
          <w:color w:val="000000" w:themeColor="text1"/>
          <w:spacing w:val="-2"/>
          <w:lang w:val="es-CO"/>
        </w:rPr>
        <w:t xml:space="preserve"> es el artículo 47 de la Ley 100 de 1993, con la modificación que le introdujo el artículo 12 de la Ley 797 de 2003. Por tal razón, </w:t>
      </w:r>
      <w:r w:rsidR="00C56FA4" w:rsidRPr="006C474A">
        <w:rPr>
          <w:rFonts w:ascii="Tahoma" w:eastAsia="Tahoma" w:hAnsi="Tahoma" w:cs="Tahoma"/>
          <w:color w:val="000000" w:themeColor="text1"/>
          <w:spacing w:val="-2"/>
          <w:lang w:val="es-CO"/>
        </w:rPr>
        <w:t>el demandante</w:t>
      </w:r>
      <w:r w:rsidRPr="006C474A">
        <w:rPr>
          <w:rFonts w:ascii="Tahoma" w:eastAsia="Tahoma" w:hAnsi="Tahoma" w:cs="Tahoma"/>
          <w:color w:val="000000" w:themeColor="text1"/>
          <w:spacing w:val="-2"/>
          <w:lang w:val="es-CO"/>
        </w:rPr>
        <w:t xml:space="preserve"> en este caso, debía</w:t>
      </w:r>
      <w:r w:rsidR="00C56FA4" w:rsidRPr="006C474A">
        <w:rPr>
          <w:rFonts w:ascii="Tahoma" w:eastAsia="Tahoma" w:hAnsi="Tahoma" w:cs="Tahoma"/>
          <w:color w:val="000000" w:themeColor="text1"/>
          <w:spacing w:val="-2"/>
          <w:lang w:val="es-CO"/>
        </w:rPr>
        <w:t xml:space="preserve"> </w:t>
      </w:r>
      <w:r w:rsidRPr="006C474A">
        <w:rPr>
          <w:rFonts w:ascii="Tahoma" w:eastAsia="Tahoma" w:hAnsi="Tahoma" w:cs="Tahoma"/>
          <w:color w:val="000000" w:themeColor="text1"/>
          <w:spacing w:val="-2"/>
          <w:lang w:val="es-CO"/>
        </w:rPr>
        <w:t xml:space="preserve">demostrar, para acceder a tal prestación, que </w:t>
      </w:r>
      <w:r w:rsidR="00505CD9" w:rsidRPr="006C474A">
        <w:rPr>
          <w:rFonts w:ascii="Tahoma" w:eastAsia="Tahoma" w:hAnsi="Tahoma" w:cs="Tahoma"/>
          <w:color w:val="000000" w:themeColor="text1"/>
          <w:spacing w:val="-2"/>
          <w:lang w:val="es-CO"/>
        </w:rPr>
        <w:t>el afiliado</w:t>
      </w:r>
      <w:r w:rsidRPr="006C474A">
        <w:rPr>
          <w:rFonts w:ascii="Tahoma" w:eastAsia="Tahoma" w:hAnsi="Tahoma" w:cs="Tahoma"/>
          <w:color w:val="000000" w:themeColor="text1"/>
          <w:spacing w:val="-2"/>
          <w:lang w:val="es-CO"/>
        </w:rPr>
        <w:t xml:space="preserve"> fallecid</w:t>
      </w:r>
      <w:r w:rsidR="00505CD9" w:rsidRPr="006C474A">
        <w:rPr>
          <w:rFonts w:ascii="Tahoma" w:eastAsia="Tahoma" w:hAnsi="Tahoma" w:cs="Tahoma"/>
          <w:color w:val="000000" w:themeColor="text1"/>
          <w:spacing w:val="-2"/>
          <w:lang w:val="es-CO"/>
        </w:rPr>
        <w:t>o</w:t>
      </w:r>
      <w:r w:rsidRPr="006C474A">
        <w:rPr>
          <w:rFonts w:ascii="Tahoma" w:eastAsia="Tahoma" w:hAnsi="Tahoma" w:cs="Tahoma"/>
          <w:color w:val="000000" w:themeColor="text1"/>
          <w:spacing w:val="-2"/>
          <w:lang w:val="es-CO"/>
        </w:rPr>
        <w:t xml:space="preserve"> contaba al menos con 50 semanas cotizadas dentro de los tres años anteriores a su fallecimiento, requisito </w:t>
      </w:r>
      <w:r w:rsidR="00B53187" w:rsidRPr="006C474A">
        <w:rPr>
          <w:rFonts w:ascii="Tahoma" w:eastAsia="Tahoma" w:hAnsi="Tahoma" w:cs="Tahoma"/>
          <w:color w:val="000000" w:themeColor="text1"/>
          <w:spacing w:val="-2"/>
          <w:lang w:val="es-CO"/>
        </w:rPr>
        <w:t>que</w:t>
      </w:r>
      <w:r w:rsidR="0036288F" w:rsidRPr="006C474A">
        <w:rPr>
          <w:rFonts w:ascii="Tahoma" w:eastAsia="Tahoma" w:hAnsi="Tahoma" w:cs="Tahoma"/>
          <w:color w:val="000000" w:themeColor="text1"/>
          <w:spacing w:val="-2"/>
          <w:lang w:val="es-CO"/>
        </w:rPr>
        <w:t xml:space="preserve"> no se cumple</w:t>
      </w:r>
      <w:r w:rsidR="00B53187" w:rsidRPr="006C474A">
        <w:rPr>
          <w:rFonts w:ascii="Tahoma" w:eastAsia="Tahoma" w:hAnsi="Tahoma" w:cs="Tahoma"/>
          <w:color w:val="000000" w:themeColor="text1"/>
          <w:spacing w:val="-2"/>
          <w:lang w:val="es-CO"/>
        </w:rPr>
        <w:t>,</w:t>
      </w:r>
      <w:r w:rsidR="00C56FA4" w:rsidRPr="006C474A">
        <w:rPr>
          <w:rFonts w:ascii="Tahoma" w:eastAsia="Tahoma" w:hAnsi="Tahoma" w:cs="Tahoma"/>
          <w:color w:val="000000" w:themeColor="text1"/>
          <w:spacing w:val="-2"/>
          <w:lang w:val="es-CO"/>
        </w:rPr>
        <w:t xml:space="preserve"> </w:t>
      </w:r>
      <w:r w:rsidR="0036288F" w:rsidRPr="006C474A">
        <w:rPr>
          <w:rFonts w:ascii="Tahoma" w:eastAsia="Tahoma" w:hAnsi="Tahoma" w:cs="Tahoma"/>
          <w:color w:val="000000" w:themeColor="text1"/>
          <w:spacing w:val="-2"/>
          <w:lang w:val="es-CO"/>
        </w:rPr>
        <w:t xml:space="preserve">sin </w:t>
      </w:r>
      <w:r w:rsidR="00C56FA4" w:rsidRPr="006C474A">
        <w:rPr>
          <w:rFonts w:ascii="Tahoma" w:eastAsia="Tahoma" w:hAnsi="Tahoma" w:cs="Tahoma"/>
          <w:color w:val="000000" w:themeColor="text1"/>
          <w:spacing w:val="-2"/>
          <w:lang w:val="es-CO"/>
        </w:rPr>
        <w:t xml:space="preserve">discusión alguna, </w:t>
      </w:r>
      <w:r w:rsidRPr="006C474A">
        <w:rPr>
          <w:rFonts w:ascii="Tahoma" w:eastAsia="Tahoma" w:hAnsi="Tahoma" w:cs="Tahoma"/>
          <w:color w:val="000000" w:themeColor="text1"/>
          <w:spacing w:val="-2"/>
          <w:lang w:val="es-CO"/>
        </w:rPr>
        <w:t>debido a que</w:t>
      </w:r>
      <w:r w:rsidR="0036288F" w:rsidRPr="006C474A">
        <w:rPr>
          <w:rFonts w:ascii="Tahoma" w:eastAsia="Tahoma" w:hAnsi="Tahoma" w:cs="Tahoma"/>
          <w:color w:val="000000" w:themeColor="text1"/>
          <w:spacing w:val="-2"/>
          <w:lang w:val="es-CO"/>
        </w:rPr>
        <w:t xml:space="preserve"> </w:t>
      </w:r>
      <w:r w:rsidR="00C56FA4" w:rsidRPr="006C474A">
        <w:rPr>
          <w:rFonts w:ascii="Tahoma" w:eastAsia="Tahoma" w:hAnsi="Tahoma" w:cs="Tahoma"/>
          <w:color w:val="000000" w:themeColor="text1"/>
          <w:spacing w:val="-2"/>
          <w:lang w:val="es-CO"/>
        </w:rPr>
        <w:t>en virtud de que la</w:t>
      </w:r>
      <w:r w:rsidR="00BA421E" w:rsidRPr="006C474A">
        <w:rPr>
          <w:rFonts w:ascii="Tahoma" w:eastAsia="Tahoma" w:hAnsi="Tahoma" w:cs="Tahoma"/>
          <w:color w:val="000000" w:themeColor="text1"/>
          <w:spacing w:val="-2"/>
          <w:lang w:val="es-CO"/>
        </w:rPr>
        <w:t xml:space="preserve"> totalidad de las</w:t>
      </w:r>
      <w:r w:rsidR="00C56FA4" w:rsidRPr="006C474A">
        <w:rPr>
          <w:rFonts w:ascii="Tahoma" w:eastAsia="Tahoma" w:hAnsi="Tahoma" w:cs="Tahoma"/>
          <w:color w:val="000000" w:themeColor="text1"/>
          <w:spacing w:val="-2"/>
          <w:lang w:val="es-CO"/>
        </w:rPr>
        <w:t xml:space="preserve"> semanas acreditadas en </w:t>
      </w:r>
      <w:r w:rsidR="00BA421E" w:rsidRPr="006C474A">
        <w:rPr>
          <w:rFonts w:ascii="Tahoma" w:eastAsia="Tahoma" w:hAnsi="Tahoma" w:cs="Tahoma"/>
          <w:color w:val="000000" w:themeColor="text1"/>
          <w:spacing w:val="-2"/>
          <w:lang w:val="es-CO"/>
        </w:rPr>
        <w:t xml:space="preserve">la historia </w:t>
      </w:r>
      <w:r w:rsidR="00C56FA4" w:rsidRPr="006C474A">
        <w:rPr>
          <w:rFonts w:ascii="Tahoma" w:eastAsia="Tahoma" w:hAnsi="Tahoma" w:cs="Tahoma"/>
          <w:color w:val="000000" w:themeColor="text1"/>
          <w:spacing w:val="-2"/>
          <w:lang w:val="es-CO"/>
        </w:rPr>
        <w:t>laboral de</w:t>
      </w:r>
      <w:r w:rsidR="00BA421E" w:rsidRPr="006C474A">
        <w:rPr>
          <w:rFonts w:ascii="Tahoma" w:eastAsia="Tahoma" w:hAnsi="Tahoma" w:cs="Tahoma"/>
          <w:color w:val="000000" w:themeColor="text1"/>
          <w:spacing w:val="-2"/>
          <w:lang w:val="es-CO"/>
        </w:rPr>
        <w:t>l señor García Zapata datan del 22 de enero de 1971 al 01 de noviembre de 1986</w:t>
      </w:r>
      <w:r w:rsidR="00B53187" w:rsidRPr="006C474A">
        <w:rPr>
          <w:rFonts w:ascii="Tahoma" w:eastAsia="Tahoma" w:hAnsi="Tahoma" w:cs="Tahoma"/>
          <w:color w:val="000000" w:themeColor="text1"/>
          <w:spacing w:val="-2"/>
          <w:lang w:val="es-CO"/>
        </w:rPr>
        <w:t>.</w:t>
      </w:r>
    </w:p>
    <w:p w14:paraId="54BABCE5" w14:textId="77777777" w:rsidR="008C1CF8" w:rsidRPr="006C474A" w:rsidRDefault="008C1CF8" w:rsidP="00281CBF">
      <w:pPr>
        <w:spacing w:line="276" w:lineRule="auto"/>
        <w:ind w:firstLine="708"/>
        <w:jc w:val="both"/>
        <w:rPr>
          <w:rFonts w:ascii="Tahoma" w:eastAsia="Tahoma" w:hAnsi="Tahoma" w:cs="Tahoma"/>
          <w:color w:val="000000" w:themeColor="text1"/>
          <w:spacing w:val="-2"/>
          <w:lang w:val="es-CO"/>
        </w:rPr>
      </w:pPr>
    </w:p>
    <w:p w14:paraId="1AED80A0" w14:textId="1BB861D4" w:rsidR="008C1CF8" w:rsidRPr="006C474A" w:rsidRDefault="007D419E" w:rsidP="00281CBF">
      <w:pPr>
        <w:spacing w:line="276" w:lineRule="auto"/>
        <w:ind w:firstLine="708"/>
        <w:jc w:val="both"/>
        <w:rPr>
          <w:rFonts w:ascii="Tahoma" w:eastAsia="Tahoma" w:hAnsi="Tahoma" w:cs="Tahoma"/>
          <w:color w:val="000000" w:themeColor="text1"/>
          <w:spacing w:val="-2"/>
          <w:lang w:val="es-CO"/>
        </w:rPr>
      </w:pPr>
      <w:r w:rsidRPr="006C474A">
        <w:rPr>
          <w:rFonts w:ascii="Tahoma" w:eastAsia="Tahoma" w:hAnsi="Tahoma" w:cs="Tahoma"/>
          <w:color w:val="000000" w:themeColor="text1"/>
          <w:spacing w:val="-2"/>
          <w:lang w:val="es-CO"/>
        </w:rPr>
        <w:t>En ese orden</w:t>
      </w:r>
      <w:r w:rsidR="008C1CF8" w:rsidRPr="006C474A">
        <w:rPr>
          <w:rFonts w:ascii="Tahoma" w:eastAsia="Tahoma" w:hAnsi="Tahoma" w:cs="Tahoma"/>
          <w:color w:val="000000" w:themeColor="text1"/>
          <w:spacing w:val="-2"/>
          <w:lang w:val="es-CO"/>
        </w:rPr>
        <w:t xml:space="preserve">, </w:t>
      </w:r>
      <w:r w:rsidR="002216EB" w:rsidRPr="006C474A">
        <w:rPr>
          <w:rFonts w:ascii="Tahoma" w:eastAsia="Tahoma" w:hAnsi="Tahoma" w:cs="Tahoma"/>
          <w:color w:val="000000" w:themeColor="text1"/>
          <w:spacing w:val="-2"/>
          <w:lang w:val="es-CO"/>
        </w:rPr>
        <w:t xml:space="preserve">como </w:t>
      </w:r>
      <w:r w:rsidR="009127C8" w:rsidRPr="006C474A">
        <w:rPr>
          <w:rFonts w:ascii="Tahoma" w:eastAsia="Tahoma" w:hAnsi="Tahoma" w:cs="Tahoma"/>
          <w:color w:val="000000" w:themeColor="text1"/>
          <w:spacing w:val="-2"/>
          <w:lang w:val="es-CO"/>
        </w:rPr>
        <w:t>el causante</w:t>
      </w:r>
      <w:r w:rsidR="008C1CF8" w:rsidRPr="006C474A">
        <w:rPr>
          <w:rFonts w:ascii="Tahoma" w:eastAsia="Tahoma" w:hAnsi="Tahoma" w:cs="Tahoma"/>
          <w:color w:val="000000" w:themeColor="text1"/>
          <w:spacing w:val="-2"/>
          <w:lang w:val="es-CO"/>
        </w:rPr>
        <w:t xml:space="preserve"> registraba más de 300 semanas antes del 1° de abril de 1994, </w:t>
      </w:r>
      <w:r w:rsidRPr="006C474A">
        <w:rPr>
          <w:rFonts w:ascii="Tahoma" w:eastAsia="Tahoma" w:hAnsi="Tahoma" w:cs="Tahoma"/>
          <w:color w:val="000000" w:themeColor="text1"/>
          <w:spacing w:val="-2"/>
          <w:lang w:val="es-CO"/>
        </w:rPr>
        <w:t>resulta viable la aplicación d</w:t>
      </w:r>
      <w:r w:rsidR="008C1CF8" w:rsidRPr="006C474A">
        <w:rPr>
          <w:rFonts w:ascii="Tahoma" w:eastAsia="Tahoma" w:hAnsi="Tahoma" w:cs="Tahoma"/>
          <w:color w:val="000000" w:themeColor="text1"/>
          <w:spacing w:val="-2"/>
          <w:lang w:val="es-CO"/>
        </w:rPr>
        <w:t xml:space="preserve">el principio de la condición más beneficiosa para </w:t>
      </w:r>
      <w:r w:rsidR="008C1CF8" w:rsidRPr="006C474A">
        <w:rPr>
          <w:rFonts w:ascii="Tahoma" w:eastAsia="Tahoma" w:hAnsi="Tahoma" w:cs="Tahoma"/>
          <w:color w:val="000000" w:themeColor="text1"/>
          <w:spacing w:val="-2"/>
          <w:lang w:val="es-CO"/>
        </w:rPr>
        <w:lastRenderedPageBreak/>
        <w:t xml:space="preserve">resolver la prestación económica de conformidad con los requisitos previstos en </w:t>
      </w:r>
      <w:r w:rsidRPr="006C474A">
        <w:rPr>
          <w:rFonts w:ascii="Tahoma" w:eastAsia="Tahoma" w:hAnsi="Tahoma" w:cs="Tahoma"/>
          <w:color w:val="000000" w:themeColor="text1"/>
          <w:spacing w:val="-2"/>
          <w:lang w:val="es-CO"/>
        </w:rPr>
        <w:t xml:space="preserve">el acuerdo 049 de 1990, por ser la norma anterior a la ley 100 de 1993 o, incluso el acuerdo 224 de 1966, vigente para el momento en que </w:t>
      </w:r>
      <w:r w:rsidR="009127C8" w:rsidRPr="006C474A">
        <w:rPr>
          <w:rFonts w:ascii="Tahoma" w:eastAsia="Tahoma" w:hAnsi="Tahoma" w:cs="Tahoma"/>
          <w:color w:val="000000" w:themeColor="text1"/>
          <w:spacing w:val="-2"/>
          <w:lang w:val="es-CO"/>
        </w:rPr>
        <w:t>el</w:t>
      </w:r>
      <w:r w:rsidRPr="006C474A">
        <w:rPr>
          <w:rFonts w:ascii="Tahoma" w:eastAsia="Tahoma" w:hAnsi="Tahoma" w:cs="Tahoma"/>
          <w:color w:val="000000" w:themeColor="text1"/>
          <w:spacing w:val="-2"/>
          <w:lang w:val="es-CO"/>
        </w:rPr>
        <w:t xml:space="preserve"> afiliad</w:t>
      </w:r>
      <w:r w:rsidR="51B60BDA" w:rsidRPr="006C474A">
        <w:rPr>
          <w:rFonts w:ascii="Tahoma" w:eastAsia="Tahoma" w:hAnsi="Tahoma" w:cs="Tahoma"/>
          <w:color w:val="000000" w:themeColor="text1"/>
          <w:spacing w:val="-2"/>
          <w:lang w:val="es-CO"/>
        </w:rPr>
        <w:t>o</w:t>
      </w:r>
      <w:r w:rsidRPr="006C474A">
        <w:rPr>
          <w:rFonts w:ascii="Tahoma" w:eastAsia="Tahoma" w:hAnsi="Tahoma" w:cs="Tahoma"/>
          <w:color w:val="000000" w:themeColor="text1"/>
          <w:spacing w:val="-2"/>
          <w:lang w:val="es-CO"/>
        </w:rPr>
        <w:t xml:space="preserve"> fallecid</w:t>
      </w:r>
      <w:r w:rsidR="009127C8" w:rsidRPr="006C474A">
        <w:rPr>
          <w:rFonts w:ascii="Tahoma" w:eastAsia="Tahoma" w:hAnsi="Tahoma" w:cs="Tahoma"/>
          <w:color w:val="000000" w:themeColor="text1"/>
          <w:spacing w:val="-2"/>
          <w:lang w:val="es-CO"/>
        </w:rPr>
        <w:t>o</w:t>
      </w:r>
      <w:r w:rsidRPr="006C474A">
        <w:rPr>
          <w:rFonts w:ascii="Tahoma" w:eastAsia="Tahoma" w:hAnsi="Tahoma" w:cs="Tahoma"/>
          <w:color w:val="000000" w:themeColor="text1"/>
          <w:spacing w:val="-2"/>
          <w:lang w:val="es-CO"/>
        </w:rPr>
        <w:t xml:space="preserve"> realizó la totalidad de las cotizaciones, toda vez que la Corte Constitucional no restringió la aplicación de la condición más beneficiosa en cuanto a la ley 100 de 1993 en su versión original y el acuerdo 049 de 1990, sino que dejó abierta la posibilidad de acudir a regímenes anteriores a estos, como lo son los reglamentos del otrora ISS</w:t>
      </w:r>
      <w:r w:rsidR="004E474A" w:rsidRPr="006C474A">
        <w:rPr>
          <w:rFonts w:ascii="Tahoma" w:eastAsia="Tahoma" w:hAnsi="Tahoma" w:cs="Tahoma"/>
          <w:color w:val="000000" w:themeColor="text1"/>
          <w:spacing w:val="-2"/>
          <w:lang w:val="es-CO"/>
        </w:rPr>
        <w:t>.</w:t>
      </w:r>
    </w:p>
    <w:p w14:paraId="37F6419F" w14:textId="7D40438E" w:rsidR="004E474A" w:rsidRPr="006C474A" w:rsidRDefault="004E474A" w:rsidP="00281CBF">
      <w:pPr>
        <w:pStyle w:val="Sinespaciado"/>
        <w:spacing w:line="276" w:lineRule="auto"/>
        <w:rPr>
          <w:rFonts w:ascii="Tahoma" w:eastAsia="Tahoma" w:hAnsi="Tahoma" w:cs="Tahoma"/>
          <w:spacing w:val="-2"/>
          <w:lang w:val="es-CO"/>
        </w:rPr>
      </w:pPr>
    </w:p>
    <w:p w14:paraId="4FD181D4" w14:textId="146B079D" w:rsidR="009127C8" w:rsidRPr="006C474A" w:rsidRDefault="004E474A" w:rsidP="00281CBF">
      <w:pPr>
        <w:spacing w:line="276" w:lineRule="auto"/>
        <w:ind w:firstLine="708"/>
        <w:jc w:val="both"/>
        <w:rPr>
          <w:rFonts w:ascii="Tahoma" w:eastAsia="Tahoma" w:hAnsi="Tahoma" w:cs="Tahoma"/>
          <w:color w:val="000000" w:themeColor="text1"/>
          <w:spacing w:val="-2"/>
        </w:rPr>
      </w:pPr>
      <w:r w:rsidRPr="006C474A">
        <w:rPr>
          <w:rFonts w:ascii="Tahoma" w:eastAsia="Tahoma" w:hAnsi="Tahoma" w:cs="Tahoma"/>
          <w:color w:val="000000" w:themeColor="text1"/>
          <w:spacing w:val="-2"/>
        </w:rPr>
        <w:t xml:space="preserve">Ahora, en lo que se refiere a la acreditación de la calidad de beneficiario de la pensión de sobreviviente por parte del promotor del litigio, de acuerdo a las pruebas oportuna y válidamente practicadas en el proceso, </w:t>
      </w:r>
      <w:r w:rsidR="002473AA" w:rsidRPr="006C474A">
        <w:rPr>
          <w:rFonts w:ascii="Tahoma" w:eastAsia="Tahoma" w:hAnsi="Tahoma" w:cs="Tahoma"/>
          <w:color w:val="000000" w:themeColor="text1"/>
          <w:spacing w:val="-2"/>
        </w:rPr>
        <w:t xml:space="preserve">se extrae del </w:t>
      </w:r>
      <w:r w:rsidR="009127C8" w:rsidRPr="006C474A">
        <w:rPr>
          <w:rFonts w:ascii="Tahoma" w:eastAsia="Tahoma" w:hAnsi="Tahoma" w:cs="Tahoma"/>
          <w:color w:val="000000" w:themeColor="text1"/>
          <w:spacing w:val="-2"/>
        </w:rPr>
        <w:t>registro civil de nacimiento que el demandante es hijo del señor García Zapata y que, adicionalmente presenta una pérdida de capacidad laboral del 80% desde temprana edad, producto de un accidente de tránsito, motivo por el cual, resta verificar la dependencia económica frente al progenitor fallecido</w:t>
      </w:r>
      <w:r w:rsidR="00A72E05" w:rsidRPr="006C474A">
        <w:rPr>
          <w:rFonts w:ascii="Tahoma" w:eastAsia="Tahoma" w:hAnsi="Tahoma" w:cs="Tahoma"/>
          <w:color w:val="000000" w:themeColor="text1"/>
          <w:spacing w:val="-2"/>
        </w:rPr>
        <w:t>, en los términos del literal c del art. 47 de la ley 100 de 1993</w:t>
      </w:r>
      <w:r w:rsidR="009127C8" w:rsidRPr="006C474A">
        <w:rPr>
          <w:rFonts w:ascii="Tahoma" w:eastAsia="Tahoma" w:hAnsi="Tahoma" w:cs="Tahoma"/>
          <w:color w:val="000000" w:themeColor="text1"/>
          <w:spacing w:val="-2"/>
        </w:rPr>
        <w:t xml:space="preserve">. </w:t>
      </w:r>
    </w:p>
    <w:p w14:paraId="33B16E47" w14:textId="77777777" w:rsidR="009127C8" w:rsidRPr="006C474A" w:rsidRDefault="009127C8" w:rsidP="00281CBF">
      <w:pPr>
        <w:spacing w:line="276" w:lineRule="auto"/>
        <w:ind w:firstLine="708"/>
        <w:jc w:val="both"/>
        <w:rPr>
          <w:rFonts w:ascii="Tahoma" w:eastAsia="Tahoma" w:hAnsi="Tahoma" w:cs="Tahoma"/>
          <w:color w:val="000000" w:themeColor="text1"/>
          <w:spacing w:val="-2"/>
        </w:rPr>
      </w:pPr>
    </w:p>
    <w:p w14:paraId="737EA530" w14:textId="5408BF3E" w:rsidR="009127C8" w:rsidRPr="006C474A" w:rsidRDefault="009127C8" w:rsidP="00281CBF">
      <w:pPr>
        <w:spacing w:line="276" w:lineRule="auto"/>
        <w:ind w:firstLine="708"/>
        <w:jc w:val="both"/>
        <w:rPr>
          <w:rFonts w:ascii="Tahoma" w:eastAsia="Tahoma" w:hAnsi="Tahoma" w:cs="Tahoma"/>
          <w:color w:val="000000" w:themeColor="text1"/>
          <w:spacing w:val="-2"/>
        </w:rPr>
      </w:pPr>
      <w:r w:rsidRPr="006C474A">
        <w:rPr>
          <w:rFonts w:ascii="Tahoma" w:eastAsia="Tahoma" w:hAnsi="Tahoma" w:cs="Tahoma"/>
          <w:color w:val="000000" w:themeColor="text1"/>
          <w:spacing w:val="-2"/>
        </w:rPr>
        <w:t xml:space="preserve">Así, </w:t>
      </w:r>
      <w:r w:rsidR="00A72E05" w:rsidRPr="006C474A">
        <w:rPr>
          <w:rFonts w:ascii="Tahoma" w:eastAsia="Tahoma" w:hAnsi="Tahoma" w:cs="Tahoma"/>
          <w:color w:val="000000" w:themeColor="text1"/>
          <w:spacing w:val="-2"/>
        </w:rPr>
        <w:t xml:space="preserve">al proceso concurrieron </w:t>
      </w:r>
      <w:r w:rsidRPr="006C474A">
        <w:rPr>
          <w:rFonts w:ascii="Tahoma" w:eastAsia="Tahoma" w:hAnsi="Tahoma" w:cs="Tahoma"/>
          <w:color w:val="000000" w:themeColor="text1"/>
          <w:spacing w:val="-2"/>
        </w:rPr>
        <w:t xml:space="preserve">María Emperatriz Quintero Amariles y Albani de Jesús Buriticá Peña </w:t>
      </w:r>
      <w:r w:rsidR="005B10D0" w:rsidRPr="006C474A">
        <w:rPr>
          <w:rFonts w:ascii="Tahoma" w:eastAsia="Tahoma" w:hAnsi="Tahoma" w:cs="Tahoma"/>
          <w:color w:val="000000" w:themeColor="text1"/>
          <w:spacing w:val="-2"/>
        </w:rPr>
        <w:t xml:space="preserve">para rendir testimonios por la parte activa. Inicialmente la señora </w:t>
      </w:r>
      <w:r w:rsidRPr="006C474A">
        <w:rPr>
          <w:rFonts w:ascii="Tahoma" w:eastAsia="Tahoma" w:hAnsi="Tahoma" w:cs="Tahoma"/>
          <w:color w:val="000000" w:themeColor="text1"/>
          <w:spacing w:val="-2"/>
        </w:rPr>
        <w:t>Quintero Amariles</w:t>
      </w:r>
      <w:r w:rsidR="005B10D0" w:rsidRPr="006C474A">
        <w:rPr>
          <w:rFonts w:ascii="Tahoma" w:eastAsia="Tahoma" w:hAnsi="Tahoma" w:cs="Tahoma"/>
          <w:color w:val="000000" w:themeColor="text1"/>
          <w:spacing w:val="-2"/>
        </w:rPr>
        <w:t xml:space="preserve">, quien se identificó como tía del actor, al ser hermana de la madre de esta, Ruby Quintero, afirmó que el causante era ayudante de construcción y vivía solo con su hijo desde que se separó de Ruby, por lo que desde muy pequeño el actor dependió de su papá, ya que tuvo un accidente que le impidió trabajar y la madre no les ayudaba económicamente, pues constituyó otro hogar. Afirmó que actualmente son los familiares del señor César Augusto quienes le ayudan a pagar el cuarto donde vive, la luz y le dan comida. </w:t>
      </w:r>
    </w:p>
    <w:p w14:paraId="6E9D86D6" w14:textId="2C4AAD5D" w:rsidR="005B10D0" w:rsidRPr="006C474A" w:rsidRDefault="005B10D0" w:rsidP="00281CBF">
      <w:pPr>
        <w:spacing w:line="276" w:lineRule="auto"/>
        <w:ind w:firstLine="708"/>
        <w:jc w:val="both"/>
        <w:rPr>
          <w:rFonts w:ascii="Tahoma" w:eastAsia="Tahoma" w:hAnsi="Tahoma" w:cs="Tahoma"/>
          <w:color w:val="000000" w:themeColor="text1"/>
          <w:spacing w:val="-2"/>
        </w:rPr>
      </w:pPr>
    </w:p>
    <w:p w14:paraId="5F59B699" w14:textId="6978DAE5" w:rsidR="009127C8" w:rsidRPr="006C474A" w:rsidRDefault="005B10D0" w:rsidP="00281CBF">
      <w:pPr>
        <w:spacing w:line="276" w:lineRule="auto"/>
        <w:ind w:firstLine="708"/>
        <w:jc w:val="both"/>
        <w:rPr>
          <w:rFonts w:ascii="Tahoma" w:eastAsia="Tahoma" w:hAnsi="Tahoma" w:cs="Tahoma"/>
          <w:color w:val="000000" w:themeColor="text1"/>
          <w:spacing w:val="-2"/>
        </w:rPr>
      </w:pPr>
      <w:r w:rsidRPr="006C474A">
        <w:rPr>
          <w:rFonts w:ascii="Tahoma" w:eastAsia="Tahoma" w:hAnsi="Tahoma" w:cs="Tahoma"/>
          <w:color w:val="000000" w:themeColor="text1"/>
          <w:spacing w:val="-2"/>
        </w:rPr>
        <w:t xml:space="preserve">Por su parte, el señor </w:t>
      </w:r>
      <w:r w:rsidR="009127C8" w:rsidRPr="006C474A">
        <w:rPr>
          <w:rFonts w:ascii="Tahoma" w:eastAsia="Tahoma" w:hAnsi="Tahoma" w:cs="Tahoma"/>
          <w:color w:val="000000" w:themeColor="text1"/>
          <w:spacing w:val="-2"/>
        </w:rPr>
        <w:t>Albani de Jesús Buriticá Peña</w:t>
      </w:r>
      <w:r w:rsidRPr="006C474A">
        <w:rPr>
          <w:rFonts w:ascii="Tahoma" w:eastAsia="Tahoma" w:hAnsi="Tahoma" w:cs="Tahoma"/>
          <w:color w:val="000000" w:themeColor="text1"/>
          <w:spacing w:val="-2"/>
        </w:rPr>
        <w:t xml:space="preserve"> indicó que es tío político del actor, puesto que este es hijo de una hermana de su esposa. El testigo coincidió con su antecesora en que el actor vive actualmente solo y presenta una situación económica complicada, ya que la familia le ayuda cuando puede con el cuarto donde vive y la comida, puesto que antes vivía con su padre, quien trabajaba construcción y veía por el sostenimiento del hijo, </w:t>
      </w:r>
      <w:r w:rsidR="00570AD7" w:rsidRPr="006C474A">
        <w:rPr>
          <w:rFonts w:ascii="Tahoma" w:eastAsia="Tahoma" w:hAnsi="Tahoma" w:cs="Tahoma"/>
          <w:color w:val="000000" w:themeColor="text1"/>
          <w:spacing w:val="-2"/>
        </w:rPr>
        <w:t>ú</w:t>
      </w:r>
      <w:r w:rsidRPr="006C474A">
        <w:rPr>
          <w:rFonts w:ascii="Tahoma" w:eastAsia="Tahoma" w:hAnsi="Tahoma" w:cs="Tahoma"/>
          <w:color w:val="000000" w:themeColor="text1"/>
          <w:spacing w:val="-2"/>
        </w:rPr>
        <w:t xml:space="preserve">ltimo quien nunca ha trabajado debido al accidente que sufrió de pequeño. </w:t>
      </w:r>
    </w:p>
    <w:p w14:paraId="1CF21EFA" w14:textId="0F9B1DDD" w:rsidR="007B4D1A" w:rsidRPr="006C474A" w:rsidRDefault="007B4D1A" w:rsidP="00281CBF">
      <w:pPr>
        <w:pStyle w:val="Sinespaciado"/>
        <w:spacing w:line="276" w:lineRule="auto"/>
        <w:rPr>
          <w:rFonts w:ascii="Tahoma" w:eastAsia="Tahoma" w:hAnsi="Tahoma" w:cs="Tahoma"/>
          <w:spacing w:val="-2"/>
        </w:rPr>
      </w:pPr>
    </w:p>
    <w:p w14:paraId="412BA55E" w14:textId="16260319" w:rsidR="001C24F1" w:rsidRPr="006C474A" w:rsidRDefault="007B4D1A" w:rsidP="00281CBF">
      <w:pPr>
        <w:spacing w:line="276" w:lineRule="auto"/>
        <w:ind w:firstLine="708"/>
        <w:jc w:val="both"/>
        <w:rPr>
          <w:rFonts w:ascii="Tahoma" w:eastAsia="Tahoma" w:hAnsi="Tahoma" w:cs="Tahoma"/>
          <w:color w:val="000000" w:themeColor="text1"/>
          <w:spacing w:val="-2"/>
        </w:rPr>
      </w:pPr>
      <w:r w:rsidRPr="006C474A">
        <w:rPr>
          <w:rFonts w:ascii="Tahoma" w:eastAsia="Tahoma" w:hAnsi="Tahoma" w:cs="Tahoma"/>
          <w:color w:val="000000" w:themeColor="text1"/>
          <w:spacing w:val="-2"/>
        </w:rPr>
        <w:t xml:space="preserve">En este orden, </w:t>
      </w:r>
      <w:r w:rsidR="005B10D0" w:rsidRPr="006C474A">
        <w:rPr>
          <w:rFonts w:ascii="Tahoma" w:eastAsia="Tahoma" w:hAnsi="Tahoma" w:cs="Tahoma"/>
          <w:color w:val="000000" w:themeColor="text1"/>
          <w:spacing w:val="-2"/>
        </w:rPr>
        <w:t xml:space="preserve">estando acreditado el parentesco, la pérdida de capacidad laboral y la dependencia económica, última que se deriva de los testimonios aportados por la parte actora, </w:t>
      </w:r>
      <w:r w:rsidRPr="006C474A">
        <w:rPr>
          <w:rFonts w:ascii="Tahoma" w:eastAsia="Tahoma" w:hAnsi="Tahoma" w:cs="Tahoma"/>
          <w:color w:val="000000" w:themeColor="text1"/>
          <w:spacing w:val="-2"/>
        </w:rPr>
        <w:t xml:space="preserve">se </w:t>
      </w:r>
      <w:r w:rsidR="00F64206" w:rsidRPr="006C474A">
        <w:rPr>
          <w:rFonts w:ascii="Tahoma" w:eastAsia="Tahoma" w:hAnsi="Tahoma" w:cs="Tahoma"/>
          <w:color w:val="000000" w:themeColor="text1"/>
          <w:spacing w:val="-2"/>
        </w:rPr>
        <w:t>declarará</w:t>
      </w:r>
      <w:r w:rsidRPr="006C474A">
        <w:rPr>
          <w:rFonts w:ascii="Tahoma" w:eastAsia="Tahoma" w:hAnsi="Tahoma" w:cs="Tahoma"/>
          <w:color w:val="000000" w:themeColor="text1"/>
          <w:spacing w:val="-2"/>
        </w:rPr>
        <w:t xml:space="preserve"> que el señor </w:t>
      </w:r>
      <w:r w:rsidR="005B10D0" w:rsidRPr="006C474A">
        <w:rPr>
          <w:rFonts w:ascii="Tahoma" w:eastAsia="Tahoma" w:hAnsi="Tahoma" w:cs="Tahoma"/>
          <w:color w:val="000000" w:themeColor="text1"/>
          <w:spacing w:val="-2"/>
          <w:lang w:val="es-CO"/>
        </w:rPr>
        <w:t>César Augusto García</w:t>
      </w:r>
      <w:r w:rsidR="00B92904" w:rsidRPr="006C474A">
        <w:rPr>
          <w:rFonts w:ascii="Tahoma" w:eastAsia="Tahoma" w:hAnsi="Tahoma" w:cs="Tahoma"/>
          <w:color w:val="000000" w:themeColor="text1"/>
          <w:spacing w:val="-2"/>
          <w:lang w:val="es-CO"/>
        </w:rPr>
        <w:t xml:space="preserve"> </w:t>
      </w:r>
      <w:r w:rsidRPr="006C474A">
        <w:rPr>
          <w:rFonts w:ascii="Tahoma" w:eastAsia="Tahoma" w:hAnsi="Tahoma" w:cs="Tahoma"/>
          <w:color w:val="000000" w:themeColor="text1"/>
          <w:spacing w:val="-2"/>
        </w:rPr>
        <w:t xml:space="preserve">tiene derecho a la pensión de sobrevivientes desde el </w:t>
      </w:r>
      <w:r w:rsidR="005B10D0" w:rsidRPr="006C474A">
        <w:rPr>
          <w:rFonts w:ascii="Tahoma" w:eastAsia="Tahoma" w:hAnsi="Tahoma" w:cs="Tahoma"/>
          <w:color w:val="000000" w:themeColor="text1"/>
          <w:spacing w:val="-2"/>
        </w:rPr>
        <w:t>17 de abril de 2006</w:t>
      </w:r>
      <w:r w:rsidR="00B92904" w:rsidRPr="006C474A">
        <w:rPr>
          <w:rFonts w:ascii="Tahoma" w:eastAsia="Tahoma" w:hAnsi="Tahoma" w:cs="Tahoma"/>
          <w:color w:val="000000" w:themeColor="text1"/>
          <w:spacing w:val="-2"/>
        </w:rPr>
        <w:t xml:space="preserve">, día siguiente al fallecimiento de su </w:t>
      </w:r>
      <w:r w:rsidR="005B10D0" w:rsidRPr="006C474A">
        <w:rPr>
          <w:rFonts w:ascii="Tahoma" w:eastAsia="Tahoma" w:hAnsi="Tahoma" w:cs="Tahoma"/>
          <w:color w:val="000000" w:themeColor="text1"/>
          <w:spacing w:val="-2"/>
        </w:rPr>
        <w:t>padre</w:t>
      </w:r>
      <w:r w:rsidRPr="006C474A">
        <w:rPr>
          <w:rFonts w:ascii="Tahoma" w:eastAsia="Tahoma" w:hAnsi="Tahoma" w:cs="Tahoma"/>
          <w:color w:val="000000" w:themeColor="text1"/>
          <w:spacing w:val="-2"/>
        </w:rPr>
        <w:t>, sobre la base de un salario mínimo mensual legal vigente y por 14 mesadas al año</w:t>
      </w:r>
      <w:r w:rsidR="009177D4" w:rsidRPr="006C474A">
        <w:rPr>
          <w:rFonts w:ascii="Tahoma" w:eastAsia="Tahoma" w:hAnsi="Tahoma" w:cs="Tahoma"/>
          <w:color w:val="000000" w:themeColor="text1"/>
          <w:spacing w:val="-2"/>
        </w:rPr>
        <w:t xml:space="preserve">, así mismo se declarará probada parcialmente la excepción de prescripción propuesta por la demandada sobre las mesadas causadas por fuera de los tres años anteriores a la </w:t>
      </w:r>
      <w:r w:rsidR="005B10D0" w:rsidRPr="006C474A">
        <w:rPr>
          <w:rFonts w:ascii="Tahoma" w:eastAsia="Tahoma" w:hAnsi="Tahoma" w:cs="Tahoma"/>
          <w:color w:val="000000" w:themeColor="text1"/>
          <w:spacing w:val="-2"/>
        </w:rPr>
        <w:t>reclamación administrativa -11 de octubre de 2015</w:t>
      </w:r>
      <w:r w:rsidR="009177D4" w:rsidRPr="006C474A">
        <w:rPr>
          <w:rFonts w:ascii="Tahoma" w:eastAsia="Tahoma" w:hAnsi="Tahoma" w:cs="Tahoma"/>
          <w:color w:val="000000" w:themeColor="text1"/>
          <w:spacing w:val="-2"/>
        </w:rPr>
        <w:t>.</w:t>
      </w:r>
    </w:p>
    <w:p w14:paraId="7ECADC65" w14:textId="3F8AAEC1" w:rsidR="001C24F1" w:rsidRPr="006C474A" w:rsidRDefault="001C24F1" w:rsidP="00281CBF">
      <w:pPr>
        <w:spacing w:line="276" w:lineRule="auto"/>
        <w:ind w:firstLine="708"/>
        <w:jc w:val="both"/>
        <w:rPr>
          <w:rFonts w:ascii="Tahoma" w:eastAsia="Tahoma" w:hAnsi="Tahoma" w:cs="Tahoma"/>
          <w:color w:val="000000" w:themeColor="text1"/>
          <w:spacing w:val="-2"/>
        </w:rPr>
      </w:pPr>
    </w:p>
    <w:p w14:paraId="30349DEA" w14:textId="1F17562D" w:rsidR="001C24F1" w:rsidRPr="006C474A" w:rsidRDefault="0D7C4ADF" w:rsidP="00281CBF">
      <w:pPr>
        <w:spacing w:line="276" w:lineRule="auto"/>
        <w:ind w:firstLine="708"/>
        <w:jc w:val="both"/>
        <w:rPr>
          <w:rFonts w:ascii="Tahoma" w:eastAsia="Tahoma" w:hAnsi="Tahoma" w:cs="Tahoma"/>
          <w:color w:val="000000" w:themeColor="text1"/>
          <w:spacing w:val="-2"/>
          <w:lang w:val="es-CO"/>
        </w:rPr>
      </w:pPr>
      <w:r w:rsidRPr="006C474A">
        <w:rPr>
          <w:rFonts w:ascii="Tahoma" w:eastAsia="Tahoma" w:hAnsi="Tahoma" w:cs="Tahoma"/>
          <w:color w:val="000000" w:themeColor="text1"/>
          <w:spacing w:val="-2"/>
          <w:lang w:val="es-CO"/>
        </w:rPr>
        <w:t>Previo a efectuar la liquidación correspondiente, debe resaltarse que, en este caso, tal como lo alega el recurrente se cumple a cabalidad el test de procedibilidad establecido por la Corte Constitucional en la sentencia SU –005 de 2018 de acuerdo a lo siguiente:</w:t>
      </w:r>
    </w:p>
    <w:p w14:paraId="1DC2672E" w14:textId="5699F284" w:rsidR="001C24F1" w:rsidRPr="006C474A" w:rsidRDefault="001C24F1" w:rsidP="00281CBF">
      <w:pPr>
        <w:spacing w:line="276" w:lineRule="auto"/>
        <w:ind w:firstLine="708"/>
        <w:jc w:val="both"/>
        <w:rPr>
          <w:rFonts w:ascii="Tahoma" w:eastAsia="Tahoma" w:hAnsi="Tahoma" w:cs="Tahoma"/>
          <w:color w:val="000000" w:themeColor="text1"/>
          <w:spacing w:val="-2"/>
          <w:lang w:val="es-CO"/>
        </w:rPr>
      </w:pPr>
    </w:p>
    <w:p w14:paraId="523E983C" w14:textId="5753AA74" w:rsidR="001C24F1" w:rsidRPr="006C474A" w:rsidRDefault="0D7C4ADF" w:rsidP="00281CBF">
      <w:pPr>
        <w:spacing w:line="276" w:lineRule="auto"/>
        <w:ind w:firstLine="708"/>
        <w:jc w:val="both"/>
        <w:rPr>
          <w:rFonts w:ascii="Tahoma" w:eastAsia="Tahoma" w:hAnsi="Tahoma" w:cs="Tahoma"/>
          <w:color w:val="000000" w:themeColor="text1"/>
          <w:spacing w:val="-2"/>
          <w:lang w:val="es-CO"/>
        </w:rPr>
      </w:pPr>
      <w:r w:rsidRPr="006C474A">
        <w:rPr>
          <w:rFonts w:ascii="Tahoma" w:eastAsia="Tahoma" w:hAnsi="Tahoma" w:cs="Tahoma"/>
          <w:b/>
          <w:bCs/>
          <w:color w:val="000000" w:themeColor="text1"/>
          <w:spacing w:val="-2"/>
          <w:lang w:val="es-CO"/>
        </w:rPr>
        <w:lastRenderedPageBreak/>
        <w:t xml:space="preserve">i) el accionante pertenece a un grupo de especial protección constitucional: </w:t>
      </w:r>
      <w:r w:rsidRPr="006C474A">
        <w:rPr>
          <w:rFonts w:ascii="Tahoma" w:eastAsia="Tahoma" w:hAnsi="Tahoma" w:cs="Tahoma"/>
          <w:color w:val="000000" w:themeColor="text1"/>
          <w:spacing w:val="-2"/>
          <w:lang w:val="es-CO"/>
        </w:rPr>
        <w:t xml:space="preserve">Al contar el actor con una pérdida de capacidad laboral del 80%, presenta una alta discapacidad que evidentemente lo hace acreedor de una especial protección por parte del Estado. </w:t>
      </w:r>
    </w:p>
    <w:p w14:paraId="557FA7B4" w14:textId="1621FA00" w:rsidR="001C24F1" w:rsidRPr="006C474A" w:rsidRDefault="001C24F1" w:rsidP="00281CBF">
      <w:pPr>
        <w:spacing w:line="276" w:lineRule="auto"/>
        <w:ind w:firstLine="708"/>
        <w:jc w:val="both"/>
        <w:rPr>
          <w:rFonts w:ascii="Tahoma" w:eastAsia="Tahoma" w:hAnsi="Tahoma" w:cs="Tahoma"/>
          <w:color w:val="000000" w:themeColor="text1"/>
          <w:spacing w:val="-2"/>
          <w:lang w:val="es-CO"/>
        </w:rPr>
      </w:pPr>
    </w:p>
    <w:p w14:paraId="138C04A6" w14:textId="56C5643E" w:rsidR="001C24F1" w:rsidRPr="006C474A" w:rsidRDefault="0D7C4ADF" w:rsidP="00281CBF">
      <w:pPr>
        <w:spacing w:line="276" w:lineRule="auto"/>
        <w:ind w:firstLine="708"/>
        <w:jc w:val="both"/>
        <w:rPr>
          <w:rFonts w:ascii="Tahoma" w:eastAsia="Tahoma" w:hAnsi="Tahoma" w:cs="Tahoma"/>
          <w:color w:val="000000" w:themeColor="text1"/>
          <w:spacing w:val="-2"/>
          <w:lang w:val="es-CO"/>
        </w:rPr>
      </w:pPr>
      <w:r w:rsidRPr="006C474A">
        <w:rPr>
          <w:rFonts w:ascii="Tahoma" w:eastAsia="Tahoma" w:hAnsi="Tahoma" w:cs="Tahoma"/>
          <w:b/>
          <w:bCs/>
          <w:color w:val="000000" w:themeColor="text1"/>
          <w:spacing w:val="-2"/>
          <w:lang w:val="es-CO"/>
        </w:rPr>
        <w:t xml:space="preserve">ii) que el no reconocimiento de la prestación afecta su mínimo vital: </w:t>
      </w:r>
      <w:r w:rsidRPr="006C474A">
        <w:rPr>
          <w:rFonts w:ascii="Tahoma" w:eastAsia="Tahoma" w:hAnsi="Tahoma" w:cs="Tahoma"/>
          <w:color w:val="000000" w:themeColor="text1"/>
          <w:spacing w:val="-2"/>
          <w:lang w:val="es-CO"/>
        </w:rPr>
        <w:t xml:space="preserve">Los dos testigos convocados al proceso por parte del demandante fueron contestes al afirmar que, en la actualidad, el actor se encuentra en una grave situación económica, puesto que no cuenta con ningún ingreso. </w:t>
      </w:r>
    </w:p>
    <w:p w14:paraId="0ED94039" w14:textId="0A196EAB" w:rsidR="001C24F1" w:rsidRPr="006C474A" w:rsidRDefault="001C24F1" w:rsidP="00281CBF">
      <w:pPr>
        <w:spacing w:line="276" w:lineRule="auto"/>
        <w:ind w:firstLine="708"/>
        <w:jc w:val="both"/>
        <w:rPr>
          <w:rFonts w:ascii="Tahoma" w:eastAsia="Tahoma" w:hAnsi="Tahoma" w:cs="Tahoma"/>
          <w:color w:val="000000" w:themeColor="text1"/>
          <w:spacing w:val="-2"/>
          <w:lang w:val="es-CO"/>
        </w:rPr>
      </w:pPr>
    </w:p>
    <w:p w14:paraId="5AF196CE" w14:textId="350C9109" w:rsidR="001C24F1" w:rsidRPr="006C474A" w:rsidRDefault="0D7C4ADF" w:rsidP="00281CBF">
      <w:pPr>
        <w:spacing w:line="276" w:lineRule="auto"/>
        <w:ind w:firstLine="708"/>
        <w:jc w:val="both"/>
        <w:rPr>
          <w:rFonts w:ascii="Tahoma" w:eastAsia="Tahoma" w:hAnsi="Tahoma" w:cs="Tahoma"/>
          <w:b/>
          <w:bCs/>
          <w:color w:val="000000" w:themeColor="text1"/>
          <w:spacing w:val="-2"/>
          <w:lang w:val="es-CO"/>
        </w:rPr>
      </w:pPr>
      <w:r w:rsidRPr="006C474A">
        <w:rPr>
          <w:rFonts w:ascii="Tahoma" w:eastAsia="Tahoma" w:hAnsi="Tahoma" w:cs="Tahoma"/>
          <w:b/>
          <w:bCs/>
          <w:color w:val="000000" w:themeColor="text1"/>
          <w:spacing w:val="-2"/>
          <w:lang w:val="es-CO"/>
        </w:rPr>
        <w:t xml:space="preserve"> iii) la dependencia económica hacia el causante: </w:t>
      </w:r>
      <w:r w:rsidRPr="006C474A">
        <w:rPr>
          <w:rFonts w:ascii="Tahoma" w:eastAsia="Tahoma" w:hAnsi="Tahoma" w:cs="Tahoma"/>
          <w:color w:val="000000" w:themeColor="text1"/>
          <w:spacing w:val="-2"/>
          <w:lang w:val="es-CO"/>
        </w:rPr>
        <w:t xml:space="preserve">La prueba testimonial dio cuenta que, desde muy temprana edad, el señor César Augusto vivió solo con su padre y que era este quien veía por su manutención. </w:t>
      </w:r>
    </w:p>
    <w:p w14:paraId="2CE1B378" w14:textId="18D86BDB" w:rsidR="001C24F1" w:rsidRPr="006C474A" w:rsidRDefault="001C24F1" w:rsidP="00281CBF">
      <w:pPr>
        <w:spacing w:line="276" w:lineRule="auto"/>
        <w:ind w:firstLine="708"/>
        <w:jc w:val="both"/>
        <w:rPr>
          <w:rFonts w:ascii="Tahoma" w:eastAsia="Tahoma" w:hAnsi="Tahoma" w:cs="Tahoma"/>
          <w:color w:val="000000" w:themeColor="text1"/>
          <w:spacing w:val="-2"/>
          <w:lang w:val="es-CO"/>
        </w:rPr>
      </w:pPr>
    </w:p>
    <w:p w14:paraId="132909D7" w14:textId="0DA3E733" w:rsidR="001C24F1" w:rsidRPr="006C474A" w:rsidRDefault="0D7C4ADF" w:rsidP="00281CBF">
      <w:pPr>
        <w:spacing w:line="276" w:lineRule="auto"/>
        <w:ind w:firstLine="708"/>
        <w:jc w:val="both"/>
        <w:rPr>
          <w:rFonts w:ascii="Tahoma" w:eastAsia="Tahoma" w:hAnsi="Tahoma" w:cs="Tahoma"/>
          <w:color w:val="000000" w:themeColor="text1"/>
          <w:spacing w:val="-2"/>
          <w:lang w:val="es-CO"/>
        </w:rPr>
      </w:pPr>
      <w:r w:rsidRPr="006C474A">
        <w:rPr>
          <w:rFonts w:ascii="Tahoma" w:eastAsia="Tahoma" w:hAnsi="Tahoma" w:cs="Tahoma"/>
          <w:b/>
          <w:bCs/>
          <w:color w:val="000000" w:themeColor="text1"/>
          <w:spacing w:val="-2"/>
          <w:lang w:val="es-CO"/>
        </w:rPr>
        <w:t xml:space="preserve">iv) la imposibilidad del causante de cotizar las semanas exigidas en el sistema de pensiones: </w:t>
      </w:r>
      <w:r w:rsidRPr="006C474A">
        <w:rPr>
          <w:rFonts w:ascii="Tahoma" w:eastAsia="Tahoma" w:hAnsi="Tahoma" w:cs="Tahoma"/>
          <w:color w:val="000000" w:themeColor="text1"/>
          <w:spacing w:val="-2"/>
          <w:lang w:val="es-CO"/>
        </w:rPr>
        <w:t>Respecto a este punto, si bien no se indicó de manera expresa las razones por las cuales el causante no pudo continuar cotizando, no puede pasar por alto la Sala que las cotizaciones del actor fueron realizadas en su totalidad con anterioridad a la expedición de la ley 100 de 1993, propiamente entre el 22 de enero de 1971 al 01 de noviembre de 1986, última fecha en la que ya se encontraba vigente el Decreto 2879 de 1985 que no permitía que, una vez finalizada la relación laboral que dio lugar a los aportes, el ahora causante continuara efectuando cotizaciones como trabajador independiente. Posteriormente, si bien la ley 100 de 1993 permitió las cotizaciones a los trabajadores independientes, es razonable inferir que un ayudante de construcción no está en posibilidad de realizar el aporte pensional, puesto que, dada la informalidad de la labor es muy mal remunerado hasta el punto de que no alcanza ni siquiera el salario mínimo, adicional a lo cual no es permanente.  Tampoco puede perderse de vista que tenía a su cargo a su hijo con un alto grado de discapacidad, cuya manutención es mucho más costosa que la manutención de un hijo en condiciones de salud óptimas. Así pues, dadas las circunstancias particulares del actor y su progenitor, este requisito merece una interpretación menos restrictiva.</w:t>
      </w:r>
    </w:p>
    <w:p w14:paraId="2B59E82B" w14:textId="6199B03A" w:rsidR="001C24F1" w:rsidRPr="006C474A" w:rsidRDefault="001C24F1" w:rsidP="00281CBF">
      <w:pPr>
        <w:spacing w:line="276" w:lineRule="auto"/>
        <w:ind w:firstLine="708"/>
        <w:jc w:val="both"/>
        <w:rPr>
          <w:rFonts w:ascii="Tahoma" w:eastAsia="Tahoma" w:hAnsi="Tahoma" w:cs="Tahoma"/>
          <w:color w:val="000000" w:themeColor="text1"/>
          <w:spacing w:val="-2"/>
          <w:lang w:val="es-CO"/>
        </w:rPr>
      </w:pPr>
    </w:p>
    <w:p w14:paraId="2AA21E42" w14:textId="7C6E7B06" w:rsidR="001C24F1" w:rsidRPr="006C474A" w:rsidRDefault="0D7C4ADF" w:rsidP="00281CBF">
      <w:pPr>
        <w:spacing w:line="276" w:lineRule="auto"/>
        <w:ind w:firstLine="708"/>
        <w:jc w:val="both"/>
        <w:rPr>
          <w:rFonts w:ascii="Tahoma" w:eastAsia="Tahoma" w:hAnsi="Tahoma" w:cs="Tahoma"/>
          <w:color w:val="000000" w:themeColor="text1"/>
          <w:spacing w:val="-2"/>
          <w:lang w:val="es-CO"/>
        </w:rPr>
      </w:pPr>
      <w:r w:rsidRPr="006C474A">
        <w:rPr>
          <w:rFonts w:ascii="Tahoma" w:eastAsia="Tahoma" w:hAnsi="Tahoma" w:cs="Tahoma"/>
          <w:b/>
          <w:bCs/>
          <w:color w:val="000000" w:themeColor="text1"/>
          <w:spacing w:val="-2"/>
          <w:lang w:val="es-CO"/>
        </w:rPr>
        <w:t xml:space="preserve">v) la actuación diligente del accionante para reclamar la pensión administrativa y judicialmente. </w:t>
      </w:r>
      <w:r w:rsidRPr="006C474A">
        <w:rPr>
          <w:rFonts w:ascii="Tahoma" w:eastAsia="Tahoma" w:hAnsi="Tahoma" w:cs="Tahoma"/>
          <w:color w:val="000000" w:themeColor="text1"/>
          <w:spacing w:val="-2"/>
          <w:lang w:val="es-CO"/>
        </w:rPr>
        <w:t>Finalmente, el demandante cumplió con reclamar administrativamente la pensión y si bien pasaron más de 10 años entre el fallecimiento de su padre y su reclamo pensional, debe tenerse en cuenta que el actor como primera medida debió iniciar un proceso de calificación ante Colpensiones, con el fin de que poder acreditar su condición de invalidez. Asimismo, su alto grado de discapacidad impide que se le pueda exigir el mismo grado de diligencia que a una persona sin esta condición.</w:t>
      </w:r>
    </w:p>
    <w:p w14:paraId="529F8B6F" w14:textId="7CC09FA4" w:rsidR="001C24F1" w:rsidRPr="006C474A" w:rsidRDefault="001C24F1" w:rsidP="00281CBF">
      <w:pPr>
        <w:spacing w:line="276" w:lineRule="auto"/>
        <w:ind w:firstLine="708"/>
        <w:jc w:val="both"/>
        <w:rPr>
          <w:rFonts w:ascii="Tahoma" w:eastAsia="Tahoma" w:hAnsi="Tahoma" w:cs="Tahoma"/>
          <w:color w:val="000000" w:themeColor="text1"/>
          <w:spacing w:val="-2"/>
        </w:rPr>
      </w:pPr>
    </w:p>
    <w:p w14:paraId="3A40C2DC" w14:textId="311DF14E" w:rsidR="001C24F1" w:rsidRPr="006C474A" w:rsidRDefault="32503215" w:rsidP="00281CBF">
      <w:pPr>
        <w:spacing w:line="276" w:lineRule="auto"/>
        <w:ind w:firstLine="708"/>
        <w:jc w:val="both"/>
        <w:rPr>
          <w:rFonts w:ascii="Tahoma" w:eastAsia="Tahoma" w:hAnsi="Tahoma" w:cs="Tahoma"/>
          <w:color w:val="000000" w:themeColor="text1"/>
          <w:spacing w:val="-2"/>
          <w:lang w:val="es"/>
        </w:rPr>
      </w:pPr>
      <w:r w:rsidRPr="006C474A">
        <w:rPr>
          <w:rFonts w:ascii="Tahoma" w:eastAsia="Tahoma" w:hAnsi="Tahoma" w:cs="Tahoma"/>
          <w:color w:val="000000" w:themeColor="text1"/>
          <w:spacing w:val="-2"/>
          <w:lang w:val="es"/>
        </w:rPr>
        <w:t>Así pues, la mesada pensional que le corresponde al actor es equivalente a un salario mínimo pues así ha sido solicitado en la demanda, además que las cotizaciones del causante fueron efectuadas con base en dicho IBC</w:t>
      </w:r>
      <w:r w:rsidR="24A2A8F1" w:rsidRPr="006C474A">
        <w:rPr>
          <w:rFonts w:ascii="Tahoma" w:eastAsia="Tahoma" w:hAnsi="Tahoma" w:cs="Tahoma"/>
          <w:color w:val="000000" w:themeColor="text1"/>
          <w:spacing w:val="-2"/>
          <w:lang w:val="es"/>
        </w:rPr>
        <w:t xml:space="preserve"> o, incluso, en algunos interregnos por sumas menores a las decretadas por el gobierno nacional</w:t>
      </w:r>
      <w:r w:rsidRPr="006C474A">
        <w:rPr>
          <w:rFonts w:ascii="Tahoma" w:eastAsia="Tahoma" w:hAnsi="Tahoma" w:cs="Tahoma"/>
          <w:color w:val="000000" w:themeColor="text1"/>
          <w:spacing w:val="-2"/>
          <w:lang w:val="es"/>
        </w:rPr>
        <w:t>.</w:t>
      </w:r>
    </w:p>
    <w:p w14:paraId="30DFF990" w14:textId="62F21793" w:rsidR="6BDE3D2D" w:rsidRPr="006C474A" w:rsidRDefault="6BDE3D2D" w:rsidP="00281CBF">
      <w:pPr>
        <w:spacing w:line="276" w:lineRule="auto"/>
        <w:ind w:firstLine="708"/>
        <w:jc w:val="both"/>
        <w:rPr>
          <w:rFonts w:ascii="Tahoma" w:eastAsia="Tahoma" w:hAnsi="Tahoma" w:cs="Tahoma"/>
          <w:color w:val="000000" w:themeColor="text1"/>
          <w:spacing w:val="-2"/>
          <w:lang w:val="es"/>
        </w:rPr>
      </w:pPr>
    </w:p>
    <w:p w14:paraId="1D77EAEF" w14:textId="73B0A183" w:rsidR="35CCD3F3" w:rsidRPr="006C474A" w:rsidRDefault="35CCD3F3" w:rsidP="00281CBF">
      <w:pPr>
        <w:tabs>
          <w:tab w:val="left" w:pos="284"/>
        </w:tabs>
        <w:spacing w:line="276" w:lineRule="auto"/>
        <w:ind w:firstLine="708"/>
        <w:jc w:val="both"/>
        <w:rPr>
          <w:rFonts w:ascii="Tahoma" w:eastAsia="Tahoma" w:hAnsi="Tahoma" w:cs="Tahoma"/>
          <w:color w:val="000000" w:themeColor="text1"/>
          <w:spacing w:val="-2"/>
          <w:lang w:val="es"/>
        </w:rPr>
      </w:pPr>
      <w:r w:rsidRPr="006C474A">
        <w:rPr>
          <w:rFonts w:ascii="Tahoma" w:eastAsia="Tahoma" w:hAnsi="Tahoma" w:cs="Tahoma"/>
          <w:color w:val="000000" w:themeColor="text1"/>
          <w:spacing w:val="-2"/>
          <w:lang w:val="es"/>
        </w:rPr>
        <w:t xml:space="preserve">En ese orden, al demandante le asiste derecho a percibir la pensión de sobrevivientes a partir del 17 de abril de 2006 – día siguiente al deceso-, en cuantía que </w:t>
      </w:r>
      <w:r w:rsidRPr="006C474A">
        <w:rPr>
          <w:rFonts w:ascii="Tahoma" w:eastAsia="Tahoma" w:hAnsi="Tahoma" w:cs="Tahoma"/>
          <w:color w:val="000000" w:themeColor="text1"/>
          <w:spacing w:val="-2"/>
          <w:lang w:val="es"/>
        </w:rPr>
        <w:lastRenderedPageBreak/>
        <w:t>para esa fecha ascendía a $</w:t>
      </w:r>
      <w:r w:rsidR="1B85DCF0" w:rsidRPr="006C474A">
        <w:rPr>
          <w:rFonts w:ascii="Tahoma" w:eastAsia="Tahoma" w:hAnsi="Tahoma" w:cs="Tahoma"/>
          <w:color w:val="000000" w:themeColor="text1"/>
          <w:spacing w:val="-2"/>
          <w:lang w:val="es"/>
        </w:rPr>
        <w:t>408.000</w:t>
      </w:r>
      <w:r w:rsidRPr="006C474A">
        <w:rPr>
          <w:rFonts w:ascii="Tahoma" w:eastAsia="Tahoma" w:hAnsi="Tahoma" w:cs="Tahoma"/>
          <w:color w:val="000000" w:themeColor="text1"/>
          <w:spacing w:val="-2"/>
          <w:lang w:val="es"/>
        </w:rPr>
        <w:t xml:space="preserve"> y que actualmente corresponde a $1.</w:t>
      </w:r>
      <w:r w:rsidR="2AF06FC1" w:rsidRPr="006C474A">
        <w:rPr>
          <w:rFonts w:ascii="Tahoma" w:eastAsia="Tahoma" w:hAnsi="Tahoma" w:cs="Tahoma"/>
          <w:color w:val="000000" w:themeColor="text1"/>
          <w:spacing w:val="-2"/>
          <w:lang w:val="es"/>
        </w:rPr>
        <w:t>16</w:t>
      </w:r>
      <w:r w:rsidRPr="006C474A">
        <w:rPr>
          <w:rFonts w:ascii="Tahoma" w:eastAsia="Tahoma" w:hAnsi="Tahoma" w:cs="Tahoma"/>
          <w:color w:val="000000" w:themeColor="text1"/>
          <w:spacing w:val="-2"/>
          <w:lang w:val="es"/>
        </w:rPr>
        <w:t>0.000</w:t>
      </w:r>
      <w:r w:rsidR="6C562109" w:rsidRPr="006C474A">
        <w:rPr>
          <w:rFonts w:ascii="Tahoma" w:eastAsia="Tahoma" w:hAnsi="Tahoma" w:cs="Tahoma"/>
          <w:color w:val="000000" w:themeColor="text1"/>
          <w:spacing w:val="-2"/>
          <w:lang w:val="es"/>
        </w:rPr>
        <w:t>, e</w:t>
      </w:r>
      <w:r w:rsidRPr="006C474A">
        <w:rPr>
          <w:rFonts w:ascii="Tahoma" w:eastAsia="Tahoma" w:hAnsi="Tahoma" w:cs="Tahoma"/>
          <w:color w:val="000000" w:themeColor="text1"/>
          <w:spacing w:val="-2"/>
          <w:lang w:val="es"/>
        </w:rPr>
        <w:t>n</w:t>
      </w:r>
      <w:r w:rsidR="30258421" w:rsidRPr="006C474A">
        <w:rPr>
          <w:rFonts w:ascii="Tahoma" w:eastAsia="Tahoma" w:hAnsi="Tahoma" w:cs="Tahoma"/>
          <w:color w:val="000000" w:themeColor="text1"/>
          <w:spacing w:val="-2"/>
          <w:lang w:val="es"/>
        </w:rPr>
        <w:t xml:space="preserve"> razón a 14</w:t>
      </w:r>
      <w:r w:rsidRPr="006C474A">
        <w:rPr>
          <w:rFonts w:ascii="Tahoma" w:eastAsia="Tahoma" w:hAnsi="Tahoma" w:cs="Tahoma"/>
          <w:color w:val="000000" w:themeColor="text1"/>
          <w:spacing w:val="-2"/>
          <w:lang w:val="es"/>
        </w:rPr>
        <w:t xml:space="preserve"> mesadas anuales</w:t>
      </w:r>
      <w:r w:rsidR="2CF4102F" w:rsidRPr="006C474A">
        <w:rPr>
          <w:rFonts w:ascii="Tahoma" w:eastAsia="Tahoma" w:hAnsi="Tahoma" w:cs="Tahoma"/>
          <w:color w:val="000000" w:themeColor="text1"/>
          <w:spacing w:val="-2"/>
          <w:lang w:val="es"/>
        </w:rPr>
        <w:t>, por haberse causado con anterioridad al 31 de julio de 2010</w:t>
      </w:r>
      <w:r w:rsidRPr="006C474A">
        <w:rPr>
          <w:rFonts w:ascii="Tahoma" w:eastAsia="Tahoma" w:hAnsi="Tahoma" w:cs="Tahoma"/>
          <w:color w:val="000000" w:themeColor="text1"/>
          <w:spacing w:val="-2"/>
          <w:lang w:val="es"/>
        </w:rPr>
        <w:t xml:space="preserve">, </w:t>
      </w:r>
      <w:r w:rsidR="397D34BA" w:rsidRPr="006C474A">
        <w:rPr>
          <w:rFonts w:ascii="Tahoma" w:eastAsia="Tahoma" w:hAnsi="Tahoma" w:cs="Tahoma"/>
          <w:color w:val="000000" w:themeColor="text1"/>
          <w:spacing w:val="-2"/>
          <w:lang w:val="es"/>
        </w:rPr>
        <w:t xml:space="preserve">no </w:t>
      </w:r>
      <w:r w:rsidR="00A64290" w:rsidRPr="006C474A">
        <w:rPr>
          <w:rFonts w:ascii="Tahoma" w:eastAsia="Tahoma" w:hAnsi="Tahoma" w:cs="Tahoma"/>
          <w:color w:val="000000" w:themeColor="text1"/>
          <w:spacing w:val="-2"/>
          <w:lang w:val="es"/>
        </w:rPr>
        <w:t>obstante</w:t>
      </w:r>
      <w:r w:rsidR="397D34BA" w:rsidRPr="006C474A">
        <w:rPr>
          <w:rFonts w:ascii="Tahoma" w:eastAsia="Tahoma" w:hAnsi="Tahoma" w:cs="Tahoma"/>
          <w:color w:val="000000" w:themeColor="text1"/>
          <w:spacing w:val="-2"/>
          <w:lang w:val="es"/>
        </w:rPr>
        <w:t>, como la administradora pensional propuso la excepción de prescripción  y la reclamación administrativa se elevó el 11 de octubre de 2018, se encuentran prescritas las mesadas pensionales causadas con a</w:t>
      </w:r>
      <w:r w:rsidR="081444FB" w:rsidRPr="006C474A">
        <w:rPr>
          <w:rFonts w:ascii="Tahoma" w:eastAsia="Tahoma" w:hAnsi="Tahoma" w:cs="Tahoma"/>
          <w:color w:val="000000" w:themeColor="text1"/>
          <w:spacing w:val="-2"/>
          <w:lang w:val="es"/>
        </w:rPr>
        <w:t xml:space="preserve">nterioridad al 11 de octubre de 2015, siendo precisamente este fecha la solicitada en la demanda para el pago del retroactivo pensional. </w:t>
      </w:r>
    </w:p>
    <w:p w14:paraId="12B283C8" w14:textId="4434E4C9" w:rsidR="6BDE3D2D" w:rsidRPr="006C474A" w:rsidRDefault="6BDE3D2D" w:rsidP="00281CBF">
      <w:pPr>
        <w:tabs>
          <w:tab w:val="left" w:pos="284"/>
        </w:tabs>
        <w:spacing w:line="276" w:lineRule="auto"/>
        <w:ind w:firstLine="708"/>
        <w:jc w:val="both"/>
        <w:rPr>
          <w:rFonts w:ascii="Tahoma" w:eastAsia="Tahoma" w:hAnsi="Tahoma" w:cs="Tahoma"/>
          <w:color w:val="000000" w:themeColor="text1"/>
          <w:spacing w:val="-2"/>
          <w:lang w:val="es"/>
        </w:rPr>
      </w:pPr>
    </w:p>
    <w:p w14:paraId="4F27E725" w14:textId="28632FE9" w:rsidR="081444FB" w:rsidRPr="006C474A" w:rsidRDefault="081444FB" w:rsidP="00281CBF">
      <w:pPr>
        <w:tabs>
          <w:tab w:val="left" w:pos="284"/>
        </w:tabs>
        <w:spacing w:line="276" w:lineRule="auto"/>
        <w:ind w:firstLine="708"/>
        <w:jc w:val="both"/>
        <w:rPr>
          <w:rFonts w:ascii="Tahoma" w:eastAsia="Tahoma" w:hAnsi="Tahoma" w:cs="Tahoma"/>
          <w:color w:val="000000" w:themeColor="text1"/>
          <w:spacing w:val="-2"/>
          <w:lang w:val="es"/>
        </w:rPr>
      </w:pPr>
      <w:r w:rsidRPr="006C474A">
        <w:rPr>
          <w:rFonts w:ascii="Tahoma" w:eastAsia="Tahoma" w:hAnsi="Tahoma" w:cs="Tahoma"/>
          <w:color w:val="000000" w:themeColor="text1"/>
          <w:spacing w:val="-2"/>
          <w:lang w:val="es"/>
        </w:rPr>
        <w:t xml:space="preserve">De acuerdo a lo anterior, efectuadas las operaciones </w:t>
      </w:r>
      <w:r w:rsidR="00A64290" w:rsidRPr="006C474A">
        <w:rPr>
          <w:rFonts w:ascii="Tahoma" w:eastAsia="Tahoma" w:hAnsi="Tahoma" w:cs="Tahoma"/>
          <w:color w:val="000000" w:themeColor="text1"/>
          <w:spacing w:val="-2"/>
          <w:lang w:val="es"/>
        </w:rPr>
        <w:t>aritméticas</w:t>
      </w:r>
      <w:r w:rsidRPr="006C474A">
        <w:rPr>
          <w:rFonts w:ascii="Tahoma" w:eastAsia="Tahoma" w:hAnsi="Tahoma" w:cs="Tahoma"/>
          <w:color w:val="000000" w:themeColor="text1"/>
          <w:spacing w:val="-2"/>
          <w:lang w:val="es"/>
        </w:rPr>
        <w:t xml:space="preserve"> correspondientes, </w:t>
      </w:r>
      <w:r w:rsidR="35CCD3F3" w:rsidRPr="006C474A">
        <w:rPr>
          <w:rFonts w:ascii="Tahoma" w:eastAsia="Tahoma" w:hAnsi="Tahoma" w:cs="Tahoma"/>
          <w:color w:val="000000" w:themeColor="text1"/>
          <w:spacing w:val="-2"/>
          <w:lang w:val="es"/>
        </w:rPr>
        <w:t xml:space="preserve">por concepto del retroactivo generado </w:t>
      </w:r>
      <w:r w:rsidR="306068B9" w:rsidRPr="006C474A">
        <w:rPr>
          <w:rFonts w:ascii="Tahoma" w:eastAsia="Tahoma" w:hAnsi="Tahoma" w:cs="Tahoma"/>
          <w:color w:val="000000" w:themeColor="text1"/>
          <w:spacing w:val="-2"/>
          <w:lang w:val="es"/>
        </w:rPr>
        <w:t>entre el 11 de octubre de 2015</w:t>
      </w:r>
      <w:r w:rsidR="35CCD3F3" w:rsidRPr="006C474A">
        <w:rPr>
          <w:rFonts w:ascii="Tahoma" w:eastAsia="Tahoma" w:hAnsi="Tahoma" w:cs="Tahoma"/>
          <w:color w:val="000000" w:themeColor="text1"/>
          <w:spacing w:val="-2"/>
          <w:lang w:val="es"/>
        </w:rPr>
        <w:t xml:space="preserve"> y el </w:t>
      </w:r>
      <w:r w:rsidR="5188B989" w:rsidRPr="006C474A">
        <w:rPr>
          <w:rFonts w:ascii="Tahoma" w:eastAsia="Tahoma" w:hAnsi="Tahoma" w:cs="Tahoma"/>
          <w:color w:val="000000" w:themeColor="text1"/>
          <w:spacing w:val="-2"/>
          <w:lang w:val="es"/>
        </w:rPr>
        <w:t>30 de abril de 2023</w:t>
      </w:r>
      <w:r w:rsidR="35CCD3F3" w:rsidRPr="006C474A">
        <w:rPr>
          <w:rFonts w:ascii="Tahoma" w:eastAsia="Tahoma" w:hAnsi="Tahoma" w:cs="Tahoma"/>
          <w:color w:val="000000" w:themeColor="text1"/>
          <w:spacing w:val="-2"/>
          <w:lang w:val="es"/>
        </w:rPr>
        <w:t xml:space="preserve">, </w:t>
      </w:r>
      <w:r w:rsidR="5A17E008" w:rsidRPr="006C474A">
        <w:rPr>
          <w:rFonts w:ascii="Tahoma" w:eastAsia="Tahoma" w:hAnsi="Tahoma" w:cs="Tahoma"/>
          <w:color w:val="000000" w:themeColor="text1"/>
          <w:spacing w:val="-2"/>
          <w:lang w:val="es"/>
        </w:rPr>
        <w:t>COLPENSIONES</w:t>
      </w:r>
      <w:r w:rsidR="35CCD3F3" w:rsidRPr="006C474A">
        <w:rPr>
          <w:rFonts w:ascii="Tahoma" w:eastAsia="Tahoma" w:hAnsi="Tahoma" w:cs="Tahoma"/>
          <w:color w:val="000000" w:themeColor="text1"/>
          <w:spacing w:val="-2"/>
          <w:lang w:val="es"/>
        </w:rPr>
        <w:t xml:space="preserve"> deberá reconocer y pagar </w:t>
      </w:r>
      <w:r w:rsidR="023C3672" w:rsidRPr="006C474A">
        <w:rPr>
          <w:rFonts w:ascii="Tahoma" w:eastAsia="Tahoma" w:hAnsi="Tahoma" w:cs="Tahoma"/>
          <w:color w:val="000000" w:themeColor="text1"/>
          <w:spacing w:val="-2"/>
          <w:lang w:val="es"/>
        </w:rPr>
        <w:t xml:space="preserve">al demandante </w:t>
      </w:r>
      <w:r w:rsidR="35CCD3F3" w:rsidRPr="006C474A">
        <w:rPr>
          <w:rFonts w:ascii="Tahoma" w:eastAsia="Tahoma" w:hAnsi="Tahoma" w:cs="Tahoma"/>
          <w:color w:val="000000" w:themeColor="text1"/>
          <w:spacing w:val="-2"/>
          <w:lang w:val="es"/>
        </w:rPr>
        <w:t>la suma de $</w:t>
      </w:r>
      <w:r w:rsidR="7947EBD5" w:rsidRPr="006C474A">
        <w:rPr>
          <w:rFonts w:ascii="Tahoma" w:eastAsia="Tahoma" w:hAnsi="Tahoma" w:cs="Tahoma"/>
          <w:color w:val="000000" w:themeColor="text1"/>
          <w:spacing w:val="-2"/>
          <w:lang w:val="es"/>
        </w:rPr>
        <w:t>88.537.678,</w:t>
      </w:r>
      <w:r w:rsidR="35CCD3F3" w:rsidRPr="006C474A">
        <w:rPr>
          <w:rFonts w:ascii="Tahoma" w:eastAsia="Tahoma" w:hAnsi="Tahoma" w:cs="Tahoma"/>
          <w:color w:val="000000" w:themeColor="text1"/>
          <w:spacing w:val="-2"/>
          <w:lang w:val="es"/>
        </w:rPr>
        <w:t xml:space="preserve"> misma sobre la cual proceden los descuentos con destino al sistema de seguridad social en salud y sin perjuicio de las mesadas que se</w:t>
      </w:r>
      <w:r w:rsidR="589A5E6E" w:rsidRPr="006C474A">
        <w:rPr>
          <w:rFonts w:ascii="Tahoma" w:eastAsia="Tahoma" w:hAnsi="Tahoma" w:cs="Tahoma"/>
          <w:color w:val="000000" w:themeColor="text1"/>
          <w:spacing w:val="-2"/>
          <w:lang w:val="es"/>
        </w:rPr>
        <w:t xml:space="preserve"> causen</w:t>
      </w:r>
      <w:r w:rsidR="35CCD3F3" w:rsidRPr="006C474A">
        <w:rPr>
          <w:rFonts w:ascii="Tahoma" w:eastAsia="Tahoma" w:hAnsi="Tahoma" w:cs="Tahoma"/>
          <w:color w:val="000000" w:themeColor="text1"/>
          <w:spacing w:val="-2"/>
          <w:lang w:val="es"/>
        </w:rPr>
        <w:t xml:space="preserve"> a futuro.</w:t>
      </w:r>
      <w:r w:rsidR="24842B31" w:rsidRPr="006C474A">
        <w:rPr>
          <w:rFonts w:ascii="Tahoma" w:eastAsia="Tahoma" w:hAnsi="Tahoma" w:cs="Tahoma"/>
          <w:color w:val="000000" w:themeColor="text1"/>
          <w:spacing w:val="-2"/>
          <w:lang w:val="es"/>
        </w:rPr>
        <w:t xml:space="preserve"> </w:t>
      </w:r>
    </w:p>
    <w:p w14:paraId="544D8674" w14:textId="3CB5E689" w:rsidR="6BDE3D2D" w:rsidRPr="006C474A" w:rsidRDefault="6BDE3D2D" w:rsidP="00281CBF">
      <w:pPr>
        <w:tabs>
          <w:tab w:val="left" w:pos="284"/>
        </w:tabs>
        <w:spacing w:line="276" w:lineRule="auto"/>
        <w:ind w:firstLine="708"/>
        <w:jc w:val="both"/>
        <w:rPr>
          <w:rFonts w:ascii="Tahoma" w:eastAsia="Tahoma" w:hAnsi="Tahoma" w:cs="Tahoma"/>
          <w:color w:val="000000" w:themeColor="text1"/>
          <w:spacing w:val="-2"/>
          <w:lang w:val="es"/>
        </w:rPr>
      </w:pPr>
    </w:p>
    <w:tbl>
      <w:tblPr>
        <w:tblW w:w="0" w:type="auto"/>
        <w:jc w:val="center"/>
        <w:tblLayout w:type="fixed"/>
        <w:tblLook w:val="06A0" w:firstRow="1" w:lastRow="0" w:firstColumn="1" w:lastColumn="0" w:noHBand="1" w:noVBand="1"/>
      </w:tblPr>
      <w:tblGrid>
        <w:gridCol w:w="1200"/>
        <w:gridCol w:w="1200"/>
        <w:gridCol w:w="1200"/>
        <w:gridCol w:w="1200"/>
        <w:gridCol w:w="1200"/>
        <w:gridCol w:w="1425"/>
      </w:tblGrid>
      <w:tr w:rsidR="6BDE3D2D" w:rsidRPr="006C474A" w14:paraId="43BB9876" w14:textId="77777777" w:rsidTr="6BDE3D2D">
        <w:trPr>
          <w:trHeight w:val="300"/>
          <w:jc w:val="center"/>
        </w:trPr>
        <w:tc>
          <w:tcPr>
            <w:tcW w:w="7425" w:type="dxa"/>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D4F1123" w14:textId="73F363FB" w:rsidR="6BDE3D2D" w:rsidRPr="006C474A" w:rsidRDefault="6BDE3D2D" w:rsidP="6BDE3D2D">
            <w:pPr>
              <w:jc w:val="center"/>
              <w:rPr>
                <w:spacing w:val="-2"/>
              </w:rPr>
            </w:pPr>
            <w:r w:rsidRPr="006C474A">
              <w:rPr>
                <w:rFonts w:ascii="Calibri" w:eastAsia="Calibri" w:hAnsi="Calibri" w:cs="Calibri"/>
                <w:b/>
                <w:bCs/>
                <w:color w:val="000000" w:themeColor="text1"/>
                <w:spacing w:val="-2"/>
                <w:szCs w:val="22"/>
              </w:rPr>
              <w:t>RETROACTIVO</w:t>
            </w:r>
          </w:p>
        </w:tc>
      </w:tr>
      <w:tr w:rsidR="6BDE3D2D" w:rsidRPr="006C474A" w14:paraId="6D099B66" w14:textId="77777777" w:rsidTr="6BDE3D2D">
        <w:trPr>
          <w:trHeight w:val="300"/>
          <w:jc w:val="center"/>
        </w:trPr>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28923C" w14:textId="665C72E9"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Año</w:t>
            </w:r>
          </w:p>
        </w:tc>
        <w:tc>
          <w:tcPr>
            <w:tcW w:w="1200" w:type="dxa"/>
            <w:tcBorders>
              <w:top w:val="nil"/>
              <w:left w:val="single" w:sz="4" w:space="0" w:color="auto"/>
              <w:bottom w:val="single" w:sz="4" w:space="0" w:color="auto"/>
              <w:right w:val="nil"/>
            </w:tcBorders>
            <w:tcMar>
              <w:top w:w="15" w:type="dxa"/>
              <w:left w:w="15" w:type="dxa"/>
              <w:right w:w="15" w:type="dxa"/>
            </w:tcMar>
            <w:vAlign w:val="center"/>
          </w:tcPr>
          <w:p w14:paraId="27622CCD" w14:textId="33230382"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Desde</w:t>
            </w:r>
          </w:p>
        </w:tc>
        <w:tc>
          <w:tcPr>
            <w:tcW w:w="1200" w:type="dxa"/>
            <w:tcBorders>
              <w:top w:val="nil"/>
              <w:left w:val="single" w:sz="4" w:space="0" w:color="auto"/>
              <w:bottom w:val="single" w:sz="4" w:space="0" w:color="auto"/>
              <w:right w:val="nil"/>
            </w:tcBorders>
            <w:tcMar>
              <w:top w:w="15" w:type="dxa"/>
              <w:left w:w="15" w:type="dxa"/>
              <w:right w:w="15" w:type="dxa"/>
            </w:tcMar>
            <w:vAlign w:val="center"/>
          </w:tcPr>
          <w:p w14:paraId="5CA80E26" w14:textId="317A8CEC"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Hasta</w:t>
            </w:r>
          </w:p>
        </w:tc>
        <w:tc>
          <w:tcPr>
            <w:tcW w:w="1200" w:type="dxa"/>
            <w:tcBorders>
              <w:top w:val="nil"/>
              <w:left w:val="single" w:sz="4" w:space="0" w:color="auto"/>
              <w:bottom w:val="single" w:sz="4" w:space="0" w:color="auto"/>
              <w:right w:val="single" w:sz="4" w:space="0" w:color="808000"/>
            </w:tcBorders>
            <w:tcMar>
              <w:top w:w="15" w:type="dxa"/>
              <w:left w:w="15" w:type="dxa"/>
              <w:right w:w="15" w:type="dxa"/>
            </w:tcMar>
            <w:vAlign w:val="center"/>
          </w:tcPr>
          <w:p w14:paraId="0E0B4259" w14:textId="27E17FE2"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Causadas</w:t>
            </w:r>
          </w:p>
        </w:tc>
        <w:tc>
          <w:tcPr>
            <w:tcW w:w="1200" w:type="dxa"/>
            <w:tcBorders>
              <w:top w:val="nil"/>
              <w:left w:val="single" w:sz="4" w:space="0" w:color="808000"/>
              <w:bottom w:val="single" w:sz="4" w:space="0" w:color="auto"/>
              <w:right w:val="single" w:sz="4" w:space="0" w:color="808000"/>
            </w:tcBorders>
            <w:tcMar>
              <w:top w:w="15" w:type="dxa"/>
              <w:left w:w="15" w:type="dxa"/>
              <w:right w:w="15" w:type="dxa"/>
            </w:tcMar>
            <w:vAlign w:val="center"/>
          </w:tcPr>
          <w:p w14:paraId="48A7700D" w14:textId="1392A653"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Mesada</w:t>
            </w:r>
          </w:p>
        </w:tc>
        <w:tc>
          <w:tcPr>
            <w:tcW w:w="1425"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12A35F08" w14:textId="1B3F194D"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 xml:space="preserve"> Retroactivo </w:t>
            </w:r>
          </w:p>
        </w:tc>
      </w:tr>
      <w:tr w:rsidR="6BDE3D2D" w:rsidRPr="006C474A" w14:paraId="7968D7AF" w14:textId="77777777" w:rsidTr="6BDE3D2D">
        <w:trPr>
          <w:trHeight w:val="300"/>
          <w:jc w:val="center"/>
        </w:trPr>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6CDF6A" w14:textId="535C2022"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2015</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FC4771" w14:textId="4DD6A3AA"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11-oct-15</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E59BE6" w14:textId="2A320AB9"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31-dic-15</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60F4283" w14:textId="03CDD15E"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3,69  </w:t>
            </w:r>
          </w:p>
        </w:tc>
        <w:tc>
          <w:tcPr>
            <w:tcW w:w="1200" w:type="dxa"/>
            <w:tcBorders>
              <w:top w:val="single" w:sz="4" w:space="0" w:color="003366"/>
              <w:left w:val="single" w:sz="4" w:space="0" w:color="003366"/>
              <w:bottom w:val="single" w:sz="4" w:space="0" w:color="003366"/>
              <w:right w:val="single" w:sz="4" w:space="0" w:color="003366"/>
            </w:tcBorders>
            <w:tcMar>
              <w:top w:w="15" w:type="dxa"/>
              <w:left w:w="15" w:type="dxa"/>
              <w:right w:w="15" w:type="dxa"/>
            </w:tcMar>
            <w:vAlign w:val="bottom"/>
          </w:tcPr>
          <w:p w14:paraId="13A7320D" w14:textId="73AE791B"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$ 644.350 </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5160D7" w14:textId="38F2B0D9"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 xml:space="preserve">2.377.652 </w:t>
            </w:r>
          </w:p>
        </w:tc>
      </w:tr>
      <w:tr w:rsidR="6BDE3D2D" w:rsidRPr="006C474A" w14:paraId="0E552A35" w14:textId="77777777" w:rsidTr="6BDE3D2D">
        <w:trPr>
          <w:trHeight w:val="300"/>
          <w:jc w:val="center"/>
        </w:trPr>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4E61C6" w14:textId="1686641E"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2016</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55E5CC" w14:textId="04EAE45E"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01-ene-16</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AA5E10" w14:textId="6D811BCA"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31-dic-16</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F3ED6CE" w14:textId="43EB0299"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14,00  </w:t>
            </w:r>
          </w:p>
        </w:tc>
        <w:tc>
          <w:tcPr>
            <w:tcW w:w="1200" w:type="dxa"/>
            <w:tcBorders>
              <w:top w:val="single" w:sz="4" w:space="0" w:color="003366"/>
              <w:left w:val="single" w:sz="4" w:space="0" w:color="003366"/>
              <w:bottom w:val="single" w:sz="4" w:space="0" w:color="003366"/>
              <w:right w:val="single" w:sz="4" w:space="0" w:color="003366"/>
            </w:tcBorders>
            <w:tcMar>
              <w:top w:w="15" w:type="dxa"/>
              <w:left w:w="15" w:type="dxa"/>
              <w:right w:w="15" w:type="dxa"/>
            </w:tcMar>
            <w:vAlign w:val="bottom"/>
          </w:tcPr>
          <w:p w14:paraId="4CC2AB80" w14:textId="11357231"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$ 689.455 </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197579" w14:textId="5177509E"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 xml:space="preserve">9.652.370 </w:t>
            </w:r>
          </w:p>
        </w:tc>
      </w:tr>
      <w:tr w:rsidR="6BDE3D2D" w:rsidRPr="006C474A" w14:paraId="14FF4DC8" w14:textId="77777777" w:rsidTr="6BDE3D2D">
        <w:trPr>
          <w:trHeight w:val="300"/>
          <w:jc w:val="center"/>
        </w:trPr>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A3695D" w14:textId="408310A9"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2017</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DE0AE2" w14:textId="6AABB2CF"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01-ene-17</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B9E544" w14:textId="73D1D03B"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31-dic-17</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BBAD941" w14:textId="75B50357"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14,00  </w:t>
            </w:r>
          </w:p>
        </w:tc>
        <w:tc>
          <w:tcPr>
            <w:tcW w:w="1200" w:type="dxa"/>
            <w:tcBorders>
              <w:top w:val="single" w:sz="4" w:space="0" w:color="003366"/>
              <w:left w:val="single" w:sz="4" w:space="0" w:color="003366"/>
              <w:bottom w:val="single" w:sz="4" w:space="0" w:color="003366"/>
              <w:right w:val="single" w:sz="4" w:space="0" w:color="003366"/>
            </w:tcBorders>
            <w:tcMar>
              <w:top w:w="15" w:type="dxa"/>
              <w:left w:w="15" w:type="dxa"/>
              <w:right w:w="15" w:type="dxa"/>
            </w:tcMar>
            <w:vAlign w:val="bottom"/>
          </w:tcPr>
          <w:p w14:paraId="1047DD26" w14:textId="7C8B575F"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$ 737.717 </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A02059" w14:textId="695CAACB"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 xml:space="preserve">10.328.038 </w:t>
            </w:r>
          </w:p>
        </w:tc>
      </w:tr>
      <w:tr w:rsidR="6BDE3D2D" w:rsidRPr="006C474A" w14:paraId="6335CCF3" w14:textId="77777777" w:rsidTr="6BDE3D2D">
        <w:trPr>
          <w:trHeight w:val="300"/>
          <w:jc w:val="center"/>
        </w:trPr>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1D961E" w14:textId="30C9674D"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2018</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AA458F" w14:textId="06E8B0B1"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01-ene-18</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D2C86C" w14:textId="20A84D0F"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31-dic-18</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7D6CF44" w14:textId="433ACA0F"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14,00  </w:t>
            </w:r>
          </w:p>
        </w:tc>
        <w:tc>
          <w:tcPr>
            <w:tcW w:w="1200" w:type="dxa"/>
            <w:tcBorders>
              <w:top w:val="single" w:sz="4" w:space="0" w:color="003366"/>
              <w:left w:val="single" w:sz="4" w:space="0" w:color="003366"/>
              <w:bottom w:val="single" w:sz="4" w:space="0" w:color="003366"/>
              <w:right w:val="single" w:sz="4" w:space="0" w:color="003366"/>
            </w:tcBorders>
            <w:tcMar>
              <w:top w:w="15" w:type="dxa"/>
              <w:left w:w="15" w:type="dxa"/>
              <w:right w:w="15" w:type="dxa"/>
            </w:tcMar>
            <w:vAlign w:val="bottom"/>
          </w:tcPr>
          <w:p w14:paraId="74DDE689" w14:textId="61BDC17D"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$ 781.242 </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9E88D5" w14:textId="23110F14"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 xml:space="preserve">10.937.388 </w:t>
            </w:r>
          </w:p>
        </w:tc>
      </w:tr>
      <w:tr w:rsidR="6BDE3D2D" w:rsidRPr="006C474A" w14:paraId="31DEFC8C" w14:textId="77777777" w:rsidTr="6BDE3D2D">
        <w:trPr>
          <w:trHeight w:val="300"/>
          <w:jc w:val="center"/>
        </w:trPr>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8C8182" w14:textId="2E6E60F8"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2019</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618B73" w14:textId="4D8C6673"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01-ene-19</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308EC3" w14:textId="58910F55"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31-dic-19</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04813BF" w14:textId="52B614DA"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14,00  </w:t>
            </w:r>
          </w:p>
        </w:tc>
        <w:tc>
          <w:tcPr>
            <w:tcW w:w="1200" w:type="dxa"/>
            <w:tcBorders>
              <w:top w:val="single" w:sz="4" w:space="0" w:color="003366"/>
              <w:left w:val="single" w:sz="4" w:space="0" w:color="003366"/>
              <w:bottom w:val="single" w:sz="4" w:space="0" w:color="003366"/>
              <w:right w:val="single" w:sz="4" w:space="0" w:color="003366"/>
            </w:tcBorders>
            <w:tcMar>
              <w:top w:w="15" w:type="dxa"/>
              <w:left w:w="15" w:type="dxa"/>
              <w:right w:w="15" w:type="dxa"/>
            </w:tcMar>
            <w:vAlign w:val="bottom"/>
          </w:tcPr>
          <w:p w14:paraId="4F674C48" w14:textId="6C9E033C"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$ 828.116 </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7ED733" w14:textId="607C4A3B"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 xml:space="preserve">11.593.624 </w:t>
            </w:r>
          </w:p>
        </w:tc>
      </w:tr>
      <w:tr w:rsidR="6BDE3D2D" w:rsidRPr="006C474A" w14:paraId="4E2D0739" w14:textId="77777777" w:rsidTr="6BDE3D2D">
        <w:trPr>
          <w:trHeight w:val="300"/>
          <w:jc w:val="center"/>
        </w:trPr>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57CA05" w14:textId="46243C37"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2020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3BEEA0" w14:textId="014B1653"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01-ene-20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B824CA" w14:textId="5360A7F0"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31-dic-20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633F3A2" w14:textId="26864D85"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14,00  </w:t>
            </w:r>
          </w:p>
        </w:tc>
        <w:tc>
          <w:tcPr>
            <w:tcW w:w="1200" w:type="dxa"/>
            <w:tcBorders>
              <w:top w:val="single" w:sz="4" w:space="0" w:color="003366"/>
              <w:left w:val="single" w:sz="4" w:space="0" w:color="003366"/>
              <w:bottom w:val="single" w:sz="4" w:space="0" w:color="003366"/>
              <w:right w:val="single" w:sz="4" w:space="0" w:color="003366"/>
            </w:tcBorders>
            <w:tcMar>
              <w:top w:w="15" w:type="dxa"/>
              <w:left w:w="15" w:type="dxa"/>
              <w:right w:w="15" w:type="dxa"/>
            </w:tcMar>
            <w:vAlign w:val="bottom"/>
          </w:tcPr>
          <w:p w14:paraId="4EABA793" w14:textId="36BA55E5"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$ 877.803 </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2A5C5A" w14:textId="1B389CB7"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 xml:space="preserve">12.289.242 </w:t>
            </w:r>
          </w:p>
        </w:tc>
      </w:tr>
      <w:tr w:rsidR="6BDE3D2D" w:rsidRPr="006C474A" w14:paraId="67072B32" w14:textId="77777777" w:rsidTr="6BDE3D2D">
        <w:trPr>
          <w:trHeight w:val="300"/>
          <w:jc w:val="center"/>
        </w:trPr>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135EE2" w14:textId="71734130"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2021</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B3873F" w14:textId="6B63C2D3"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01-ene-21</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E1DA6A" w14:textId="6A59AC0E"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31-dic-21</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73BD91C" w14:textId="5398E50E"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14,00  </w:t>
            </w:r>
          </w:p>
        </w:tc>
        <w:tc>
          <w:tcPr>
            <w:tcW w:w="1200" w:type="dxa"/>
            <w:tcBorders>
              <w:top w:val="single" w:sz="4" w:space="0" w:color="003366"/>
              <w:left w:val="single" w:sz="4" w:space="0" w:color="003366"/>
              <w:bottom w:val="single" w:sz="4" w:space="0" w:color="003366"/>
              <w:right w:val="single" w:sz="4" w:space="0" w:color="003366"/>
            </w:tcBorders>
            <w:tcMar>
              <w:top w:w="15" w:type="dxa"/>
              <w:left w:w="15" w:type="dxa"/>
              <w:right w:w="15" w:type="dxa"/>
            </w:tcMar>
            <w:vAlign w:val="bottom"/>
          </w:tcPr>
          <w:p w14:paraId="67196658" w14:textId="2B7D2E2C"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$ 908.526 </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530A40" w14:textId="65E0E5CE"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 xml:space="preserve">12.719.364 </w:t>
            </w:r>
          </w:p>
        </w:tc>
      </w:tr>
      <w:tr w:rsidR="6BDE3D2D" w:rsidRPr="006C474A" w14:paraId="67C7AD9E" w14:textId="77777777" w:rsidTr="6BDE3D2D">
        <w:trPr>
          <w:trHeight w:val="300"/>
          <w:jc w:val="center"/>
        </w:trPr>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3BC2D4" w14:textId="46A0F371"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2022</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7C629B" w14:textId="5E873739"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01-ene-22</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89A225" w14:textId="08F2ED9B"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28-feb-22</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AE92B8E" w14:textId="7E26E1F2"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14,00  </w:t>
            </w:r>
          </w:p>
        </w:tc>
        <w:tc>
          <w:tcPr>
            <w:tcW w:w="1200" w:type="dxa"/>
            <w:tcBorders>
              <w:top w:val="single" w:sz="4" w:space="0" w:color="003366"/>
              <w:left w:val="single" w:sz="4" w:space="0" w:color="003366"/>
              <w:bottom w:val="single" w:sz="4" w:space="0" w:color="003366"/>
              <w:right w:val="single" w:sz="4" w:space="0" w:color="003366"/>
            </w:tcBorders>
            <w:tcMar>
              <w:top w:w="15" w:type="dxa"/>
              <w:left w:w="15" w:type="dxa"/>
              <w:right w:w="15" w:type="dxa"/>
            </w:tcMar>
            <w:vAlign w:val="bottom"/>
          </w:tcPr>
          <w:p w14:paraId="258975A4" w14:textId="2BBA28E9"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$ 1.000.000 </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74B73D" w14:textId="7FDCFB0E"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 xml:space="preserve">14.000.000 </w:t>
            </w:r>
          </w:p>
        </w:tc>
      </w:tr>
      <w:tr w:rsidR="6BDE3D2D" w:rsidRPr="006C474A" w14:paraId="38701C71" w14:textId="77777777" w:rsidTr="6BDE3D2D">
        <w:trPr>
          <w:trHeight w:val="300"/>
          <w:jc w:val="center"/>
        </w:trPr>
        <w:tc>
          <w:tcPr>
            <w:tcW w:w="1200"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22D2F94F" w14:textId="35E6F346"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2023</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771496" w14:textId="42910BC2"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01-ene-23</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399099" w14:textId="42D7DC10" w:rsidR="6BDE3D2D" w:rsidRPr="006C474A" w:rsidRDefault="6BDE3D2D" w:rsidP="00425BF1">
            <w:pPr>
              <w:rPr>
                <w:spacing w:val="-2"/>
                <w:sz w:val="18"/>
              </w:rPr>
            </w:pPr>
            <w:r w:rsidRPr="006C474A">
              <w:rPr>
                <w:rFonts w:ascii="Calibri" w:eastAsia="Calibri" w:hAnsi="Calibri" w:cs="Calibri"/>
                <w:color w:val="000000" w:themeColor="text1"/>
                <w:spacing w:val="-2"/>
                <w:sz w:val="18"/>
                <w:szCs w:val="16"/>
              </w:rPr>
              <w:t>31-ene-23</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21728A3" w14:textId="76C52B61"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4,00  </w:t>
            </w:r>
          </w:p>
        </w:tc>
        <w:tc>
          <w:tcPr>
            <w:tcW w:w="1200" w:type="dxa"/>
            <w:tcBorders>
              <w:top w:val="single" w:sz="4" w:space="0" w:color="003366"/>
              <w:left w:val="single" w:sz="4" w:space="0" w:color="auto"/>
              <w:bottom w:val="nil"/>
              <w:right w:val="nil"/>
            </w:tcBorders>
            <w:tcMar>
              <w:top w:w="15" w:type="dxa"/>
              <w:left w:w="15" w:type="dxa"/>
              <w:right w:w="15" w:type="dxa"/>
            </w:tcMar>
            <w:vAlign w:val="bottom"/>
          </w:tcPr>
          <w:p w14:paraId="6E161CDC" w14:textId="5EE607A8" w:rsidR="6BDE3D2D" w:rsidRPr="006C474A" w:rsidRDefault="6BDE3D2D" w:rsidP="00425BF1">
            <w:pPr>
              <w:jc w:val="center"/>
              <w:rPr>
                <w:spacing w:val="-2"/>
                <w:sz w:val="18"/>
              </w:rPr>
            </w:pPr>
            <w:r w:rsidRPr="006C474A">
              <w:rPr>
                <w:rFonts w:ascii="Calibri" w:eastAsia="Calibri" w:hAnsi="Calibri" w:cs="Calibri"/>
                <w:spacing w:val="-2"/>
                <w:sz w:val="18"/>
                <w:szCs w:val="16"/>
              </w:rPr>
              <w:t xml:space="preserve">$ 1.160.000 </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8BAC80" w14:textId="5B984584"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 xml:space="preserve">4.640.000 </w:t>
            </w:r>
          </w:p>
        </w:tc>
      </w:tr>
      <w:tr w:rsidR="6BDE3D2D" w:rsidRPr="006C474A" w14:paraId="77F49C50" w14:textId="77777777" w:rsidTr="6BDE3D2D">
        <w:trPr>
          <w:trHeight w:val="300"/>
          <w:jc w:val="center"/>
        </w:trPr>
        <w:tc>
          <w:tcPr>
            <w:tcW w:w="6000" w:type="dxa"/>
            <w:gridSpan w:val="5"/>
            <w:tcBorders>
              <w:top w:val="single" w:sz="4" w:space="0" w:color="auto"/>
              <w:left w:val="single" w:sz="4" w:space="0" w:color="auto"/>
              <w:bottom w:val="single" w:sz="4" w:space="0" w:color="auto"/>
              <w:right w:val="nil"/>
            </w:tcBorders>
            <w:tcMar>
              <w:top w:w="15" w:type="dxa"/>
              <w:left w:w="15" w:type="dxa"/>
              <w:right w:w="15" w:type="dxa"/>
            </w:tcMar>
            <w:vAlign w:val="bottom"/>
          </w:tcPr>
          <w:p w14:paraId="351897FF" w14:textId="79F01DF1"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22"/>
                <w:szCs w:val="16"/>
              </w:rPr>
              <w:t>TOTAL RETROACTIVO</w:t>
            </w:r>
          </w:p>
        </w:tc>
        <w:tc>
          <w:tcPr>
            <w:tcW w:w="14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E96863E" w14:textId="2D5F5FE4" w:rsidR="6BDE3D2D" w:rsidRPr="006C474A" w:rsidRDefault="6BDE3D2D" w:rsidP="00425BF1">
            <w:pPr>
              <w:jc w:val="center"/>
              <w:rPr>
                <w:spacing w:val="-2"/>
                <w:sz w:val="18"/>
              </w:rPr>
            </w:pPr>
            <w:r w:rsidRPr="006C474A">
              <w:rPr>
                <w:rFonts w:ascii="Calibri" w:eastAsia="Calibri" w:hAnsi="Calibri" w:cs="Calibri"/>
                <w:b/>
                <w:bCs/>
                <w:color w:val="000000" w:themeColor="text1"/>
                <w:spacing w:val="-2"/>
                <w:sz w:val="18"/>
                <w:szCs w:val="16"/>
              </w:rPr>
              <w:t>88.537.678</w:t>
            </w:r>
          </w:p>
        </w:tc>
      </w:tr>
    </w:tbl>
    <w:p w14:paraId="47FB01EE" w14:textId="02E6AC03" w:rsidR="6BDE3D2D" w:rsidRPr="006C474A" w:rsidRDefault="6BDE3D2D" w:rsidP="00281CBF">
      <w:pPr>
        <w:spacing w:line="276" w:lineRule="auto"/>
        <w:jc w:val="both"/>
        <w:rPr>
          <w:rFonts w:ascii="Tahoma" w:eastAsia="Tahoma" w:hAnsi="Tahoma" w:cs="Tahoma"/>
          <w:color w:val="000000" w:themeColor="text1"/>
          <w:spacing w:val="-2"/>
        </w:rPr>
      </w:pPr>
    </w:p>
    <w:p w14:paraId="685E3AD4" w14:textId="1DE607AF" w:rsidR="00F47785" w:rsidRPr="006C474A" w:rsidRDefault="00F47785" w:rsidP="00281CBF">
      <w:pPr>
        <w:widowControl w:val="0"/>
        <w:autoSpaceDE w:val="0"/>
        <w:autoSpaceDN w:val="0"/>
        <w:adjustRightInd w:val="0"/>
        <w:spacing w:line="276" w:lineRule="auto"/>
        <w:ind w:firstLine="709"/>
        <w:jc w:val="both"/>
        <w:rPr>
          <w:rFonts w:ascii="Tahoma" w:eastAsiaTheme="minorEastAsia" w:hAnsi="Tahoma" w:cs="Tahoma"/>
          <w:spacing w:val="-2"/>
          <w:lang w:eastAsia="en-US"/>
        </w:rPr>
      </w:pPr>
      <w:r w:rsidRPr="006C474A">
        <w:rPr>
          <w:rFonts w:ascii="Tahoma" w:eastAsiaTheme="minorEastAsia" w:hAnsi="Tahoma" w:cs="Tahoma"/>
          <w:spacing w:val="-2"/>
          <w:lang w:eastAsia="en-US"/>
        </w:rPr>
        <w:t xml:space="preserve">Por otra parte, </w:t>
      </w:r>
      <w:r w:rsidR="00DD2BAA" w:rsidRPr="006C474A">
        <w:rPr>
          <w:rFonts w:ascii="Tahoma" w:eastAsiaTheme="minorEastAsia" w:hAnsi="Tahoma" w:cs="Tahoma"/>
          <w:spacing w:val="-2"/>
          <w:lang w:eastAsia="en-US"/>
        </w:rPr>
        <w:t>se ordenará la indexación de las sumas adeudadas con el fin de resarcir la pérdida de valor adquisitivo de la moneda con el transcurrir del tiempo</w:t>
      </w:r>
      <w:r w:rsidR="446A18BE" w:rsidRPr="006C474A">
        <w:rPr>
          <w:rFonts w:ascii="Tahoma" w:eastAsiaTheme="minorEastAsia" w:hAnsi="Tahoma" w:cs="Tahoma"/>
          <w:spacing w:val="-2"/>
          <w:lang w:eastAsia="en-US"/>
        </w:rPr>
        <w:t>, tal como fuera solicitado por el demandante</w:t>
      </w:r>
      <w:r w:rsidR="007B4D1A" w:rsidRPr="006C474A">
        <w:rPr>
          <w:rFonts w:ascii="Tahoma" w:eastAsiaTheme="minorEastAsia" w:hAnsi="Tahoma" w:cs="Tahoma"/>
          <w:spacing w:val="-2"/>
          <w:lang w:eastAsia="en-US"/>
        </w:rPr>
        <w:t>.</w:t>
      </w:r>
    </w:p>
    <w:p w14:paraId="246C2F07" w14:textId="77777777" w:rsidR="008C1CF8" w:rsidRPr="006C474A" w:rsidRDefault="008C1CF8" w:rsidP="00281CBF">
      <w:pPr>
        <w:pStyle w:val="Sinespaciado"/>
        <w:spacing w:line="276" w:lineRule="auto"/>
        <w:rPr>
          <w:rFonts w:eastAsia="Tahoma"/>
          <w:spacing w:val="-2"/>
        </w:rPr>
      </w:pPr>
    </w:p>
    <w:p w14:paraId="2571460C" w14:textId="328CC30E" w:rsidR="00B6385D" w:rsidRPr="006C474A" w:rsidRDefault="008C1CF8" w:rsidP="00281CBF">
      <w:pPr>
        <w:spacing w:line="276" w:lineRule="auto"/>
        <w:ind w:firstLine="708"/>
        <w:jc w:val="both"/>
        <w:rPr>
          <w:rFonts w:ascii="Tahoma" w:eastAsia="Tahoma" w:hAnsi="Tahoma" w:cs="Tahoma"/>
          <w:color w:val="000000" w:themeColor="text1"/>
          <w:spacing w:val="-2"/>
          <w:lang w:val="es-CO"/>
        </w:rPr>
      </w:pPr>
      <w:r w:rsidRPr="006C474A">
        <w:rPr>
          <w:rFonts w:ascii="Tahoma" w:eastAsia="Tahoma" w:hAnsi="Tahoma" w:cs="Tahoma"/>
          <w:color w:val="000000" w:themeColor="text1"/>
          <w:spacing w:val="-2"/>
          <w:lang w:val="es-CO"/>
        </w:rPr>
        <w:t>En vista de lo anterior,</w:t>
      </w:r>
      <w:r w:rsidR="00F47785" w:rsidRPr="006C474A">
        <w:rPr>
          <w:rFonts w:ascii="Tahoma" w:eastAsia="Tahoma" w:hAnsi="Tahoma" w:cs="Tahoma"/>
          <w:color w:val="000000" w:themeColor="text1"/>
          <w:spacing w:val="-2"/>
          <w:lang w:val="es-CO"/>
        </w:rPr>
        <w:t xml:space="preserve"> ante la prosperidad </w:t>
      </w:r>
      <w:r w:rsidR="00664A72" w:rsidRPr="006C474A">
        <w:rPr>
          <w:rFonts w:ascii="Tahoma" w:eastAsia="Tahoma" w:hAnsi="Tahoma" w:cs="Tahoma"/>
          <w:color w:val="000000" w:themeColor="text1"/>
          <w:spacing w:val="-2"/>
          <w:lang w:val="es-CO"/>
        </w:rPr>
        <w:t>del recurso de apelación presentado por el demandante</w:t>
      </w:r>
      <w:r w:rsidR="00CA313F" w:rsidRPr="006C474A">
        <w:rPr>
          <w:rFonts w:ascii="Tahoma" w:eastAsia="Tahoma" w:hAnsi="Tahoma" w:cs="Tahoma"/>
          <w:color w:val="000000" w:themeColor="text1"/>
          <w:spacing w:val="-2"/>
          <w:lang w:val="es-CO"/>
        </w:rPr>
        <w:t xml:space="preserve">, se revocará </w:t>
      </w:r>
      <w:r w:rsidR="00664A72" w:rsidRPr="006C474A">
        <w:rPr>
          <w:rFonts w:ascii="Tahoma" w:eastAsia="Tahoma" w:hAnsi="Tahoma" w:cs="Tahoma"/>
          <w:color w:val="000000" w:themeColor="text1"/>
          <w:spacing w:val="-2"/>
          <w:lang w:val="es-CO"/>
        </w:rPr>
        <w:t>la sentencia recurrida</w:t>
      </w:r>
      <w:r w:rsidR="202703FE" w:rsidRPr="006C474A">
        <w:rPr>
          <w:rFonts w:ascii="Tahoma" w:eastAsia="Tahoma" w:hAnsi="Tahoma" w:cs="Tahoma"/>
          <w:color w:val="000000" w:themeColor="text1"/>
          <w:spacing w:val="-2"/>
          <w:lang w:val="es-CO"/>
        </w:rPr>
        <w:t>.</w:t>
      </w:r>
    </w:p>
    <w:p w14:paraId="5B7C4B7C" w14:textId="43942B40" w:rsidR="00B6385D" w:rsidRPr="006C474A" w:rsidRDefault="00B6385D" w:rsidP="00281CBF">
      <w:pPr>
        <w:spacing w:line="276" w:lineRule="auto"/>
        <w:ind w:firstLine="708"/>
        <w:jc w:val="both"/>
        <w:rPr>
          <w:rFonts w:ascii="Tahoma" w:eastAsia="Tahoma" w:hAnsi="Tahoma" w:cs="Tahoma"/>
          <w:color w:val="000000" w:themeColor="text1"/>
          <w:spacing w:val="-2"/>
          <w:lang w:val="es-CO"/>
        </w:rPr>
      </w:pPr>
    </w:p>
    <w:p w14:paraId="3C1743BA" w14:textId="15A56137" w:rsidR="00B6385D" w:rsidRPr="006C474A" w:rsidRDefault="42B0527B" w:rsidP="00281CBF">
      <w:pPr>
        <w:spacing w:line="276" w:lineRule="auto"/>
        <w:ind w:firstLine="708"/>
        <w:jc w:val="both"/>
        <w:rPr>
          <w:rFonts w:ascii="Tahoma" w:hAnsi="Tahoma" w:cs="Tahoma"/>
          <w:spacing w:val="-2"/>
          <w:lang w:val="es-CO"/>
        </w:rPr>
      </w:pPr>
      <w:r w:rsidRPr="006C474A">
        <w:rPr>
          <w:rFonts w:ascii="Tahoma" w:eastAsia="Tahoma" w:hAnsi="Tahoma" w:cs="Tahoma"/>
          <w:color w:val="000000" w:themeColor="text1"/>
          <w:spacing w:val="-2"/>
          <w:lang w:val="es-CO"/>
        </w:rPr>
        <w:t xml:space="preserve">En cuanto a la condena en costas, </w:t>
      </w:r>
      <w:r w:rsidR="1E6FC234" w:rsidRPr="006C474A">
        <w:rPr>
          <w:rFonts w:ascii="Tahoma" w:eastAsia="Tahoma" w:hAnsi="Tahoma" w:cs="Tahoma"/>
          <w:color w:val="000000" w:themeColor="text1"/>
          <w:spacing w:val="-2"/>
          <w:lang w:val="es-CO"/>
        </w:rPr>
        <w:t xml:space="preserve">si bien las mismas son de rigor para quien resulte vencido, </w:t>
      </w:r>
      <w:r w:rsidRPr="006C474A">
        <w:rPr>
          <w:rFonts w:ascii="Tahoma" w:eastAsia="Tahoma" w:hAnsi="Tahoma" w:cs="Tahoma"/>
          <w:color w:val="000000" w:themeColor="text1"/>
          <w:spacing w:val="-2"/>
          <w:lang w:val="es-CO"/>
        </w:rPr>
        <w:t>atendiendo que el reconocimiento de la pensión de sobrevivientes parte de un</w:t>
      </w:r>
      <w:r w:rsidR="3FFA1CDE" w:rsidRPr="006C474A">
        <w:rPr>
          <w:rFonts w:ascii="Tahoma" w:eastAsia="Tahoma" w:hAnsi="Tahoma" w:cs="Tahoma"/>
          <w:color w:val="000000" w:themeColor="text1"/>
          <w:spacing w:val="-2"/>
          <w:lang w:val="es-CO"/>
        </w:rPr>
        <w:t xml:space="preserve"> criterio jurisprudencial </w:t>
      </w:r>
      <w:r w:rsidRPr="006C474A">
        <w:rPr>
          <w:rFonts w:ascii="Tahoma" w:eastAsia="Tahoma" w:hAnsi="Tahoma" w:cs="Tahoma"/>
          <w:color w:val="000000" w:themeColor="text1"/>
          <w:spacing w:val="-2"/>
          <w:lang w:val="es-CO"/>
        </w:rPr>
        <w:t>constitucional favorable</w:t>
      </w:r>
      <w:r w:rsidR="0EA6958F" w:rsidRPr="006C474A">
        <w:rPr>
          <w:rFonts w:ascii="Tahoma" w:eastAsia="Tahoma" w:hAnsi="Tahoma" w:cs="Tahoma"/>
          <w:color w:val="000000" w:themeColor="text1"/>
          <w:spacing w:val="-2"/>
          <w:lang w:val="es-CO"/>
        </w:rPr>
        <w:t xml:space="preserve"> y que, </w:t>
      </w:r>
      <w:r w:rsidR="23636082" w:rsidRPr="006C474A">
        <w:rPr>
          <w:rFonts w:ascii="Tahoma" w:eastAsia="Tahoma" w:hAnsi="Tahoma" w:cs="Tahoma"/>
          <w:color w:val="000000" w:themeColor="text1"/>
          <w:spacing w:val="-2"/>
          <w:lang w:val="es-CO"/>
        </w:rPr>
        <w:t>al negar la prestación en sede administrativa,</w:t>
      </w:r>
      <w:r w:rsidR="0EA6958F" w:rsidRPr="006C474A">
        <w:rPr>
          <w:rFonts w:ascii="Tahoma" w:eastAsia="Tahoma" w:hAnsi="Tahoma" w:cs="Tahoma"/>
          <w:color w:val="000000" w:themeColor="text1"/>
          <w:spacing w:val="-2"/>
          <w:lang w:val="es-CO"/>
        </w:rPr>
        <w:t xml:space="preserve"> Colpensiones actuó en estricto cumplimiento de la ley</w:t>
      </w:r>
      <w:r w:rsidRPr="006C474A">
        <w:rPr>
          <w:rFonts w:ascii="Tahoma" w:eastAsia="Tahoma" w:hAnsi="Tahoma" w:cs="Tahoma"/>
          <w:color w:val="000000" w:themeColor="text1"/>
          <w:spacing w:val="-2"/>
          <w:lang w:val="es-CO"/>
        </w:rPr>
        <w:t xml:space="preserve">, la Sala se abstendrá de </w:t>
      </w:r>
      <w:r w:rsidR="1F4C8F77" w:rsidRPr="006C474A">
        <w:rPr>
          <w:rFonts w:ascii="Tahoma" w:eastAsia="Tahoma" w:hAnsi="Tahoma" w:cs="Tahoma"/>
          <w:color w:val="000000" w:themeColor="text1"/>
          <w:spacing w:val="-2"/>
          <w:lang w:val="es-CO"/>
        </w:rPr>
        <w:t xml:space="preserve">efectuar </w:t>
      </w:r>
      <w:r w:rsidRPr="006C474A">
        <w:rPr>
          <w:rFonts w:ascii="Tahoma" w:eastAsia="Tahoma" w:hAnsi="Tahoma" w:cs="Tahoma"/>
          <w:color w:val="000000" w:themeColor="text1"/>
          <w:spacing w:val="-2"/>
          <w:lang w:val="es-CO"/>
        </w:rPr>
        <w:t>condenar en costas procesales</w:t>
      </w:r>
      <w:r w:rsidR="432AEB61" w:rsidRPr="006C474A">
        <w:rPr>
          <w:rFonts w:ascii="Tahoma" w:eastAsia="Tahoma" w:hAnsi="Tahoma" w:cs="Tahoma"/>
          <w:color w:val="000000" w:themeColor="text1"/>
          <w:spacing w:val="-2"/>
          <w:lang w:val="es-CO"/>
        </w:rPr>
        <w:t xml:space="preserve">. Así, </w:t>
      </w:r>
      <w:r w:rsidRPr="006C474A">
        <w:rPr>
          <w:rFonts w:ascii="Tahoma" w:eastAsia="Tahoma" w:hAnsi="Tahoma" w:cs="Tahoma"/>
          <w:color w:val="000000" w:themeColor="text1"/>
          <w:spacing w:val="-2"/>
          <w:lang w:val="es-CO"/>
        </w:rPr>
        <w:t>se declarará probad</w:t>
      </w:r>
      <w:r w:rsidR="07379BEF" w:rsidRPr="006C474A">
        <w:rPr>
          <w:rFonts w:ascii="Tahoma" w:eastAsia="Tahoma" w:hAnsi="Tahoma" w:cs="Tahoma"/>
          <w:color w:val="000000" w:themeColor="text1"/>
          <w:spacing w:val="-2"/>
          <w:lang w:val="es-CO"/>
        </w:rPr>
        <w:t xml:space="preserve">a la excepción de </w:t>
      </w:r>
      <w:r w:rsidR="07379BEF" w:rsidRPr="006C474A">
        <w:rPr>
          <w:rFonts w:ascii="Tahoma" w:hAnsi="Tahoma" w:cs="Tahoma"/>
          <w:i/>
          <w:iCs/>
          <w:spacing w:val="-2"/>
          <w:lang w:val="es-CO"/>
        </w:rPr>
        <w:t>Imposibilidad de condena en costas.</w:t>
      </w:r>
    </w:p>
    <w:p w14:paraId="5DEEB999" w14:textId="35F0673A" w:rsidR="00B6385D" w:rsidRPr="006C474A" w:rsidRDefault="00B6385D" w:rsidP="00281CBF">
      <w:pPr>
        <w:spacing w:line="276" w:lineRule="auto"/>
        <w:ind w:firstLine="708"/>
        <w:jc w:val="both"/>
        <w:rPr>
          <w:rFonts w:ascii="Tahoma" w:eastAsia="Tahoma" w:hAnsi="Tahoma" w:cs="Tahoma"/>
          <w:color w:val="000000" w:themeColor="text1"/>
          <w:spacing w:val="-2"/>
          <w:lang w:val="es-CO"/>
        </w:rPr>
      </w:pPr>
    </w:p>
    <w:p w14:paraId="45EB873B" w14:textId="44F21532" w:rsidR="0002718C" w:rsidRPr="006C474A" w:rsidRDefault="0002718C" w:rsidP="00281CBF">
      <w:pPr>
        <w:tabs>
          <w:tab w:val="left" w:pos="748"/>
        </w:tabs>
        <w:spacing w:line="276" w:lineRule="auto"/>
        <w:jc w:val="both"/>
        <w:rPr>
          <w:rFonts w:ascii="Tahoma" w:hAnsi="Tahoma" w:cs="Tahoma"/>
          <w:spacing w:val="-2"/>
          <w:lang w:val="es-CO"/>
        </w:rPr>
      </w:pPr>
      <w:r w:rsidRPr="006C474A">
        <w:rPr>
          <w:rFonts w:ascii="Tahoma" w:hAnsi="Tahoma" w:cs="Tahoma"/>
          <w:spacing w:val="-2"/>
          <w:lang w:val="es-CO"/>
        </w:rPr>
        <w:tab/>
        <w:t xml:space="preserve">En mérito de lo expuesto, el </w:t>
      </w:r>
      <w:r w:rsidRPr="006C474A">
        <w:rPr>
          <w:rFonts w:ascii="Tahoma" w:hAnsi="Tahoma" w:cs="Tahoma"/>
          <w:b/>
          <w:bCs/>
          <w:spacing w:val="-2"/>
          <w:lang w:val="es-CO"/>
        </w:rPr>
        <w:t>Tribunal Superior del Distrito Judicial de Pereira - Risaralda, Sala Primera de Decisión Laboral,</w:t>
      </w:r>
      <w:r w:rsidRPr="006C474A">
        <w:rPr>
          <w:rFonts w:ascii="Tahoma" w:hAnsi="Tahoma" w:cs="Tahoma"/>
          <w:spacing w:val="-2"/>
          <w:lang w:val="es-CO"/>
        </w:rPr>
        <w:t xml:space="preserve"> administrando justicia en nombre de la República y por autoridad de la ley,</w:t>
      </w:r>
    </w:p>
    <w:p w14:paraId="4CCA2B7C" w14:textId="6F799CB3" w:rsidR="00B6385D" w:rsidRPr="006C474A" w:rsidRDefault="00B6385D" w:rsidP="00281CBF">
      <w:pPr>
        <w:tabs>
          <w:tab w:val="left" w:pos="748"/>
        </w:tabs>
        <w:spacing w:line="276" w:lineRule="auto"/>
        <w:rPr>
          <w:rFonts w:ascii="Tahoma" w:hAnsi="Tahoma" w:cs="Tahoma"/>
          <w:iCs/>
          <w:spacing w:val="-2"/>
          <w:lang w:val="es-CO"/>
        </w:rPr>
      </w:pPr>
    </w:p>
    <w:p w14:paraId="02F30679" w14:textId="37F023CB" w:rsidR="00B6385D" w:rsidRPr="006C474A" w:rsidRDefault="00B6385D" w:rsidP="00281CBF">
      <w:pPr>
        <w:widowControl w:val="0"/>
        <w:autoSpaceDE w:val="0"/>
        <w:autoSpaceDN w:val="0"/>
        <w:adjustRightInd w:val="0"/>
        <w:spacing w:line="276" w:lineRule="auto"/>
        <w:jc w:val="center"/>
        <w:rPr>
          <w:rFonts w:ascii="Tahoma" w:hAnsi="Tahoma" w:cs="Tahoma"/>
          <w:b/>
          <w:spacing w:val="-2"/>
        </w:rPr>
      </w:pPr>
      <w:r w:rsidRPr="006C474A">
        <w:rPr>
          <w:rFonts w:ascii="Tahoma" w:hAnsi="Tahoma" w:cs="Tahoma"/>
          <w:b/>
          <w:spacing w:val="-2"/>
        </w:rPr>
        <w:t>RESUELVE:</w:t>
      </w:r>
    </w:p>
    <w:p w14:paraId="404BFBF1" w14:textId="77777777" w:rsidR="00B6385D" w:rsidRPr="006C474A" w:rsidRDefault="00B6385D" w:rsidP="00281CBF">
      <w:pPr>
        <w:widowControl w:val="0"/>
        <w:autoSpaceDE w:val="0"/>
        <w:autoSpaceDN w:val="0"/>
        <w:adjustRightInd w:val="0"/>
        <w:spacing w:line="276" w:lineRule="auto"/>
        <w:rPr>
          <w:rFonts w:ascii="Tahoma" w:hAnsi="Tahoma" w:cs="Tahoma"/>
          <w:b/>
          <w:spacing w:val="-2"/>
        </w:rPr>
      </w:pPr>
    </w:p>
    <w:p w14:paraId="569510AB" w14:textId="77783662" w:rsidR="00CA313F" w:rsidRPr="006C474A" w:rsidRDefault="005B5CCA" w:rsidP="00281CBF">
      <w:pPr>
        <w:spacing w:line="276" w:lineRule="auto"/>
        <w:ind w:firstLine="708"/>
        <w:jc w:val="both"/>
        <w:rPr>
          <w:rFonts w:ascii="Tahoma" w:hAnsi="Tahoma" w:cs="Tahoma"/>
          <w:spacing w:val="-2"/>
        </w:rPr>
      </w:pPr>
      <w:r w:rsidRPr="006C474A">
        <w:rPr>
          <w:rFonts w:ascii="Tahoma" w:hAnsi="Tahoma" w:cs="Tahoma"/>
          <w:b/>
          <w:bCs/>
          <w:spacing w:val="-2"/>
          <w:u w:val="single"/>
        </w:rPr>
        <w:lastRenderedPageBreak/>
        <w:t>PRIMERO</w:t>
      </w:r>
      <w:r w:rsidR="00664A72" w:rsidRPr="006C474A">
        <w:rPr>
          <w:rFonts w:ascii="Tahoma" w:hAnsi="Tahoma" w:cs="Tahoma"/>
          <w:b/>
          <w:bCs/>
          <w:spacing w:val="-2"/>
          <w:u w:val="single"/>
        </w:rPr>
        <w:t>:</w:t>
      </w:r>
      <w:r w:rsidR="00664A72" w:rsidRPr="006C474A">
        <w:rPr>
          <w:rFonts w:ascii="Tahoma" w:hAnsi="Tahoma" w:cs="Tahoma"/>
          <w:b/>
          <w:spacing w:val="-2"/>
        </w:rPr>
        <w:t xml:space="preserve"> REVOCAR </w:t>
      </w:r>
      <w:r w:rsidR="00664A72" w:rsidRPr="006C474A">
        <w:rPr>
          <w:rFonts w:ascii="Tahoma" w:hAnsi="Tahoma" w:cs="Tahoma"/>
          <w:spacing w:val="-2"/>
        </w:rPr>
        <w:t xml:space="preserve">la sentencia proferida por el </w:t>
      </w:r>
      <w:r w:rsidR="00664A72" w:rsidRPr="006C474A">
        <w:rPr>
          <w:rFonts w:ascii="Tahoma" w:hAnsi="Tahoma" w:cs="Tahoma"/>
          <w:spacing w:val="-2"/>
          <w:lang w:val="es-CO"/>
        </w:rPr>
        <w:t>Juzgado Segundo Laboral del Circuito de Pereira el 30 de agosto de 2022</w:t>
      </w:r>
      <w:r w:rsidR="00664A72" w:rsidRPr="006C474A">
        <w:rPr>
          <w:rFonts w:ascii="Tahoma" w:hAnsi="Tahoma" w:cs="Tahoma"/>
          <w:bCs/>
          <w:spacing w:val="-2"/>
          <w:lang w:val="es-CO"/>
        </w:rPr>
        <w:t xml:space="preserve">, dentro del proceso ordinario laboral promovido </w:t>
      </w:r>
      <w:r w:rsidR="00B83DA6" w:rsidRPr="006C474A">
        <w:rPr>
          <w:rFonts w:ascii="Tahoma" w:hAnsi="Tahoma" w:cs="Tahoma"/>
          <w:bCs/>
          <w:spacing w:val="-2"/>
          <w:lang w:val="es-CO"/>
        </w:rPr>
        <w:t>por César Augusto García</w:t>
      </w:r>
      <w:r w:rsidR="00664A72" w:rsidRPr="006C474A">
        <w:rPr>
          <w:rFonts w:ascii="Tahoma" w:hAnsi="Tahoma" w:cs="Tahoma"/>
          <w:bCs/>
          <w:spacing w:val="-2"/>
          <w:lang w:val="es-CO"/>
        </w:rPr>
        <w:t>, en contra de la Administradora Colombiana de Pensiones</w:t>
      </w:r>
      <w:r w:rsidR="00B83DA6" w:rsidRPr="006C474A">
        <w:rPr>
          <w:rFonts w:ascii="Tahoma" w:hAnsi="Tahoma" w:cs="Tahoma"/>
          <w:bCs/>
          <w:spacing w:val="-2"/>
          <w:lang w:val="es-CO"/>
        </w:rPr>
        <w:t xml:space="preserve"> y, en su lugar:</w:t>
      </w:r>
    </w:p>
    <w:p w14:paraId="782E953B" w14:textId="77777777" w:rsidR="00C66F97" w:rsidRPr="006C474A" w:rsidRDefault="00C66F97" w:rsidP="00281CBF">
      <w:pPr>
        <w:spacing w:line="276" w:lineRule="auto"/>
        <w:ind w:firstLine="708"/>
        <w:jc w:val="both"/>
        <w:rPr>
          <w:rFonts w:ascii="Tahoma" w:hAnsi="Tahoma" w:cs="Tahoma"/>
          <w:b/>
          <w:spacing w:val="-2"/>
        </w:rPr>
      </w:pPr>
    </w:p>
    <w:p w14:paraId="47388BDA" w14:textId="64FA98F8" w:rsidR="00CA313F" w:rsidRPr="006C474A" w:rsidRDefault="00C66F97" w:rsidP="00281CBF">
      <w:pPr>
        <w:spacing w:line="276" w:lineRule="auto"/>
        <w:ind w:firstLine="708"/>
        <w:jc w:val="both"/>
        <w:rPr>
          <w:rFonts w:ascii="Tahoma" w:hAnsi="Tahoma" w:cs="Tahoma"/>
          <w:bCs/>
          <w:spacing w:val="-2"/>
        </w:rPr>
      </w:pPr>
      <w:r w:rsidRPr="006C474A">
        <w:rPr>
          <w:rFonts w:ascii="Tahoma" w:hAnsi="Tahoma" w:cs="Tahoma"/>
          <w:b/>
          <w:spacing w:val="-2"/>
          <w:u w:val="single"/>
        </w:rPr>
        <w:t>SEGUNDO:</w:t>
      </w:r>
      <w:r w:rsidR="0047080F" w:rsidRPr="006C474A">
        <w:rPr>
          <w:rFonts w:ascii="Tahoma" w:hAnsi="Tahoma" w:cs="Tahoma"/>
          <w:b/>
          <w:spacing w:val="-2"/>
        </w:rPr>
        <w:t xml:space="preserve"> </w:t>
      </w:r>
      <w:r w:rsidR="00B83DA6" w:rsidRPr="006C474A">
        <w:rPr>
          <w:rFonts w:ascii="Tahoma" w:hAnsi="Tahoma" w:cs="Tahoma"/>
          <w:b/>
          <w:spacing w:val="-2"/>
        </w:rPr>
        <w:t>DECLARAR</w:t>
      </w:r>
      <w:r w:rsidR="00B83DA6" w:rsidRPr="006C474A">
        <w:rPr>
          <w:rFonts w:ascii="Tahoma" w:hAnsi="Tahoma" w:cs="Tahoma"/>
          <w:bCs/>
          <w:spacing w:val="-2"/>
        </w:rPr>
        <w:t xml:space="preserve"> que </w:t>
      </w:r>
      <w:r w:rsidR="00B83DA6" w:rsidRPr="006C474A">
        <w:rPr>
          <w:rFonts w:ascii="Tahoma" w:hAnsi="Tahoma" w:cs="Tahoma"/>
          <w:bCs/>
          <w:spacing w:val="-2"/>
          <w:lang w:val="es-CO"/>
        </w:rPr>
        <w:t>CESAR AUGUSTO GARCÍA</w:t>
      </w:r>
      <w:r w:rsidR="00B83DA6" w:rsidRPr="006C474A">
        <w:rPr>
          <w:rFonts w:ascii="Tahoma" w:hAnsi="Tahoma" w:cs="Tahoma"/>
          <w:bCs/>
          <w:spacing w:val="-2"/>
        </w:rPr>
        <w:t xml:space="preserve"> tiene derecho a la pensión de sobrevivientes desde el 17 de abril de 2006, en calidad de hijo con discapacidad, sobre la base de un salario mínimo mensual legal vigente y por 14 mesadas al año.</w:t>
      </w:r>
    </w:p>
    <w:p w14:paraId="2C80D703" w14:textId="77777777" w:rsidR="00CA313F" w:rsidRPr="006C474A" w:rsidRDefault="00CA313F" w:rsidP="00281CBF">
      <w:pPr>
        <w:spacing w:line="276" w:lineRule="auto"/>
        <w:ind w:firstLine="708"/>
        <w:jc w:val="both"/>
        <w:rPr>
          <w:rFonts w:ascii="Tahoma" w:hAnsi="Tahoma" w:cs="Tahoma"/>
          <w:b/>
          <w:spacing w:val="-2"/>
        </w:rPr>
      </w:pPr>
    </w:p>
    <w:p w14:paraId="0C2F4482" w14:textId="335E7A8A" w:rsidR="005B5CCA" w:rsidRPr="006C474A" w:rsidRDefault="00CA313F" w:rsidP="00281CBF">
      <w:pPr>
        <w:spacing w:line="276" w:lineRule="auto"/>
        <w:ind w:firstLine="708"/>
        <w:jc w:val="both"/>
        <w:rPr>
          <w:rFonts w:ascii="Tahoma" w:hAnsi="Tahoma" w:cs="Tahoma"/>
          <w:spacing w:val="-2"/>
        </w:rPr>
      </w:pPr>
      <w:r w:rsidRPr="006C474A">
        <w:rPr>
          <w:rFonts w:ascii="Tahoma" w:hAnsi="Tahoma" w:cs="Tahoma"/>
          <w:b/>
          <w:bCs/>
          <w:spacing w:val="-2"/>
          <w:u w:val="single"/>
        </w:rPr>
        <w:t>TERCERO:</w:t>
      </w:r>
      <w:r w:rsidRPr="006C474A">
        <w:rPr>
          <w:rFonts w:ascii="Tahoma" w:hAnsi="Tahoma" w:cs="Tahoma"/>
          <w:spacing w:val="-2"/>
        </w:rPr>
        <w:t xml:space="preserve"> </w:t>
      </w:r>
      <w:r w:rsidR="00B83DA6" w:rsidRPr="006C474A">
        <w:rPr>
          <w:rFonts w:ascii="Tahoma" w:hAnsi="Tahoma" w:cs="Tahoma"/>
          <w:b/>
          <w:bCs/>
          <w:spacing w:val="-2"/>
        </w:rPr>
        <w:t xml:space="preserve">DECLARAR </w:t>
      </w:r>
      <w:r w:rsidR="00B83DA6" w:rsidRPr="006C474A">
        <w:rPr>
          <w:rFonts w:ascii="Tahoma" w:hAnsi="Tahoma" w:cs="Tahoma"/>
          <w:spacing w:val="-2"/>
        </w:rPr>
        <w:t>probada parcialmente la excepción de Prescripción propuesta por la Administradora Colombiana de Pensiones- Colpensiones</w:t>
      </w:r>
      <w:r w:rsidR="02567EBD" w:rsidRPr="006C474A">
        <w:rPr>
          <w:rFonts w:ascii="Tahoma" w:hAnsi="Tahoma" w:cs="Tahoma"/>
          <w:spacing w:val="-2"/>
        </w:rPr>
        <w:t xml:space="preserve"> sobre las mesadas causadas con anterioridad al 11 de octubre de 2015</w:t>
      </w:r>
      <w:r w:rsidR="00B83DA6" w:rsidRPr="006C474A">
        <w:rPr>
          <w:rFonts w:ascii="Tahoma" w:hAnsi="Tahoma" w:cs="Tahoma"/>
          <w:spacing w:val="-2"/>
        </w:rPr>
        <w:t>, conforme se expuso en presencia.</w:t>
      </w:r>
    </w:p>
    <w:p w14:paraId="1A1AC539" w14:textId="100CE5E4" w:rsidR="0047080F" w:rsidRPr="006C474A" w:rsidRDefault="0047080F" w:rsidP="00281CBF">
      <w:pPr>
        <w:spacing w:line="276" w:lineRule="auto"/>
        <w:ind w:firstLine="708"/>
        <w:jc w:val="both"/>
        <w:rPr>
          <w:rFonts w:ascii="Tahoma" w:hAnsi="Tahoma" w:cs="Tahoma"/>
          <w:bCs/>
          <w:spacing w:val="-2"/>
        </w:rPr>
      </w:pPr>
    </w:p>
    <w:p w14:paraId="59DC088F" w14:textId="7BAFB57C" w:rsidR="0047080F" w:rsidRPr="006C474A" w:rsidRDefault="00CA313F" w:rsidP="00281CBF">
      <w:pPr>
        <w:spacing w:line="276" w:lineRule="auto"/>
        <w:ind w:firstLine="708"/>
        <w:jc w:val="both"/>
        <w:rPr>
          <w:rFonts w:ascii="Tahoma" w:hAnsi="Tahoma" w:cs="Tahoma"/>
          <w:spacing w:val="-2"/>
        </w:rPr>
      </w:pPr>
      <w:r w:rsidRPr="006C474A">
        <w:rPr>
          <w:rFonts w:ascii="Tahoma" w:hAnsi="Tahoma" w:cs="Tahoma"/>
          <w:b/>
          <w:bCs/>
          <w:spacing w:val="-2"/>
          <w:u w:val="single"/>
        </w:rPr>
        <w:t>CUARTO:</w:t>
      </w:r>
      <w:r w:rsidRPr="006C474A">
        <w:rPr>
          <w:rFonts w:ascii="Tahoma" w:hAnsi="Tahoma" w:cs="Tahoma"/>
          <w:b/>
          <w:bCs/>
          <w:spacing w:val="-2"/>
        </w:rPr>
        <w:t xml:space="preserve"> </w:t>
      </w:r>
      <w:r w:rsidR="00B83DA6" w:rsidRPr="006C474A">
        <w:rPr>
          <w:rFonts w:ascii="Tahoma" w:hAnsi="Tahoma" w:cs="Tahoma"/>
          <w:b/>
          <w:bCs/>
          <w:spacing w:val="-2"/>
        </w:rPr>
        <w:t xml:space="preserve">CONDENAR </w:t>
      </w:r>
      <w:r w:rsidR="00B83DA6" w:rsidRPr="006C474A">
        <w:rPr>
          <w:rFonts w:ascii="Tahoma" w:hAnsi="Tahoma" w:cs="Tahoma"/>
          <w:spacing w:val="-2"/>
        </w:rPr>
        <w:t>a la Administradora Colombiana de Pensiones- Colpensiones a reconocer la suma de $</w:t>
      </w:r>
      <w:r w:rsidR="63E2252E" w:rsidRPr="006C474A">
        <w:rPr>
          <w:rFonts w:ascii="Tahoma" w:hAnsi="Tahoma" w:cs="Tahoma"/>
          <w:spacing w:val="-2"/>
        </w:rPr>
        <w:t xml:space="preserve">88.537.678 </w:t>
      </w:r>
      <w:r w:rsidR="00B83DA6" w:rsidRPr="006C474A">
        <w:rPr>
          <w:rFonts w:ascii="Tahoma" w:hAnsi="Tahoma" w:cs="Tahoma"/>
          <w:spacing w:val="-2"/>
        </w:rPr>
        <w:t>por concepto de retroactivo pensional, sin perjuicio de las que se causen en lo sucesivo y del valor por actualización de la indexación a la fecha efectiva del pago de la obligación.</w:t>
      </w:r>
    </w:p>
    <w:p w14:paraId="6D6A982F" w14:textId="77777777" w:rsidR="0047080F" w:rsidRPr="006C474A" w:rsidRDefault="0047080F" w:rsidP="00281CBF">
      <w:pPr>
        <w:spacing w:line="276" w:lineRule="auto"/>
        <w:ind w:firstLine="708"/>
        <w:jc w:val="both"/>
        <w:rPr>
          <w:rFonts w:ascii="Tahoma" w:hAnsi="Tahoma" w:cs="Tahoma"/>
          <w:bCs/>
          <w:spacing w:val="-2"/>
        </w:rPr>
      </w:pPr>
    </w:p>
    <w:p w14:paraId="559B0A77" w14:textId="40A7768E" w:rsidR="006001F4" w:rsidRPr="006C474A" w:rsidRDefault="00CA313F" w:rsidP="00281CBF">
      <w:pPr>
        <w:spacing w:line="276" w:lineRule="auto"/>
        <w:ind w:firstLine="708"/>
        <w:jc w:val="both"/>
        <w:rPr>
          <w:rFonts w:ascii="Tahoma" w:hAnsi="Tahoma" w:cs="Tahoma"/>
          <w:spacing w:val="-2"/>
        </w:rPr>
      </w:pPr>
      <w:r w:rsidRPr="006C474A">
        <w:rPr>
          <w:rFonts w:ascii="Tahoma" w:hAnsi="Tahoma" w:cs="Tahoma"/>
          <w:b/>
          <w:bCs/>
          <w:spacing w:val="-2"/>
          <w:u w:val="single"/>
        </w:rPr>
        <w:t>QUINTO:</w:t>
      </w:r>
      <w:r w:rsidRPr="006C474A">
        <w:rPr>
          <w:rFonts w:ascii="Tahoma" w:hAnsi="Tahoma" w:cs="Tahoma"/>
          <w:b/>
          <w:bCs/>
          <w:spacing w:val="-2"/>
        </w:rPr>
        <w:t xml:space="preserve"> </w:t>
      </w:r>
      <w:r w:rsidR="00B83DA6" w:rsidRPr="006C474A">
        <w:rPr>
          <w:rFonts w:ascii="Tahoma" w:hAnsi="Tahoma" w:cs="Tahoma"/>
          <w:b/>
          <w:spacing w:val="-2"/>
        </w:rPr>
        <w:t xml:space="preserve">AUTORIZAR </w:t>
      </w:r>
      <w:r w:rsidR="00B83DA6" w:rsidRPr="006C474A">
        <w:rPr>
          <w:rFonts w:ascii="Tahoma" w:hAnsi="Tahoma" w:cs="Tahoma"/>
          <w:bCs/>
          <w:spacing w:val="-2"/>
        </w:rPr>
        <w:t>a la a la Administradora Colombiana de Pensiones- Colpensiones a descontar el 12% correspondiente al sistema de salud que serán puestos a disposición de la EPS a la que se afilie el actor.</w:t>
      </w:r>
    </w:p>
    <w:p w14:paraId="006CB42E" w14:textId="6548F464" w:rsidR="003F1AFB" w:rsidRPr="006C474A" w:rsidRDefault="003F1AFB" w:rsidP="00281CBF">
      <w:pPr>
        <w:spacing w:line="276" w:lineRule="auto"/>
        <w:jc w:val="both"/>
        <w:rPr>
          <w:rFonts w:ascii="Tahoma" w:hAnsi="Tahoma" w:cs="Tahoma"/>
          <w:b/>
          <w:spacing w:val="-2"/>
        </w:rPr>
      </w:pPr>
    </w:p>
    <w:p w14:paraId="3AD49C90" w14:textId="5E5798C2" w:rsidR="003F1AFB" w:rsidRPr="006C474A" w:rsidRDefault="00CA313F" w:rsidP="00281CBF">
      <w:pPr>
        <w:spacing w:line="276" w:lineRule="auto"/>
        <w:ind w:firstLine="708"/>
        <w:jc w:val="both"/>
        <w:rPr>
          <w:rFonts w:ascii="Tahoma" w:hAnsi="Tahoma" w:cs="Tahoma"/>
          <w:spacing w:val="-2"/>
          <w:lang w:val="es-CO"/>
        </w:rPr>
      </w:pPr>
      <w:r w:rsidRPr="006C474A">
        <w:rPr>
          <w:rFonts w:ascii="Tahoma" w:hAnsi="Tahoma" w:cs="Tahoma"/>
          <w:b/>
          <w:bCs/>
          <w:spacing w:val="-2"/>
          <w:u w:val="single"/>
        </w:rPr>
        <w:t>SEXTO:</w:t>
      </w:r>
      <w:r w:rsidR="5714E53C" w:rsidRPr="006C474A">
        <w:rPr>
          <w:rFonts w:ascii="Tahoma" w:hAnsi="Tahoma" w:cs="Tahoma"/>
          <w:b/>
          <w:bCs/>
          <w:spacing w:val="-2"/>
        </w:rPr>
        <w:t xml:space="preserve"> DECLARAR</w:t>
      </w:r>
      <w:r w:rsidR="5714E53C" w:rsidRPr="006C474A">
        <w:rPr>
          <w:rFonts w:ascii="Tahoma" w:hAnsi="Tahoma" w:cs="Tahoma"/>
          <w:spacing w:val="-2"/>
        </w:rPr>
        <w:t xml:space="preserve"> probada la excepción de </w:t>
      </w:r>
      <w:r w:rsidR="5714E53C" w:rsidRPr="006C474A">
        <w:rPr>
          <w:rFonts w:ascii="Tahoma" w:hAnsi="Tahoma" w:cs="Tahoma"/>
          <w:spacing w:val="-2"/>
          <w:lang w:val="es-CO"/>
        </w:rPr>
        <w:t>Imposibilidad de condena en costas propuesta por Colpensiones</w:t>
      </w:r>
      <w:r w:rsidR="34B2561E" w:rsidRPr="006C474A">
        <w:rPr>
          <w:rFonts w:ascii="Tahoma" w:hAnsi="Tahoma" w:cs="Tahoma"/>
          <w:spacing w:val="-2"/>
          <w:lang w:val="es-CO"/>
        </w:rPr>
        <w:t xml:space="preserve"> y, en consecuencia, </w:t>
      </w:r>
      <w:r w:rsidR="34B2561E" w:rsidRPr="006C474A">
        <w:rPr>
          <w:rFonts w:ascii="Tahoma" w:hAnsi="Tahoma" w:cs="Tahoma"/>
          <w:b/>
          <w:bCs/>
          <w:spacing w:val="-2"/>
          <w:lang w:val="es-CO"/>
        </w:rPr>
        <w:t>ABSTENERSE</w:t>
      </w:r>
      <w:r w:rsidR="34B2561E" w:rsidRPr="006C474A">
        <w:rPr>
          <w:rFonts w:ascii="Tahoma" w:hAnsi="Tahoma" w:cs="Tahoma"/>
          <w:spacing w:val="-2"/>
          <w:lang w:val="es-CO"/>
        </w:rPr>
        <w:t xml:space="preserve"> de proferir condena </w:t>
      </w:r>
      <w:r w:rsidR="0AF75E06" w:rsidRPr="006C474A">
        <w:rPr>
          <w:rFonts w:ascii="Tahoma" w:hAnsi="Tahoma" w:cs="Tahoma"/>
          <w:spacing w:val="-2"/>
          <w:lang w:val="es-CO"/>
        </w:rPr>
        <w:t>por este concepto</w:t>
      </w:r>
      <w:r w:rsidR="34B2561E" w:rsidRPr="006C474A">
        <w:rPr>
          <w:rFonts w:ascii="Tahoma" w:hAnsi="Tahoma" w:cs="Tahoma"/>
          <w:spacing w:val="-2"/>
          <w:lang w:val="es-CO"/>
        </w:rPr>
        <w:t xml:space="preserve">. </w:t>
      </w:r>
    </w:p>
    <w:p w14:paraId="71614712" w14:textId="77777777" w:rsidR="00281CBF" w:rsidRPr="00281CBF" w:rsidRDefault="00281CBF" w:rsidP="00281CBF">
      <w:pPr>
        <w:spacing w:line="276" w:lineRule="auto"/>
        <w:jc w:val="both"/>
        <w:rPr>
          <w:rFonts w:ascii="Tahoma" w:eastAsia="Calibri" w:hAnsi="Tahoma" w:cs="Tahoma"/>
          <w:lang w:val="es-CO" w:eastAsia="en-US"/>
        </w:rPr>
      </w:pPr>
      <w:bookmarkStart w:id="8" w:name="_Hlk126574973"/>
    </w:p>
    <w:p w14:paraId="3BF0805D" w14:textId="77777777" w:rsidR="00281CBF" w:rsidRPr="00281CBF" w:rsidRDefault="00281CBF" w:rsidP="00281CBF">
      <w:pPr>
        <w:spacing w:line="276" w:lineRule="auto"/>
        <w:jc w:val="center"/>
        <w:rPr>
          <w:rFonts w:ascii="Tahoma" w:eastAsia="Tahoma" w:hAnsi="Tahoma" w:cs="Tahoma"/>
          <w:b/>
          <w:bCs/>
          <w:lang w:val="es-CO" w:eastAsia="en-US"/>
        </w:rPr>
      </w:pPr>
      <w:r w:rsidRPr="00281CBF">
        <w:rPr>
          <w:rFonts w:ascii="Tahoma" w:eastAsia="Tahoma" w:hAnsi="Tahoma" w:cs="Tahoma"/>
          <w:b/>
          <w:bCs/>
          <w:lang w:val="es-CO" w:eastAsia="en-US"/>
        </w:rPr>
        <w:t>NOTIFÍQUESE Y CÚMPLASE</w:t>
      </w:r>
    </w:p>
    <w:p w14:paraId="14794F52" w14:textId="77777777" w:rsidR="00281CBF" w:rsidRPr="00281CBF" w:rsidRDefault="00281CBF" w:rsidP="00281CBF">
      <w:pPr>
        <w:spacing w:line="276" w:lineRule="auto"/>
        <w:jc w:val="both"/>
        <w:rPr>
          <w:rFonts w:ascii="Tahoma" w:eastAsia="Calibri" w:hAnsi="Tahoma" w:cs="Tahoma"/>
          <w:lang w:val="es-CO" w:eastAsia="en-US"/>
        </w:rPr>
      </w:pPr>
      <w:r w:rsidRPr="00281CBF">
        <w:rPr>
          <w:rFonts w:ascii="Tahoma" w:eastAsia="Calibri" w:hAnsi="Tahoma" w:cs="Tahoma"/>
          <w:lang w:val="es-CO" w:eastAsia="en-US"/>
        </w:rPr>
        <w:t xml:space="preserve"> </w:t>
      </w:r>
    </w:p>
    <w:p w14:paraId="0CE4C6F9" w14:textId="77777777" w:rsidR="00281CBF" w:rsidRPr="00281CBF" w:rsidRDefault="00281CBF" w:rsidP="00281CBF">
      <w:pPr>
        <w:widowControl w:val="0"/>
        <w:autoSpaceDE w:val="0"/>
        <w:autoSpaceDN w:val="0"/>
        <w:adjustRightInd w:val="0"/>
        <w:spacing w:line="276" w:lineRule="auto"/>
        <w:jc w:val="both"/>
        <w:rPr>
          <w:rFonts w:ascii="Tahoma" w:hAnsi="Tahoma" w:cs="Tahoma"/>
        </w:rPr>
      </w:pPr>
      <w:r w:rsidRPr="00281CBF">
        <w:rPr>
          <w:rFonts w:ascii="Tahoma" w:hAnsi="Tahoma" w:cs="Tahoma"/>
        </w:rPr>
        <w:tab/>
        <w:t>La Magistrada ponente,</w:t>
      </w:r>
    </w:p>
    <w:p w14:paraId="3FB1EB31" w14:textId="77777777" w:rsidR="00281CBF" w:rsidRPr="00281CBF" w:rsidRDefault="00281CBF" w:rsidP="00281CBF">
      <w:pPr>
        <w:spacing w:line="276" w:lineRule="auto"/>
        <w:rPr>
          <w:rFonts w:ascii="Tahoma" w:hAnsi="Tahoma" w:cs="Tahoma"/>
        </w:rPr>
      </w:pPr>
    </w:p>
    <w:p w14:paraId="27987B23" w14:textId="77777777" w:rsidR="00281CBF" w:rsidRPr="00281CBF" w:rsidRDefault="00281CBF" w:rsidP="00281CBF">
      <w:pPr>
        <w:spacing w:line="276" w:lineRule="auto"/>
        <w:rPr>
          <w:rFonts w:ascii="Tahoma" w:hAnsi="Tahoma" w:cs="Tahoma"/>
        </w:rPr>
      </w:pPr>
    </w:p>
    <w:p w14:paraId="1FB8BA5E" w14:textId="77777777" w:rsidR="00281CBF" w:rsidRPr="00281CBF" w:rsidRDefault="00281CBF" w:rsidP="00281CBF">
      <w:pPr>
        <w:spacing w:line="276" w:lineRule="auto"/>
        <w:rPr>
          <w:rFonts w:ascii="Tahoma" w:hAnsi="Tahoma" w:cs="Tahoma"/>
        </w:rPr>
      </w:pPr>
    </w:p>
    <w:p w14:paraId="0CD27B06" w14:textId="77777777" w:rsidR="00281CBF" w:rsidRPr="00281CBF" w:rsidRDefault="00281CBF" w:rsidP="00281CBF">
      <w:pPr>
        <w:keepNext/>
        <w:spacing w:line="276" w:lineRule="auto"/>
        <w:jc w:val="center"/>
        <w:outlineLvl w:val="2"/>
        <w:rPr>
          <w:rFonts w:ascii="Tahoma" w:hAnsi="Tahoma" w:cs="Tahoma"/>
          <w:b/>
          <w:bCs/>
        </w:rPr>
      </w:pPr>
      <w:r w:rsidRPr="00281CBF">
        <w:rPr>
          <w:rFonts w:ascii="Tahoma" w:hAnsi="Tahoma" w:cs="Tahoma"/>
          <w:b/>
          <w:bCs/>
        </w:rPr>
        <w:t>ANA LUCÍA CAICEDO CALDERÓN</w:t>
      </w:r>
    </w:p>
    <w:p w14:paraId="01C6449D" w14:textId="77777777" w:rsidR="00281CBF" w:rsidRPr="00281CBF" w:rsidRDefault="00281CBF" w:rsidP="00281CBF">
      <w:pPr>
        <w:spacing w:line="276" w:lineRule="auto"/>
        <w:rPr>
          <w:rFonts w:ascii="Tahoma" w:hAnsi="Tahoma" w:cs="Tahoma"/>
        </w:rPr>
      </w:pPr>
    </w:p>
    <w:p w14:paraId="2E42EDB0" w14:textId="77777777" w:rsidR="00281CBF" w:rsidRPr="00281CBF" w:rsidRDefault="00281CBF" w:rsidP="00281CBF">
      <w:pPr>
        <w:spacing w:line="276" w:lineRule="auto"/>
        <w:ind w:firstLine="708"/>
        <w:rPr>
          <w:rFonts w:ascii="Tahoma" w:hAnsi="Tahoma" w:cs="Tahoma"/>
        </w:rPr>
      </w:pPr>
      <w:bookmarkStart w:id="9" w:name="_Hlk62478330"/>
      <w:r w:rsidRPr="00281CBF">
        <w:rPr>
          <w:rFonts w:ascii="Tahoma" w:hAnsi="Tahoma" w:cs="Tahoma"/>
        </w:rPr>
        <w:t>La Magistrada y el Magistrado,</w:t>
      </w:r>
    </w:p>
    <w:p w14:paraId="58A54AAF" w14:textId="77777777" w:rsidR="00281CBF" w:rsidRPr="00281CBF" w:rsidRDefault="00281CBF" w:rsidP="00281CBF">
      <w:pPr>
        <w:spacing w:line="276" w:lineRule="auto"/>
        <w:rPr>
          <w:rFonts w:ascii="Tahoma" w:hAnsi="Tahoma" w:cs="Tahoma"/>
        </w:rPr>
      </w:pPr>
    </w:p>
    <w:p w14:paraId="582F12EF" w14:textId="77777777" w:rsidR="00281CBF" w:rsidRPr="00281CBF" w:rsidRDefault="00281CBF" w:rsidP="00281CBF">
      <w:pPr>
        <w:spacing w:line="276" w:lineRule="auto"/>
        <w:rPr>
          <w:rFonts w:ascii="Tahoma" w:hAnsi="Tahoma" w:cs="Tahoma"/>
        </w:rPr>
      </w:pPr>
    </w:p>
    <w:p w14:paraId="20F6423A" w14:textId="77777777" w:rsidR="00281CBF" w:rsidRPr="00281CBF" w:rsidRDefault="00281CBF" w:rsidP="00281CBF">
      <w:pPr>
        <w:spacing w:line="276" w:lineRule="auto"/>
        <w:rPr>
          <w:rFonts w:ascii="Tahoma" w:hAnsi="Tahoma" w:cs="Tahoma"/>
        </w:rPr>
      </w:pPr>
    </w:p>
    <w:p w14:paraId="22577806" w14:textId="77777777" w:rsidR="00281CBF" w:rsidRPr="00281CBF" w:rsidRDefault="00281CBF" w:rsidP="00281CBF">
      <w:pPr>
        <w:spacing w:line="276" w:lineRule="auto"/>
        <w:jc w:val="both"/>
        <w:rPr>
          <w:rFonts w:ascii="Tahoma" w:eastAsia="Calibri" w:hAnsi="Tahoma" w:cs="Tahoma"/>
          <w:lang w:eastAsia="en-US"/>
        </w:rPr>
      </w:pPr>
      <w:r w:rsidRPr="00281CBF">
        <w:rPr>
          <w:rFonts w:ascii="Tahoma" w:hAnsi="Tahoma" w:cs="Tahoma"/>
          <w:b/>
          <w:bCs/>
        </w:rPr>
        <w:t>OLGA LUCÍA HOYOS SEPÚLVEDA</w:t>
      </w:r>
      <w:r w:rsidRPr="00281CBF">
        <w:rPr>
          <w:rFonts w:ascii="Tahoma" w:hAnsi="Tahoma" w:cs="Tahoma"/>
          <w:b/>
          <w:bCs/>
        </w:rPr>
        <w:tab/>
      </w:r>
      <w:r w:rsidRPr="00281CBF">
        <w:rPr>
          <w:rFonts w:ascii="Tahoma" w:hAnsi="Tahoma" w:cs="Tahoma"/>
          <w:b/>
          <w:bCs/>
        </w:rPr>
        <w:tab/>
        <w:t>GERMÁN DARÍO GÓEZ VINASCO</w:t>
      </w:r>
      <w:bookmarkEnd w:id="8"/>
      <w:bookmarkEnd w:id="9"/>
    </w:p>
    <w:p w14:paraId="4BFEEFA7" w14:textId="59F89BA1" w:rsidR="005D07DF" w:rsidRPr="00281CBF" w:rsidRDefault="00281CBF" w:rsidP="00281CBF">
      <w:pPr>
        <w:spacing w:line="276" w:lineRule="auto"/>
        <w:jc w:val="both"/>
        <w:textAlignment w:val="baseline"/>
        <w:rPr>
          <w:rFonts w:ascii="Tahoma" w:hAnsi="Tahoma" w:cs="Tahoma"/>
          <w:lang w:val="es-CO" w:eastAsia="es-CO"/>
        </w:rPr>
      </w:pPr>
      <w:r w:rsidRPr="00281CBF">
        <w:rPr>
          <w:rFonts w:ascii="Tahoma" w:hAnsi="Tahoma" w:cs="Tahoma"/>
          <w:lang w:val="es-CO" w:eastAsia="es-CO"/>
        </w:rPr>
        <w:t>Con salvamento de voto</w:t>
      </w:r>
    </w:p>
    <w:sectPr w:rsidR="005D07DF" w:rsidRPr="00281CBF" w:rsidSect="006C474A">
      <w:headerReference w:type="even" r:id="rId11"/>
      <w:headerReference w:type="default" r:id="rId12"/>
      <w:footerReference w:type="default" r:id="rId13"/>
      <w:pgSz w:w="12242" w:h="18722" w:code="258"/>
      <w:pgMar w:top="1758" w:right="1191" w:bottom="1191" w:left="175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402C82" w16cex:dateUtc="2023-03-22T14:06:14.335Z"/>
  <w16cex:commentExtensible w16cex:durableId="75463D98" w16cex:dateUtc="2023-03-23T20:23:12.248Z"/>
  <w16cex:commentExtensible w16cex:durableId="749255C0" w16cex:dateUtc="2023-03-24T19:24:02.948Z"/>
  <w16cex:commentExtensible w16cex:durableId="3E2C23BA" w16cex:dateUtc="2023-05-09T14:09:19.045Z"/>
  <w16cex:commentExtensible w16cex:durableId="1AFA3BFF" w16cex:dateUtc="2023-05-11T20:41:55.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0A4F0" w14:textId="77777777" w:rsidR="00643AF6" w:rsidRDefault="00643AF6">
      <w:r>
        <w:separator/>
      </w:r>
    </w:p>
  </w:endnote>
  <w:endnote w:type="continuationSeparator" w:id="0">
    <w:p w14:paraId="0D5D0DDF" w14:textId="77777777" w:rsidR="00643AF6" w:rsidRDefault="00643AF6">
      <w:r>
        <w:continuationSeparator/>
      </w:r>
    </w:p>
  </w:endnote>
  <w:endnote w:type="continuationNotice" w:id="1">
    <w:p w14:paraId="3A07A509" w14:textId="77777777" w:rsidR="00643AF6" w:rsidRDefault="00643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50B65" w:rsidRPr="006844D3" w:rsidRDefault="00450B65" w:rsidP="006844D3">
    <w:pPr>
      <w:pStyle w:val="Ttulo"/>
      <w:spacing w:line="240" w:lineRule="auto"/>
      <w:jc w:val="right"/>
      <w:rPr>
        <w:b w:val="0"/>
        <w:bCs/>
        <w:sz w:val="18"/>
        <w:szCs w:val="18"/>
      </w:rPr>
    </w:pPr>
    <w:r w:rsidRPr="006844D3">
      <w:rPr>
        <w:b w:val="0"/>
        <w:bCs/>
        <w:sz w:val="18"/>
        <w:szCs w:val="18"/>
      </w:rPr>
      <w:fldChar w:fldCharType="begin"/>
    </w:r>
    <w:r w:rsidRPr="006844D3">
      <w:rPr>
        <w:b w:val="0"/>
        <w:bCs/>
        <w:sz w:val="18"/>
        <w:szCs w:val="18"/>
      </w:rPr>
      <w:instrText>PAGE   \* MERGEFORMAT</w:instrText>
    </w:r>
    <w:r w:rsidRPr="006844D3">
      <w:rPr>
        <w:b w:val="0"/>
        <w:bCs/>
        <w:sz w:val="18"/>
        <w:szCs w:val="18"/>
      </w:rPr>
      <w:fldChar w:fldCharType="separate"/>
    </w:r>
    <w:r w:rsidRPr="006844D3">
      <w:rPr>
        <w:b w:val="0"/>
        <w:bCs/>
        <w:sz w:val="18"/>
        <w:szCs w:val="18"/>
      </w:rPr>
      <w:t>2</w:t>
    </w:r>
    <w:r w:rsidRPr="006844D3">
      <w:rPr>
        <w:b w:val="0"/>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7BE75" w14:textId="77777777" w:rsidR="00643AF6" w:rsidRDefault="00643AF6">
      <w:r>
        <w:separator/>
      </w:r>
    </w:p>
  </w:footnote>
  <w:footnote w:type="continuationSeparator" w:id="0">
    <w:p w14:paraId="4F1C07C6" w14:textId="77777777" w:rsidR="00643AF6" w:rsidRDefault="00643AF6">
      <w:r>
        <w:continuationSeparator/>
      </w:r>
    </w:p>
  </w:footnote>
  <w:footnote w:type="continuationNotice" w:id="1">
    <w:p w14:paraId="50A3E5F2" w14:textId="77777777" w:rsidR="00643AF6" w:rsidRDefault="00643AF6"/>
  </w:footnote>
  <w:footnote w:id="2">
    <w:p w14:paraId="03517339" w14:textId="77777777" w:rsidR="00EF0303" w:rsidRPr="00153173" w:rsidRDefault="00EF0303" w:rsidP="00153173">
      <w:pPr>
        <w:pStyle w:val="Textonotapie"/>
        <w:jc w:val="both"/>
        <w:rPr>
          <w:rFonts w:ascii="Arial" w:hAnsi="Arial" w:cs="Arial"/>
          <w:sz w:val="18"/>
          <w:szCs w:val="18"/>
        </w:rPr>
      </w:pPr>
      <w:r w:rsidRPr="00153173">
        <w:rPr>
          <w:rStyle w:val="Refdenotaalpie"/>
          <w:rFonts w:ascii="Arial" w:hAnsi="Arial" w:cs="Arial"/>
          <w:sz w:val="18"/>
          <w:szCs w:val="18"/>
        </w:rPr>
        <w:footnoteRef/>
      </w:r>
      <w:r w:rsidRPr="00153173">
        <w:rPr>
          <w:rFonts w:ascii="Arial" w:hAnsi="Arial" w:cs="Arial"/>
          <w:sz w:val="18"/>
          <w:szCs w:val="18"/>
        </w:rPr>
        <w:t xml:space="preserve"> Por ejemplo, según el Reporte de semanas cotizadas en pensiones del 29 de abril de 2015 -emanado de Colpensiones-, el Sr. José Julián Rojas Sánchez contaba con las siguientes semanas: 55,71; 8,57; 31; 26,57; 96,71; 30,43; 21,14; 23,43 y 7,43.</w:t>
      </w:r>
    </w:p>
  </w:footnote>
  <w:footnote w:id="3">
    <w:p w14:paraId="13CA9C6B" w14:textId="7225580B" w:rsidR="00FE17DE" w:rsidRPr="00153173" w:rsidRDefault="00FE17DE" w:rsidP="00153173">
      <w:pPr>
        <w:pStyle w:val="Textonotapie"/>
        <w:jc w:val="both"/>
        <w:rPr>
          <w:rFonts w:ascii="Arial" w:hAnsi="Arial" w:cs="Arial"/>
          <w:sz w:val="18"/>
          <w:szCs w:val="18"/>
        </w:rPr>
      </w:pPr>
      <w:r w:rsidRPr="00153173">
        <w:rPr>
          <w:rStyle w:val="Refdenotaalpie"/>
          <w:rFonts w:ascii="Arial" w:hAnsi="Arial" w:cs="Arial"/>
          <w:sz w:val="18"/>
          <w:szCs w:val="18"/>
        </w:rPr>
        <w:footnoteRef/>
      </w:r>
      <w:r w:rsidRPr="00153173">
        <w:rPr>
          <w:rFonts w:ascii="Arial" w:hAnsi="Arial" w:cs="Arial"/>
          <w:sz w:val="18"/>
          <w:szCs w:val="18"/>
        </w:rPr>
        <w:t xml:space="preserve"> Páginas 22 a 25 del archivo 04, cuaderno de primera instancia. </w:t>
      </w:r>
    </w:p>
  </w:footnote>
  <w:footnote w:id="4">
    <w:p w14:paraId="4B0CFF8B" w14:textId="49644B69" w:rsidR="00D2138F" w:rsidRPr="00153173" w:rsidRDefault="00D2138F" w:rsidP="00153173">
      <w:pPr>
        <w:pStyle w:val="Textonotapie"/>
        <w:jc w:val="both"/>
        <w:rPr>
          <w:rFonts w:ascii="Arial" w:hAnsi="Arial" w:cs="Arial"/>
          <w:sz w:val="18"/>
          <w:szCs w:val="18"/>
        </w:rPr>
      </w:pPr>
      <w:r w:rsidRPr="00153173">
        <w:rPr>
          <w:rStyle w:val="Refdenotaalpie"/>
          <w:rFonts w:ascii="Arial" w:hAnsi="Arial" w:cs="Arial"/>
          <w:sz w:val="18"/>
          <w:szCs w:val="18"/>
        </w:rPr>
        <w:footnoteRef/>
      </w:r>
      <w:r w:rsidRPr="00153173">
        <w:rPr>
          <w:rFonts w:ascii="Arial" w:hAnsi="Arial" w:cs="Arial"/>
          <w:sz w:val="18"/>
          <w:szCs w:val="18"/>
        </w:rPr>
        <w:t xml:space="preserve"> Página 30 del archivo 04, cuaderno de primera instancia.</w:t>
      </w:r>
    </w:p>
  </w:footnote>
  <w:footnote w:id="5">
    <w:p w14:paraId="0C607E57" w14:textId="40774C04" w:rsidR="00D2138F" w:rsidRPr="00153173" w:rsidRDefault="00D2138F" w:rsidP="00153173">
      <w:pPr>
        <w:pStyle w:val="Textonotapie"/>
        <w:jc w:val="both"/>
        <w:rPr>
          <w:rFonts w:ascii="Arial" w:hAnsi="Arial" w:cs="Arial"/>
          <w:sz w:val="18"/>
          <w:szCs w:val="18"/>
        </w:rPr>
      </w:pPr>
      <w:r w:rsidRPr="00153173">
        <w:rPr>
          <w:rStyle w:val="Refdenotaalpie"/>
          <w:rFonts w:ascii="Arial" w:hAnsi="Arial" w:cs="Arial"/>
          <w:sz w:val="18"/>
          <w:szCs w:val="18"/>
        </w:rPr>
        <w:footnoteRef/>
      </w:r>
      <w:r w:rsidRPr="00153173">
        <w:rPr>
          <w:rFonts w:ascii="Arial" w:hAnsi="Arial" w:cs="Arial"/>
          <w:sz w:val="18"/>
          <w:szCs w:val="18"/>
        </w:rPr>
        <w:t xml:space="preserve"> Páginas 07 a 13 del archivo 04, cuaderno de primera instancia.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50B65" w:rsidRDefault="00450B6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50B65" w:rsidRDefault="00450B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7C54" w14:textId="0511E167" w:rsidR="00794D7D" w:rsidRPr="006844D3" w:rsidRDefault="00794D7D" w:rsidP="006844D3">
    <w:pPr>
      <w:pStyle w:val="Ttulo"/>
      <w:spacing w:line="240" w:lineRule="auto"/>
      <w:jc w:val="both"/>
      <w:rPr>
        <w:b w:val="0"/>
        <w:bCs/>
        <w:sz w:val="18"/>
        <w:szCs w:val="18"/>
      </w:rPr>
    </w:pPr>
    <w:r w:rsidRPr="006844D3">
      <w:rPr>
        <w:b w:val="0"/>
        <w:bCs/>
        <w:sz w:val="18"/>
        <w:szCs w:val="18"/>
      </w:rPr>
      <w:t>Radicación No.:</w:t>
    </w:r>
    <w:r w:rsidRPr="006844D3">
      <w:rPr>
        <w:b w:val="0"/>
        <w:bCs/>
        <w:sz w:val="18"/>
        <w:szCs w:val="18"/>
      </w:rPr>
      <w:tab/>
      <w:t>66001-31-05-00</w:t>
    </w:r>
    <w:r w:rsidR="00592B15" w:rsidRPr="006844D3">
      <w:rPr>
        <w:b w:val="0"/>
        <w:bCs/>
        <w:sz w:val="18"/>
        <w:szCs w:val="18"/>
      </w:rPr>
      <w:t>2</w:t>
    </w:r>
    <w:r w:rsidRPr="006844D3">
      <w:rPr>
        <w:b w:val="0"/>
        <w:bCs/>
        <w:sz w:val="18"/>
        <w:szCs w:val="18"/>
      </w:rPr>
      <w:t>-201</w:t>
    </w:r>
    <w:r w:rsidR="00726587" w:rsidRPr="006844D3">
      <w:rPr>
        <w:b w:val="0"/>
        <w:bCs/>
        <w:sz w:val="18"/>
        <w:szCs w:val="18"/>
      </w:rPr>
      <w:t>9</w:t>
    </w:r>
    <w:r w:rsidRPr="006844D3">
      <w:rPr>
        <w:b w:val="0"/>
        <w:bCs/>
        <w:sz w:val="18"/>
        <w:szCs w:val="18"/>
      </w:rPr>
      <w:t>-00</w:t>
    </w:r>
    <w:r w:rsidR="00726587" w:rsidRPr="006844D3">
      <w:rPr>
        <w:b w:val="0"/>
        <w:bCs/>
        <w:sz w:val="18"/>
        <w:szCs w:val="18"/>
      </w:rPr>
      <w:t>218</w:t>
    </w:r>
    <w:r w:rsidRPr="006844D3">
      <w:rPr>
        <w:b w:val="0"/>
        <w:bCs/>
        <w:sz w:val="18"/>
        <w:szCs w:val="18"/>
      </w:rPr>
      <w:t>-01</w:t>
    </w:r>
  </w:p>
  <w:p w14:paraId="79D4FB09" w14:textId="776F54B7" w:rsidR="00794D7D" w:rsidRPr="006844D3" w:rsidRDefault="00794D7D" w:rsidP="006844D3">
    <w:pPr>
      <w:pStyle w:val="Ttulo"/>
      <w:spacing w:line="240" w:lineRule="auto"/>
      <w:jc w:val="both"/>
      <w:rPr>
        <w:b w:val="0"/>
        <w:bCs/>
        <w:sz w:val="18"/>
        <w:szCs w:val="18"/>
      </w:rPr>
    </w:pPr>
    <w:r w:rsidRPr="006844D3">
      <w:rPr>
        <w:b w:val="0"/>
        <w:bCs/>
        <w:sz w:val="18"/>
        <w:szCs w:val="18"/>
      </w:rPr>
      <w:t>Demandante:</w:t>
    </w:r>
    <w:r w:rsidRPr="006844D3">
      <w:rPr>
        <w:b w:val="0"/>
        <w:bCs/>
        <w:sz w:val="18"/>
        <w:szCs w:val="18"/>
      </w:rPr>
      <w:tab/>
    </w:r>
    <w:r w:rsidR="00726587" w:rsidRPr="006844D3">
      <w:rPr>
        <w:b w:val="0"/>
        <w:bCs/>
        <w:sz w:val="18"/>
        <w:szCs w:val="18"/>
      </w:rPr>
      <w:t>César Augusto García</w:t>
    </w:r>
    <w:r w:rsidR="00FC3D2F" w:rsidRPr="006844D3">
      <w:rPr>
        <w:b w:val="0"/>
        <w:bCs/>
        <w:sz w:val="18"/>
        <w:szCs w:val="18"/>
      </w:rPr>
      <w:t xml:space="preserve"> Quintero</w:t>
    </w:r>
  </w:p>
  <w:p w14:paraId="30DC2CB1" w14:textId="1A00D5B5" w:rsidR="00450B65" w:rsidRPr="006844D3" w:rsidRDefault="00794D7D" w:rsidP="006844D3">
    <w:pPr>
      <w:pStyle w:val="Ttulo"/>
      <w:spacing w:line="240" w:lineRule="auto"/>
      <w:ind w:left="708" w:hanging="708"/>
      <w:jc w:val="both"/>
      <w:rPr>
        <w:b w:val="0"/>
        <w:bCs/>
        <w:sz w:val="18"/>
        <w:szCs w:val="18"/>
      </w:rPr>
    </w:pPr>
    <w:r w:rsidRPr="006844D3">
      <w:rPr>
        <w:b w:val="0"/>
        <w:bCs/>
        <w:sz w:val="18"/>
        <w:szCs w:val="18"/>
      </w:rPr>
      <w:t>Demandado:</w:t>
    </w:r>
    <w:r w:rsidRPr="006844D3">
      <w:rPr>
        <w:b w:val="0"/>
        <w:bCs/>
        <w:sz w:val="18"/>
        <w:szCs w:val="18"/>
      </w:rPr>
      <w:tab/>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 w15:restartNumberingAfterBreak="0">
    <w:nsid w:val="17722BC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5" w15:restartNumberingAfterBreak="0">
    <w:nsid w:val="31246503"/>
    <w:multiLevelType w:val="multilevel"/>
    <w:tmpl w:val="DB2249E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3ECD7F20"/>
    <w:multiLevelType w:val="hybridMultilevel"/>
    <w:tmpl w:val="92566AA8"/>
    <w:lvl w:ilvl="0" w:tplc="C6CE5D4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D031189"/>
    <w:multiLevelType w:val="multilevel"/>
    <w:tmpl w:val="B3A43AD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39A588A"/>
    <w:multiLevelType w:val="multilevel"/>
    <w:tmpl w:val="F82404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2" w15:restartNumberingAfterBreak="0">
    <w:nsid w:val="68A13F83"/>
    <w:multiLevelType w:val="multilevel"/>
    <w:tmpl w:val="49DCD04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5"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8"/>
  </w:num>
  <w:num w:numId="3">
    <w:abstractNumId w:val="14"/>
  </w:num>
  <w:num w:numId="4">
    <w:abstractNumId w:val="13"/>
  </w:num>
  <w:num w:numId="5">
    <w:abstractNumId w:val="1"/>
  </w:num>
  <w:num w:numId="6">
    <w:abstractNumId w:val="7"/>
  </w:num>
  <w:num w:numId="7">
    <w:abstractNumId w:val="11"/>
  </w:num>
  <w:num w:numId="8">
    <w:abstractNumId w:val="4"/>
  </w:num>
  <w:num w:numId="9">
    <w:abstractNumId w:val="15"/>
  </w:num>
  <w:num w:numId="10">
    <w:abstractNumId w:val="10"/>
  </w:num>
  <w:num w:numId="11">
    <w:abstractNumId w:val="3"/>
  </w:num>
  <w:num w:numId="12">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2"/>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FD6"/>
    <w:rsid w:val="00006084"/>
    <w:rsid w:val="0000616E"/>
    <w:rsid w:val="00006421"/>
    <w:rsid w:val="0000661C"/>
    <w:rsid w:val="000067FE"/>
    <w:rsid w:val="00006AB3"/>
    <w:rsid w:val="00006F27"/>
    <w:rsid w:val="00007112"/>
    <w:rsid w:val="000108A0"/>
    <w:rsid w:val="000108FA"/>
    <w:rsid w:val="000113A2"/>
    <w:rsid w:val="000113AE"/>
    <w:rsid w:val="000116DD"/>
    <w:rsid w:val="000117AB"/>
    <w:rsid w:val="00011DC0"/>
    <w:rsid w:val="00012EC2"/>
    <w:rsid w:val="00013138"/>
    <w:rsid w:val="000131CC"/>
    <w:rsid w:val="000138D2"/>
    <w:rsid w:val="000139C8"/>
    <w:rsid w:val="00014101"/>
    <w:rsid w:val="00014172"/>
    <w:rsid w:val="000148FF"/>
    <w:rsid w:val="00014949"/>
    <w:rsid w:val="000149FB"/>
    <w:rsid w:val="00014F1A"/>
    <w:rsid w:val="000153D6"/>
    <w:rsid w:val="00015677"/>
    <w:rsid w:val="00015C7D"/>
    <w:rsid w:val="00016531"/>
    <w:rsid w:val="00016CEA"/>
    <w:rsid w:val="000207D2"/>
    <w:rsid w:val="00020821"/>
    <w:rsid w:val="00020B62"/>
    <w:rsid w:val="00020EAD"/>
    <w:rsid w:val="00021327"/>
    <w:rsid w:val="00021386"/>
    <w:rsid w:val="00021B46"/>
    <w:rsid w:val="000222F2"/>
    <w:rsid w:val="000228BF"/>
    <w:rsid w:val="00022A5C"/>
    <w:rsid w:val="00022AA1"/>
    <w:rsid w:val="0002320C"/>
    <w:rsid w:val="00023257"/>
    <w:rsid w:val="0002387D"/>
    <w:rsid w:val="0002448C"/>
    <w:rsid w:val="0002458E"/>
    <w:rsid w:val="00025895"/>
    <w:rsid w:val="00026905"/>
    <w:rsid w:val="000269CA"/>
    <w:rsid w:val="0002718C"/>
    <w:rsid w:val="000271CA"/>
    <w:rsid w:val="000277BB"/>
    <w:rsid w:val="00027E37"/>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0F1C"/>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61AB"/>
    <w:rsid w:val="00046230"/>
    <w:rsid w:val="0004798C"/>
    <w:rsid w:val="000502A9"/>
    <w:rsid w:val="00050B8B"/>
    <w:rsid w:val="000516FA"/>
    <w:rsid w:val="000526DE"/>
    <w:rsid w:val="0005299F"/>
    <w:rsid w:val="00053381"/>
    <w:rsid w:val="00053767"/>
    <w:rsid w:val="000539D9"/>
    <w:rsid w:val="00053BBC"/>
    <w:rsid w:val="00053C09"/>
    <w:rsid w:val="00054180"/>
    <w:rsid w:val="00054989"/>
    <w:rsid w:val="00054AC2"/>
    <w:rsid w:val="00056F1F"/>
    <w:rsid w:val="000575D1"/>
    <w:rsid w:val="00057644"/>
    <w:rsid w:val="00057E02"/>
    <w:rsid w:val="00060C87"/>
    <w:rsid w:val="0006296E"/>
    <w:rsid w:val="0006298A"/>
    <w:rsid w:val="000634C3"/>
    <w:rsid w:val="00063B66"/>
    <w:rsid w:val="00063FBC"/>
    <w:rsid w:val="00064C80"/>
    <w:rsid w:val="00065677"/>
    <w:rsid w:val="00065765"/>
    <w:rsid w:val="00065C21"/>
    <w:rsid w:val="00065E53"/>
    <w:rsid w:val="00067227"/>
    <w:rsid w:val="0007089E"/>
    <w:rsid w:val="00070FB2"/>
    <w:rsid w:val="000713AE"/>
    <w:rsid w:val="00071C2C"/>
    <w:rsid w:val="00072803"/>
    <w:rsid w:val="00073AD8"/>
    <w:rsid w:val="00073CDD"/>
    <w:rsid w:val="00074717"/>
    <w:rsid w:val="000755E0"/>
    <w:rsid w:val="000758C9"/>
    <w:rsid w:val="00075CDE"/>
    <w:rsid w:val="000768A1"/>
    <w:rsid w:val="00076CCC"/>
    <w:rsid w:val="000770E2"/>
    <w:rsid w:val="00077395"/>
    <w:rsid w:val="00077E20"/>
    <w:rsid w:val="000804F3"/>
    <w:rsid w:val="00080A28"/>
    <w:rsid w:val="0008113C"/>
    <w:rsid w:val="000815B8"/>
    <w:rsid w:val="000816D0"/>
    <w:rsid w:val="000821A3"/>
    <w:rsid w:val="00082836"/>
    <w:rsid w:val="00082F11"/>
    <w:rsid w:val="000834E1"/>
    <w:rsid w:val="00084F5B"/>
    <w:rsid w:val="00085416"/>
    <w:rsid w:val="00085865"/>
    <w:rsid w:val="00085A34"/>
    <w:rsid w:val="00085C73"/>
    <w:rsid w:val="00085F79"/>
    <w:rsid w:val="00086703"/>
    <w:rsid w:val="00087119"/>
    <w:rsid w:val="00087799"/>
    <w:rsid w:val="00087FDF"/>
    <w:rsid w:val="00090314"/>
    <w:rsid w:val="00090391"/>
    <w:rsid w:val="000905DA"/>
    <w:rsid w:val="00090A38"/>
    <w:rsid w:val="00090C03"/>
    <w:rsid w:val="000910A9"/>
    <w:rsid w:val="00091B1C"/>
    <w:rsid w:val="00091C87"/>
    <w:rsid w:val="00091F7E"/>
    <w:rsid w:val="00092999"/>
    <w:rsid w:val="00092B43"/>
    <w:rsid w:val="000934B4"/>
    <w:rsid w:val="000934F5"/>
    <w:rsid w:val="0009361E"/>
    <w:rsid w:val="00093AD4"/>
    <w:rsid w:val="00093D21"/>
    <w:rsid w:val="00093DFA"/>
    <w:rsid w:val="000945BA"/>
    <w:rsid w:val="0009470B"/>
    <w:rsid w:val="00094805"/>
    <w:rsid w:val="0009509A"/>
    <w:rsid w:val="00096148"/>
    <w:rsid w:val="0009645A"/>
    <w:rsid w:val="00096A81"/>
    <w:rsid w:val="00096C52"/>
    <w:rsid w:val="00096F31"/>
    <w:rsid w:val="00097251"/>
    <w:rsid w:val="000974DF"/>
    <w:rsid w:val="00097744"/>
    <w:rsid w:val="0009794F"/>
    <w:rsid w:val="00097C8E"/>
    <w:rsid w:val="00097ED3"/>
    <w:rsid w:val="000A032D"/>
    <w:rsid w:val="000A1172"/>
    <w:rsid w:val="000A1286"/>
    <w:rsid w:val="000A129C"/>
    <w:rsid w:val="000A18CA"/>
    <w:rsid w:val="000A2266"/>
    <w:rsid w:val="000A2294"/>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3191"/>
    <w:rsid w:val="000B3201"/>
    <w:rsid w:val="000B408E"/>
    <w:rsid w:val="000B4F1F"/>
    <w:rsid w:val="000B5064"/>
    <w:rsid w:val="000B5A5B"/>
    <w:rsid w:val="000B6D07"/>
    <w:rsid w:val="000B6FA1"/>
    <w:rsid w:val="000B7743"/>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4DFB"/>
    <w:rsid w:val="000C5830"/>
    <w:rsid w:val="000C5B32"/>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5362"/>
    <w:rsid w:val="000D56FA"/>
    <w:rsid w:val="000D6954"/>
    <w:rsid w:val="000D6E32"/>
    <w:rsid w:val="000D74FA"/>
    <w:rsid w:val="000D78DE"/>
    <w:rsid w:val="000D78EF"/>
    <w:rsid w:val="000D7A48"/>
    <w:rsid w:val="000D7BE7"/>
    <w:rsid w:val="000E02E2"/>
    <w:rsid w:val="000E15CE"/>
    <w:rsid w:val="000E1870"/>
    <w:rsid w:val="000E18F8"/>
    <w:rsid w:val="000E1CB4"/>
    <w:rsid w:val="000E1F40"/>
    <w:rsid w:val="000E1F44"/>
    <w:rsid w:val="000E1FFC"/>
    <w:rsid w:val="000E2911"/>
    <w:rsid w:val="000E2B6D"/>
    <w:rsid w:val="000E2C96"/>
    <w:rsid w:val="000E2F2F"/>
    <w:rsid w:val="000E3D17"/>
    <w:rsid w:val="000E46A6"/>
    <w:rsid w:val="000E4D43"/>
    <w:rsid w:val="000E4F18"/>
    <w:rsid w:val="000E5CE1"/>
    <w:rsid w:val="000E5DEB"/>
    <w:rsid w:val="000E618D"/>
    <w:rsid w:val="000E6B13"/>
    <w:rsid w:val="000E7211"/>
    <w:rsid w:val="000E7518"/>
    <w:rsid w:val="000E7993"/>
    <w:rsid w:val="000E7A93"/>
    <w:rsid w:val="000E7B1E"/>
    <w:rsid w:val="000F0469"/>
    <w:rsid w:val="000F0540"/>
    <w:rsid w:val="000F0ADC"/>
    <w:rsid w:val="000F0BDD"/>
    <w:rsid w:val="000F13EF"/>
    <w:rsid w:val="000F1911"/>
    <w:rsid w:val="000F200C"/>
    <w:rsid w:val="000F2BC2"/>
    <w:rsid w:val="000F34FC"/>
    <w:rsid w:val="000F374C"/>
    <w:rsid w:val="000F44F9"/>
    <w:rsid w:val="000F5060"/>
    <w:rsid w:val="000F52F9"/>
    <w:rsid w:val="000F5E64"/>
    <w:rsid w:val="000F5EBD"/>
    <w:rsid w:val="000F6917"/>
    <w:rsid w:val="000F6A05"/>
    <w:rsid w:val="000F6B06"/>
    <w:rsid w:val="000F6FD2"/>
    <w:rsid w:val="000F7199"/>
    <w:rsid w:val="000F719F"/>
    <w:rsid w:val="000F7D1B"/>
    <w:rsid w:val="001001C8"/>
    <w:rsid w:val="00100C06"/>
    <w:rsid w:val="00100D4D"/>
    <w:rsid w:val="001015B5"/>
    <w:rsid w:val="00102482"/>
    <w:rsid w:val="00102835"/>
    <w:rsid w:val="001045F3"/>
    <w:rsid w:val="00104664"/>
    <w:rsid w:val="00104A14"/>
    <w:rsid w:val="0010539E"/>
    <w:rsid w:val="00105954"/>
    <w:rsid w:val="00106D1B"/>
    <w:rsid w:val="00106DB6"/>
    <w:rsid w:val="001070DD"/>
    <w:rsid w:val="001073B1"/>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6423"/>
    <w:rsid w:val="001172A8"/>
    <w:rsid w:val="001174B9"/>
    <w:rsid w:val="00120A35"/>
    <w:rsid w:val="00120EAB"/>
    <w:rsid w:val="00122140"/>
    <w:rsid w:val="00122521"/>
    <w:rsid w:val="00123412"/>
    <w:rsid w:val="00123767"/>
    <w:rsid w:val="001245C1"/>
    <w:rsid w:val="00124D1E"/>
    <w:rsid w:val="00125BB8"/>
    <w:rsid w:val="00125E35"/>
    <w:rsid w:val="00126266"/>
    <w:rsid w:val="00127403"/>
    <w:rsid w:val="00127EE2"/>
    <w:rsid w:val="00130D74"/>
    <w:rsid w:val="00131250"/>
    <w:rsid w:val="00131C1B"/>
    <w:rsid w:val="00131D6F"/>
    <w:rsid w:val="0013280B"/>
    <w:rsid w:val="00133641"/>
    <w:rsid w:val="00133DD5"/>
    <w:rsid w:val="00134872"/>
    <w:rsid w:val="001355E4"/>
    <w:rsid w:val="00135707"/>
    <w:rsid w:val="00137A08"/>
    <w:rsid w:val="00137BDE"/>
    <w:rsid w:val="00137E1C"/>
    <w:rsid w:val="001410C3"/>
    <w:rsid w:val="00141D49"/>
    <w:rsid w:val="00142274"/>
    <w:rsid w:val="00142448"/>
    <w:rsid w:val="00143418"/>
    <w:rsid w:val="00143A88"/>
    <w:rsid w:val="001446C7"/>
    <w:rsid w:val="00144DF0"/>
    <w:rsid w:val="0014623C"/>
    <w:rsid w:val="00146321"/>
    <w:rsid w:val="001464C6"/>
    <w:rsid w:val="00146FF0"/>
    <w:rsid w:val="00147041"/>
    <w:rsid w:val="0015027B"/>
    <w:rsid w:val="00150388"/>
    <w:rsid w:val="00150F76"/>
    <w:rsid w:val="00150FF4"/>
    <w:rsid w:val="001511CE"/>
    <w:rsid w:val="0015175B"/>
    <w:rsid w:val="00151859"/>
    <w:rsid w:val="00151A39"/>
    <w:rsid w:val="00152518"/>
    <w:rsid w:val="00152925"/>
    <w:rsid w:val="00153173"/>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1F6"/>
    <w:rsid w:val="001573DE"/>
    <w:rsid w:val="001577A9"/>
    <w:rsid w:val="00160472"/>
    <w:rsid w:val="0016169A"/>
    <w:rsid w:val="00161819"/>
    <w:rsid w:val="00161EBF"/>
    <w:rsid w:val="001627AF"/>
    <w:rsid w:val="00162D1D"/>
    <w:rsid w:val="00162F4E"/>
    <w:rsid w:val="00163A57"/>
    <w:rsid w:val="00166A97"/>
    <w:rsid w:val="00166F5B"/>
    <w:rsid w:val="0016790B"/>
    <w:rsid w:val="00167EBE"/>
    <w:rsid w:val="001700CB"/>
    <w:rsid w:val="0017023C"/>
    <w:rsid w:val="00170532"/>
    <w:rsid w:val="00170E1A"/>
    <w:rsid w:val="0017149D"/>
    <w:rsid w:val="0017184C"/>
    <w:rsid w:val="00171B5F"/>
    <w:rsid w:val="00172149"/>
    <w:rsid w:val="0017221E"/>
    <w:rsid w:val="001722A2"/>
    <w:rsid w:val="00172C90"/>
    <w:rsid w:val="00172CAC"/>
    <w:rsid w:val="001734C0"/>
    <w:rsid w:val="00173EBE"/>
    <w:rsid w:val="00175883"/>
    <w:rsid w:val="00175C09"/>
    <w:rsid w:val="00175F09"/>
    <w:rsid w:val="001769ED"/>
    <w:rsid w:val="0017736B"/>
    <w:rsid w:val="001807B2"/>
    <w:rsid w:val="00180C70"/>
    <w:rsid w:val="00180D9A"/>
    <w:rsid w:val="0018136A"/>
    <w:rsid w:val="00182710"/>
    <w:rsid w:val="001827BA"/>
    <w:rsid w:val="001836A6"/>
    <w:rsid w:val="00183A73"/>
    <w:rsid w:val="001841F6"/>
    <w:rsid w:val="001843F0"/>
    <w:rsid w:val="0018491F"/>
    <w:rsid w:val="00184CF8"/>
    <w:rsid w:val="00185349"/>
    <w:rsid w:val="00185930"/>
    <w:rsid w:val="00185AC7"/>
    <w:rsid w:val="00185DC7"/>
    <w:rsid w:val="001867EA"/>
    <w:rsid w:val="00186AF7"/>
    <w:rsid w:val="00186CDF"/>
    <w:rsid w:val="00187434"/>
    <w:rsid w:val="001906E1"/>
    <w:rsid w:val="00191410"/>
    <w:rsid w:val="001917DB"/>
    <w:rsid w:val="00191D60"/>
    <w:rsid w:val="00192076"/>
    <w:rsid w:val="00193410"/>
    <w:rsid w:val="00193623"/>
    <w:rsid w:val="001938F9"/>
    <w:rsid w:val="001939B4"/>
    <w:rsid w:val="00193AAA"/>
    <w:rsid w:val="00193D28"/>
    <w:rsid w:val="00194645"/>
    <w:rsid w:val="00196180"/>
    <w:rsid w:val="001962B9"/>
    <w:rsid w:val="00196342"/>
    <w:rsid w:val="00196D88"/>
    <w:rsid w:val="00197194"/>
    <w:rsid w:val="001971E7"/>
    <w:rsid w:val="00197AB1"/>
    <w:rsid w:val="00197BCD"/>
    <w:rsid w:val="00197CFD"/>
    <w:rsid w:val="00197F4F"/>
    <w:rsid w:val="00197F8E"/>
    <w:rsid w:val="001A0536"/>
    <w:rsid w:val="001A0550"/>
    <w:rsid w:val="001A0E8A"/>
    <w:rsid w:val="001A0EB1"/>
    <w:rsid w:val="001A143D"/>
    <w:rsid w:val="001A1535"/>
    <w:rsid w:val="001A155B"/>
    <w:rsid w:val="001A16A6"/>
    <w:rsid w:val="001A192B"/>
    <w:rsid w:val="001A2137"/>
    <w:rsid w:val="001A262C"/>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533"/>
    <w:rsid w:val="001B07DE"/>
    <w:rsid w:val="001B0A01"/>
    <w:rsid w:val="001B0B3E"/>
    <w:rsid w:val="001B0B83"/>
    <w:rsid w:val="001B1178"/>
    <w:rsid w:val="001B2375"/>
    <w:rsid w:val="001B237E"/>
    <w:rsid w:val="001B26BD"/>
    <w:rsid w:val="001B3055"/>
    <w:rsid w:val="001B3CDE"/>
    <w:rsid w:val="001B3E4E"/>
    <w:rsid w:val="001B3F73"/>
    <w:rsid w:val="001B409C"/>
    <w:rsid w:val="001B4C7E"/>
    <w:rsid w:val="001B5F3A"/>
    <w:rsid w:val="001B64FC"/>
    <w:rsid w:val="001B66C6"/>
    <w:rsid w:val="001B6E90"/>
    <w:rsid w:val="001B76BD"/>
    <w:rsid w:val="001B7C85"/>
    <w:rsid w:val="001C03A9"/>
    <w:rsid w:val="001C1243"/>
    <w:rsid w:val="001C14EA"/>
    <w:rsid w:val="001C1CDC"/>
    <w:rsid w:val="001C2224"/>
    <w:rsid w:val="001C2451"/>
    <w:rsid w:val="001C24F1"/>
    <w:rsid w:val="001C264B"/>
    <w:rsid w:val="001C2DB5"/>
    <w:rsid w:val="001C4178"/>
    <w:rsid w:val="001C4293"/>
    <w:rsid w:val="001C46CD"/>
    <w:rsid w:val="001C4719"/>
    <w:rsid w:val="001C4780"/>
    <w:rsid w:val="001C512A"/>
    <w:rsid w:val="001C5B1C"/>
    <w:rsid w:val="001C75FA"/>
    <w:rsid w:val="001C7F1D"/>
    <w:rsid w:val="001D03F9"/>
    <w:rsid w:val="001D153F"/>
    <w:rsid w:val="001D15F7"/>
    <w:rsid w:val="001D2272"/>
    <w:rsid w:val="001D2276"/>
    <w:rsid w:val="001D305C"/>
    <w:rsid w:val="001D3995"/>
    <w:rsid w:val="001D3A97"/>
    <w:rsid w:val="001D3CA6"/>
    <w:rsid w:val="001D3DC4"/>
    <w:rsid w:val="001D5B31"/>
    <w:rsid w:val="001D6479"/>
    <w:rsid w:val="001E0812"/>
    <w:rsid w:val="001E13EB"/>
    <w:rsid w:val="001E1465"/>
    <w:rsid w:val="001E34F9"/>
    <w:rsid w:val="001E3682"/>
    <w:rsid w:val="001E36CE"/>
    <w:rsid w:val="001E3A55"/>
    <w:rsid w:val="001E448B"/>
    <w:rsid w:val="001E4B08"/>
    <w:rsid w:val="001E514F"/>
    <w:rsid w:val="001E52A5"/>
    <w:rsid w:val="001E65B7"/>
    <w:rsid w:val="001E7355"/>
    <w:rsid w:val="001E75D8"/>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872"/>
    <w:rsid w:val="001F6B11"/>
    <w:rsid w:val="001F7539"/>
    <w:rsid w:val="001F7DFA"/>
    <w:rsid w:val="00200192"/>
    <w:rsid w:val="00201216"/>
    <w:rsid w:val="00201DEE"/>
    <w:rsid w:val="0020257E"/>
    <w:rsid w:val="00203502"/>
    <w:rsid w:val="00203E26"/>
    <w:rsid w:val="00204572"/>
    <w:rsid w:val="002054CF"/>
    <w:rsid w:val="00205B3D"/>
    <w:rsid w:val="00205CFF"/>
    <w:rsid w:val="002072A1"/>
    <w:rsid w:val="00207306"/>
    <w:rsid w:val="00207313"/>
    <w:rsid w:val="00207574"/>
    <w:rsid w:val="002078F5"/>
    <w:rsid w:val="00207DF5"/>
    <w:rsid w:val="0021045A"/>
    <w:rsid w:val="00210A79"/>
    <w:rsid w:val="00210ADD"/>
    <w:rsid w:val="002111CB"/>
    <w:rsid w:val="00211281"/>
    <w:rsid w:val="00212261"/>
    <w:rsid w:val="002126DB"/>
    <w:rsid w:val="00212876"/>
    <w:rsid w:val="002129DF"/>
    <w:rsid w:val="002129EF"/>
    <w:rsid w:val="00213C99"/>
    <w:rsid w:val="002143B5"/>
    <w:rsid w:val="00214494"/>
    <w:rsid w:val="00214CA4"/>
    <w:rsid w:val="00214E9E"/>
    <w:rsid w:val="002158ED"/>
    <w:rsid w:val="00215AC3"/>
    <w:rsid w:val="00215D91"/>
    <w:rsid w:val="002165E8"/>
    <w:rsid w:val="002168DD"/>
    <w:rsid w:val="00216D9B"/>
    <w:rsid w:val="00216E76"/>
    <w:rsid w:val="00217318"/>
    <w:rsid w:val="0022026F"/>
    <w:rsid w:val="00221452"/>
    <w:rsid w:val="002216EB"/>
    <w:rsid w:val="00221E2C"/>
    <w:rsid w:val="00221F05"/>
    <w:rsid w:val="002225AD"/>
    <w:rsid w:val="0022317F"/>
    <w:rsid w:val="0022375A"/>
    <w:rsid w:val="00223894"/>
    <w:rsid w:val="00223AE4"/>
    <w:rsid w:val="00223C0B"/>
    <w:rsid w:val="002244C1"/>
    <w:rsid w:val="0022458D"/>
    <w:rsid w:val="002248AE"/>
    <w:rsid w:val="002250D5"/>
    <w:rsid w:val="00225A4F"/>
    <w:rsid w:val="002262B8"/>
    <w:rsid w:val="002262C5"/>
    <w:rsid w:val="002266BC"/>
    <w:rsid w:val="0022734D"/>
    <w:rsid w:val="002273C1"/>
    <w:rsid w:val="00230149"/>
    <w:rsid w:val="002307F0"/>
    <w:rsid w:val="00230B34"/>
    <w:rsid w:val="00230B57"/>
    <w:rsid w:val="00231133"/>
    <w:rsid w:val="002314B7"/>
    <w:rsid w:val="0023285F"/>
    <w:rsid w:val="00233341"/>
    <w:rsid w:val="002338AC"/>
    <w:rsid w:val="00233BD7"/>
    <w:rsid w:val="00234388"/>
    <w:rsid w:val="002343F1"/>
    <w:rsid w:val="00234BAC"/>
    <w:rsid w:val="00234E83"/>
    <w:rsid w:val="00235031"/>
    <w:rsid w:val="00235D02"/>
    <w:rsid w:val="00235D95"/>
    <w:rsid w:val="002360AF"/>
    <w:rsid w:val="0023693B"/>
    <w:rsid w:val="002400B7"/>
    <w:rsid w:val="002400DC"/>
    <w:rsid w:val="002404F3"/>
    <w:rsid w:val="002405F5"/>
    <w:rsid w:val="00240BD7"/>
    <w:rsid w:val="00240EA0"/>
    <w:rsid w:val="00240FF5"/>
    <w:rsid w:val="002411AC"/>
    <w:rsid w:val="002413EE"/>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3AA"/>
    <w:rsid w:val="002477C5"/>
    <w:rsid w:val="00247841"/>
    <w:rsid w:val="00247E47"/>
    <w:rsid w:val="002500A3"/>
    <w:rsid w:val="00250565"/>
    <w:rsid w:val="00250BE8"/>
    <w:rsid w:val="002531AB"/>
    <w:rsid w:val="00253D88"/>
    <w:rsid w:val="00253F65"/>
    <w:rsid w:val="00253FD6"/>
    <w:rsid w:val="00254181"/>
    <w:rsid w:val="00255760"/>
    <w:rsid w:val="002557C5"/>
    <w:rsid w:val="002557C8"/>
    <w:rsid w:val="002565B2"/>
    <w:rsid w:val="002568B4"/>
    <w:rsid w:val="00261293"/>
    <w:rsid w:val="0026188C"/>
    <w:rsid w:val="00262666"/>
    <w:rsid w:val="00262830"/>
    <w:rsid w:val="00262975"/>
    <w:rsid w:val="00262C37"/>
    <w:rsid w:val="00262D66"/>
    <w:rsid w:val="00262E0F"/>
    <w:rsid w:val="00264334"/>
    <w:rsid w:val="002643EE"/>
    <w:rsid w:val="00264762"/>
    <w:rsid w:val="00265644"/>
    <w:rsid w:val="00265B6D"/>
    <w:rsid w:val="0026673D"/>
    <w:rsid w:val="00266836"/>
    <w:rsid w:val="002668AB"/>
    <w:rsid w:val="0026744C"/>
    <w:rsid w:val="002676DC"/>
    <w:rsid w:val="002677BB"/>
    <w:rsid w:val="002703E0"/>
    <w:rsid w:val="0027052D"/>
    <w:rsid w:val="002709FF"/>
    <w:rsid w:val="00271611"/>
    <w:rsid w:val="002718EF"/>
    <w:rsid w:val="00271B05"/>
    <w:rsid w:val="0027261A"/>
    <w:rsid w:val="00272C0E"/>
    <w:rsid w:val="00272DB6"/>
    <w:rsid w:val="00274834"/>
    <w:rsid w:val="00274C60"/>
    <w:rsid w:val="00274CA0"/>
    <w:rsid w:val="00275837"/>
    <w:rsid w:val="00275A48"/>
    <w:rsid w:val="002763C1"/>
    <w:rsid w:val="0027657D"/>
    <w:rsid w:val="002765F1"/>
    <w:rsid w:val="00276620"/>
    <w:rsid w:val="002772AD"/>
    <w:rsid w:val="002772C1"/>
    <w:rsid w:val="00277315"/>
    <w:rsid w:val="00277F51"/>
    <w:rsid w:val="002802D1"/>
    <w:rsid w:val="002814C1"/>
    <w:rsid w:val="002818EA"/>
    <w:rsid w:val="002819E9"/>
    <w:rsid w:val="002819FE"/>
    <w:rsid w:val="00281CBF"/>
    <w:rsid w:val="00281F83"/>
    <w:rsid w:val="00282359"/>
    <w:rsid w:val="002824BC"/>
    <w:rsid w:val="00282667"/>
    <w:rsid w:val="002829E8"/>
    <w:rsid w:val="0028317E"/>
    <w:rsid w:val="00283C9B"/>
    <w:rsid w:val="00283EF3"/>
    <w:rsid w:val="00284505"/>
    <w:rsid w:val="00284A68"/>
    <w:rsid w:val="0028503F"/>
    <w:rsid w:val="00285115"/>
    <w:rsid w:val="00285425"/>
    <w:rsid w:val="00286578"/>
    <w:rsid w:val="00286916"/>
    <w:rsid w:val="00286DC0"/>
    <w:rsid w:val="00287075"/>
    <w:rsid w:val="002871EE"/>
    <w:rsid w:val="00290751"/>
    <w:rsid w:val="00290EC5"/>
    <w:rsid w:val="00290FCE"/>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366"/>
    <w:rsid w:val="002A2734"/>
    <w:rsid w:val="002A2825"/>
    <w:rsid w:val="002A2B23"/>
    <w:rsid w:val="002A2CD2"/>
    <w:rsid w:val="002A47DA"/>
    <w:rsid w:val="002A5055"/>
    <w:rsid w:val="002A56E7"/>
    <w:rsid w:val="002A6BA3"/>
    <w:rsid w:val="002A6E4A"/>
    <w:rsid w:val="002A7835"/>
    <w:rsid w:val="002A7981"/>
    <w:rsid w:val="002A7B5A"/>
    <w:rsid w:val="002B0087"/>
    <w:rsid w:val="002B0EB4"/>
    <w:rsid w:val="002B0F0E"/>
    <w:rsid w:val="002B0F49"/>
    <w:rsid w:val="002B191F"/>
    <w:rsid w:val="002B2511"/>
    <w:rsid w:val="002B2545"/>
    <w:rsid w:val="002B2DEC"/>
    <w:rsid w:val="002B3DDA"/>
    <w:rsid w:val="002B3DE1"/>
    <w:rsid w:val="002B4504"/>
    <w:rsid w:val="002B4874"/>
    <w:rsid w:val="002B581C"/>
    <w:rsid w:val="002B5A64"/>
    <w:rsid w:val="002B60ED"/>
    <w:rsid w:val="002B6380"/>
    <w:rsid w:val="002B6B54"/>
    <w:rsid w:val="002B6D4C"/>
    <w:rsid w:val="002B73AC"/>
    <w:rsid w:val="002B75C5"/>
    <w:rsid w:val="002B776A"/>
    <w:rsid w:val="002B7DA2"/>
    <w:rsid w:val="002B7E9C"/>
    <w:rsid w:val="002B7FD3"/>
    <w:rsid w:val="002C0644"/>
    <w:rsid w:val="002C064C"/>
    <w:rsid w:val="002C0BAD"/>
    <w:rsid w:val="002C1403"/>
    <w:rsid w:val="002C25E0"/>
    <w:rsid w:val="002C2A7C"/>
    <w:rsid w:val="002C31C2"/>
    <w:rsid w:val="002C363A"/>
    <w:rsid w:val="002C3867"/>
    <w:rsid w:val="002C3F33"/>
    <w:rsid w:val="002C42A9"/>
    <w:rsid w:val="002C431D"/>
    <w:rsid w:val="002C454D"/>
    <w:rsid w:val="002C4570"/>
    <w:rsid w:val="002C4C8B"/>
    <w:rsid w:val="002C4F26"/>
    <w:rsid w:val="002C5485"/>
    <w:rsid w:val="002C559F"/>
    <w:rsid w:val="002C57E6"/>
    <w:rsid w:val="002C5A23"/>
    <w:rsid w:val="002C5A2E"/>
    <w:rsid w:val="002C6022"/>
    <w:rsid w:val="002C6BA8"/>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00EB"/>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897"/>
    <w:rsid w:val="002F4962"/>
    <w:rsid w:val="002F5385"/>
    <w:rsid w:val="002F63EE"/>
    <w:rsid w:val="002F6742"/>
    <w:rsid w:val="002F748E"/>
    <w:rsid w:val="00300150"/>
    <w:rsid w:val="003018EC"/>
    <w:rsid w:val="00301DB0"/>
    <w:rsid w:val="003021A9"/>
    <w:rsid w:val="003035A7"/>
    <w:rsid w:val="003038FB"/>
    <w:rsid w:val="00303C62"/>
    <w:rsid w:val="003049C6"/>
    <w:rsid w:val="003055F2"/>
    <w:rsid w:val="00305990"/>
    <w:rsid w:val="003060CA"/>
    <w:rsid w:val="003061BB"/>
    <w:rsid w:val="00306290"/>
    <w:rsid w:val="003064FA"/>
    <w:rsid w:val="003066F5"/>
    <w:rsid w:val="00306B02"/>
    <w:rsid w:val="00307298"/>
    <w:rsid w:val="0030730A"/>
    <w:rsid w:val="00307FC0"/>
    <w:rsid w:val="003101CC"/>
    <w:rsid w:val="0031023A"/>
    <w:rsid w:val="0031092F"/>
    <w:rsid w:val="00310B0D"/>
    <w:rsid w:val="00310C08"/>
    <w:rsid w:val="0031125C"/>
    <w:rsid w:val="003112F3"/>
    <w:rsid w:val="00311502"/>
    <w:rsid w:val="003118B3"/>
    <w:rsid w:val="003119DD"/>
    <w:rsid w:val="00311C3F"/>
    <w:rsid w:val="00312030"/>
    <w:rsid w:val="00312087"/>
    <w:rsid w:val="003135B0"/>
    <w:rsid w:val="003135C5"/>
    <w:rsid w:val="00313731"/>
    <w:rsid w:val="00313C38"/>
    <w:rsid w:val="00313D2B"/>
    <w:rsid w:val="00314029"/>
    <w:rsid w:val="003142FA"/>
    <w:rsid w:val="0031435A"/>
    <w:rsid w:val="00314594"/>
    <w:rsid w:val="00314B1E"/>
    <w:rsid w:val="003151DF"/>
    <w:rsid w:val="00315202"/>
    <w:rsid w:val="003153A9"/>
    <w:rsid w:val="003155A0"/>
    <w:rsid w:val="00315918"/>
    <w:rsid w:val="00316687"/>
    <w:rsid w:val="00317201"/>
    <w:rsid w:val="003174DF"/>
    <w:rsid w:val="00317BF5"/>
    <w:rsid w:val="00320608"/>
    <w:rsid w:val="00320D1D"/>
    <w:rsid w:val="0032124D"/>
    <w:rsid w:val="0032135D"/>
    <w:rsid w:val="003216D0"/>
    <w:rsid w:val="00321806"/>
    <w:rsid w:val="00322B29"/>
    <w:rsid w:val="00323C2D"/>
    <w:rsid w:val="003247FB"/>
    <w:rsid w:val="00325D21"/>
    <w:rsid w:val="0032600C"/>
    <w:rsid w:val="00326E13"/>
    <w:rsid w:val="0032713E"/>
    <w:rsid w:val="00327253"/>
    <w:rsid w:val="003274A7"/>
    <w:rsid w:val="00327884"/>
    <w:rsid w:val="00327D30"/>
    <w:rsid w:val="00330D39"/>
    <w:rsid w:val="00330F03"/>
    <w:rsid w:val="00331BCE"/>
    <w:rsid w:val="00332594"/>
    <w:rsid w:val="00332F27"/>
    <w:rsid w:val="00333929"/>
    <w:rsid w:val="00333C41"/>
    <w:rsid w:val="00333E22"/>
    <w:rsid w:val="00334208"/>
    <w:rsid w:val="0033454A"/>
    <w:rsid w:val="00334AB3"/>
    <w:rsid w:val="00334BE1"/>
    <w:rsid w:val="00335367"/>
    <w:rsid w:val="0033542D"/>
    <w:rsid w:val="00335549"/>
    <w:rsid w:val="003355F3"/>
    <w:rsid w:val="00335AFF"/>
    <w:rsid w:val="00335E64"/>
    <w:rsid w:val="00336559"/>
    <w:rsid w:val="0033658A"/>
    <w:rsid w:val="003366CA"/>
    <w:rsid w:val="00337B89"/>
    <w:rsid w:val="00337C3D"/>
    <w:rsid w:val="003425A9"/>
    <w:rsid w:val="00342B91"/>
    <w:rsid w:val="00342F43"/>
    <w:rsid w:val="00342F7C"/>
    <w:rsid w:val="00343A84"/>
    <w:rsid w:val="0034420C"/>
    <w:rsid w:val="00344697"/>
    <w:rsid w:val="00344FE9"/>
    <w:rsid w:val="00345108"/>
    <w:rsid w:val="00345BFE"/>
    <w:rsid w:val="00346B75"/>
    <w:rsid w:val="00346BF8"/>
    <w:rsid w:val="00346D00"/>
    <w:rsid w:val="003470ED"/>
    <w:rsid w:val="00347661"/>
    <w:rsid w:val="00347BFA"/>
    <w:rsid w:val="00350F57"/>
    <w:rsid w:val="003514E5"/>
    <w:rsid w:val="00351DA6"/>
    <w:rsid w:val="00352BAE"/>
    <w:rsid w:val="00353228"/>
    <w:rsid w:val="00353B4B"/>
    <w:rsid w:val="00353C76"/>
    <w:rsid w:val="00353EF9"/>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88F"/>
    <w:rsid w:val="0036298C"/>
    <w:rsid w:val="00362ED1"/>
    <w:rsid w:val="00363588"/>
    <w:rsid w:val="003642A2"/>
    <w:rsid w:val="003644DA"/>
    <w:rsid w:val="00364504"/>
    <w:rsid w:val="003650EB"/>
    <w:rsid w:val="00365DC1"/>
    <w:rsid w:val="00366AFD"/>
    <w:rsid w:val="00366BFD"/>
    <w:rsid w:val="00366E68"/>
    <w:rsid w:val="0036726D"/>
    <w:rsid w:val="00367E40"/>
    <w:rsid w:val="00371191"/>
    <w:rsid w:val="003720D7"/>
    <w:rsid w:val="003725CC"/>
    <w:rsid w:val="00372E1F"/>
    <w:rsid w:val="0037454D"/>
    <w:rsid w:val="003747F5"/>
    <w:rsid w:val="003750A1"/>
    <w:rsid w:val="0037552F"/>
    <w:rsid w:val="0037582F"/>
    <w:rsid w:val="00375CF8"/>
    <w:rsid w:val="00375D2C"/>
    <w:rsid w:val="00376A43"/>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E56"/>
    <w:rsid w:val="00386EC9"/>
    <w:rsid w:val="00386F57"/>
    <w:rsid w:val="003870B2"/>
    <w:rsid w:val="0038730B"/>
    <w:rsid w:val="00387D04"/>
    <w:rsid w:val="00387EB2"/>
    <w:rsid w:val="003913BF"/>
    <w:rsid w:val="0039148B"/>
    <w:rsid w:val="0039195B"/>
    <w:rsid w:val="00391F0D"/>
    <w:rsid w:val="003921C9"/>
    <w:rsid w:val="003935DC"/>
    <w:rsid w:val="00394320"/>
    <w:rsid w:val="0039489B"/>
    <w:rsid w:val="00395136"/>
    <w:rsid w:val="003951A5"/>
    <w:rsid w:val="0039610D"/>
    <w:rsid w:val="0039694A"/>
    <w:rsid w:val="003976FC"/>
    <w:rsid w:val="003A04F1"/>
    <w:rsid w:val="003A0F99"/>
    <w:rsid w:val="003A1F44"/>
    <w:rsid w:val="003A22EF"/>
    <w:rsid w:val="003A2C58"/>
    <w:rsid w:val="003A32F3"/>
    <w:rsid w:val="003A388F"/>
    <w:rsid w:val="003A3A6E"/>
    <w:rsid w:val="003A3BBB"/>
    <w:rsid w:val="003A3D86"/>
    <w:rsid w:val="003A3FC4"/>
    <w:rsid w:val="003A3FDF"/>
    <w:rsid w:val="003A4185"/>
    <w:rsid w:val="003A432A"/>
    <w:rsid w:val="003A43C3"/>
    <w:rsid w:val="003A5533"/>
    <w:rsid w:val="003A5634"/>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6A2"/>
    <w:rsid w:val="003C1DD7"/>
    <w:rsid w:val="003C21E6"/>
    <w:rsid w:val="003C2237"/>
    <w:rsid w:val="003C2541"/>
    <w:rsid w:val="003C255F"/>
    <w:rsid w:val="003C2FB0"/>
    <w:rsid w:val="003C3278"/>
    <w:rsid w:val="003C3623"/>
    <w:rsid w:val="003C3EF3"/>
    <w:rsid w:val="003C4838"/>
    <w:rsid w:val="003C485E"/>
    <w:rsid w:val="003C4AB9"/>
    <w:rsid w:val="003C4B44"/>
    <w:rsid w:val="003C5545"/>
    <w:rsid w:val="003C66B9"/>
    <w:rsid w:val="003C6A57"/>
    <w:rsid w:val="003C6A58"/>
    <w:rsid w:val="003C6D5F"/>
    <w:rsid w:val="003C7018"/>
    <w:rsid w:val="003C7149"/>
    <w:rsid w:val="003C7C33"/>
    <w:rsid w:val="003D00F2"/>
    <w:rsid w:val="003D01CA"/>
    <w:rsid w:val="003D2095"/>
    <w:rsid w:val="003D2DEE"/>
    <w:rsid w:val="003D348A"/>
    <w:rsid w:val="003D37B3"/>
    <w:rsid w:val="003D4545"/>
    <w:rsid w:val="003D48DE"/>
    <w:rsid w:val="003D4A24"/>
    <w:rsid w:val="003D4C3A"/>
    <w:rsid w:val="003D4ECD"/>
    <w:rsid w:val="003D4EEF"/>
    <w:rsid w:val="003D519C"/>
    <w:rsid w:val="003D520A"/>
    <w:rsid w:val="003D5ECA"/>
    <w:rsid w:val="003D5F4E"/>
    <w:rsid w:val="003D721B"/>
    <w:rsid w:val="003D7A20"/>
    <w:rsid w:val="003D7C43"/>
    <w:rsid w:val="003D7CFE"/>
    <w:rsid w:val="003E0B8D"/>
    <w:rsid w:val="003E0FD2"/>
    <w:rsid w:val="003E1938"/>
    <w:rsid w:val="003E1BB2"/>
    <w:rsid w:val="003E1D76"/>
    <w:rsid w:val="003E21D9"/>
    <w:rsid w:val="003E2409"/>
    <w:rsid w:val="003E34B2"/>
    <w:rsid w:val="003E3A8B"/>
    <w:rsid w:val="003E4883"/>
    <w:rsid w:val="003E5306"/>
    <w:rsid w:val="003E544D"/>
    <w:rsid w:val="003E62D6"/>
    <w:rsid w:val="003E6636"/>
    <w:rsid w:val="003E6A85"/>
    <w:rsid w:val="003E715D"/>
    <w:rsid w:val="003E7344"/>
    <w:rsid w:val="003E75E1"/>
    <w:rsid w:val="003F0212"/>
    <w:rsid w:val="003F0223"/>
    <w:rsid w:val="003F02EE"/>
    <w:rsid w:val="003F0BE6"/>
    <w:rsid w:val="003F1A0A"/>
    <w:rsid w:val="003F1AFB"/>
    <w:rsid w:val="003F1F88"/>
    <w:rsid w:val="003F30EF"/>
    <w:rsid w:val="003F348D"/>
    <w:rsid w:val="003F4570"/>
    <w:rsid w:val="003F45AE"/>
    <w:rsid w:val="003F4EF3"/>
    <w:rsid w:val="003F4F97"/>
    <w:rsid w:val="003F51EC"/>
    <w:rsid w:val="003F52B3"/>
    <w:rsid w:val="003F5592"/>
    <w:rsid w:val="003F5D62"/>
    <w:rsid w:val="003F60CD"/>
    <w:rsid w:val="003F6BFA"/>
    <w:rsid w:val="003F6DB5"/>
    <w:rsid w:val="003F6E73"/>
    <w:rsid w:val="003F73AE"/>
    <w:rsid w:val="003F758F"/>
    <w:rsid w:val="003F77AC"/>
    <w:rsid w:val="00400050"/>
    <w:rsid w:val="0040027A"/>
    <w:rsid w:val="004004AA"/>
    <w:rsid w:val="00400FD4"/>
    <w:rsid w:val="004012CA"/>
    <w:rsid w:val="00401559"/>
    <w:rsid w:val="00401BC4"/>
    <w:rsid w:val="0040223A"/>
    <w:rsid w:val="004023CD"/>
    <w:rsid w:val="00402C0E"/>
    <w:rsid w:val="004034A8"/>
    <w:rsid w:val="00403EE1"/>
    <w:rsid w:val="0040469F"/>
    <w:rsid w:val="00404FCE"/>
    <w:rsid w:val="004052FE"/>
    <w:rsid w:val="0040570B"/>
    <w:rsid w:val="004057F1"/>
    <w:rsid w:val="00405B51"/>
    <w:rsid w:val="00406C6D"/>
    <w:rsid w:val="00407199"/>
    <w:rsid w:val="0040776C"/>
    <w:rsid w:val="00407D53"/>
    <w:rsid w:val="0041071F"/>
    <w:rsid w:val="00410A0E"/>
    <w:rsid w:val="0041273C"/>
    <w:rsid w:val="004127F3"/>
    <w:rsid w:val="00412810"/>
    <w:rsid w:val="00412B4E"/>
    <w:rsid w:val="00412EB1"/>
    <w:rsid w:val="004130F7"/>
    <w:rsid w:val="00413A20"/>
    <w:rsid w:val="00413E1F"/>
    <w:rsid w:val="00413F4B"/>
    <w:rsid w:val="00414671"/>
    <w:rsid w:val="00414B84"/>
    <w:rsid w:val="0041505A"/>
    <w:rsid w:val="004150FE"/>
    <w:rsid w:val="0041535B"/>
    <w:rsid w:val="00415C0B"/>
    <w:rsid w:val="00415CDE"/>
    <w:rsid w:val="0041613F"/>
    <w:rsid w:val="00416B10"/>
    <w:rsid w:val="00416F85"/>
    <w:rsid w:val="00417B5B"/>
    <w:rsid w:val="00417C64"/>
    <w:rsid w:val="0042055D"/>
    <w:rsid w:val="004205AD"/>
    <w:rsid w:val="00420F9D"/>
    <w:rsid w:val="00422549"/>
    <w:rsid w:val="004228F4"/>
    <w:rsid w:val="004229C3"/>
    <w:rsid w:val="004229FF"/>
    <w:rsid w:val="00422F50"/>
    <w:rsid w:val="0042329D"/>
    <w:rsid w:val="004233E4"/>
    <w:rsid w:val="00425009"/>
    <w:rsid w:val="00425324"/>
    <w:rsid w:val="00425BF1"/>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47B37"/>
    <w:rsid w:val="00450829"/>
    <w:rsid w:val="00450B65"/>
    <w:rsid w:val="004511D9"/>
    <w:rsid w:val="00451A93"/>
    <w:rsid w:val="00451D74"/>
    <w:rsid w:val="004529A7"/>
    <w:rsid w:val="00453D2C"/>
    <w:rsid w:val="004543AB"/>
    <w:rsid w:val="004545A0"/>
    <w:rsid w:val="004549A9"/>
    <w:rsid w:val="00454D5B"/>
    <w:rsid w:val="00454E5E"/>
    <w:rsid w:val="00456585"/>
    <w:rsid w:val="004571FD"/>
    <w:rsid w:val="00457599"/>
    <w:rsid w:val="004575BF"/>
    <w:rsid w:val="00457AF3"/>
    <w:rsid w:val="0046001C"/>
    <w:rsid w:val="004603F1"/>
    <w:rsid w:val="00461303"/>
    <w:rsid w:val="00461ADF"/>
    <w:rsid w:val="00461C34"/>
    <w:rsid w:val="00461EE1"/>
    <w:rsid w:val="0046245C"/>
    <w:rsid w:val="00462E1B"/>
    <w:rsid w:val="00462F0D"/>
    <w:rsid w:val="004631FD"/>
    <w:rsid w:val="00463DA1"/>
    <w:rsid w:val="00463ECE"/>
    <w:rsid w:val="0046411C"/>
    <w:rsid w:val="00464F8A"/>
    <w:rsid w:val="00464FDA"/>
    <w:rsid w:val="00465518"/>
    <w:rsid w:val="00466812"/>
    <w:rsid w:val="00466CA4"/>
    <w:rsid w:val="00466E02"/>
    <w:rsid w:val="00467099"/>
    <w:rsid w:val="00467254"/>
    <w:rsid w:val="00467540"/>
    <w:rsid w:val="00467781"/>
    <w:rsid w:val="004678C3"/>
    <w:rsid w:val="00467EF2"/>
    <w:rsid w:val="00470028"/>
    <w:rsid w:val="0047080F"/>
    <w:rsid w:val="00470E19"/>
    <w:rsid w:val="004718E2"/>
    <w:rsid w:val="00472BD9"/>
    <w:rsid w:val="00473069"/>
    <w:rsid w:val="00473135"/>
    <w:rsid w:val="0047392F"/>
    <w:rsid w:val="00475340"/>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824"/>
    <w:rsid w:val="00493E08"/>
    <w:rsid w:val="004940ED"/>
    <w:rsid w:val="00494331"/>
    <w:rsid w:val="00494BA4"/>
    <w:rsid w:val="00494EBE"/>
    <w:rsid w:val="00495560"/>
    <w:rsid w:val="00495E07"/>
    <w:rsid w:val="004A099E"/>
    <w:rsid w:val="004A0D39"/>
    <w:rsid w:val="004A15AD"/>
    <w:rsid w:val="004A1714"/>
    <w:rsid w:val="004A1C5B"/>
    <w:rsid w:val="004A20E0"/>
    <w:rsid w:val="004A212B"/>
    <w:rsid w:val="004A21B6"/>
    <w:rsid w:val="004A21D0"/>
    <w:rsid w:val="004A26E6"/>
    <w:rsid w:val="004A3185"/>
    <w:rsid w:val="004A31E9"/>
    <w:rsid w:val="004A3235"/>
    <w:rsid w:val="004A3C31"/>
    <w:rsid w:val="004A4351"/>
    <w:rsid w:val="004A47DD"/>
    <w:rsid w:val="004A48B2"/>
    <w:rsid w:val="004A5014"/>
    <w:rsid w:val="004A5036"/>
    <w:rsid w:val="004A504E"/>
    <w:rsid w:val="004A508D"/>
    <w:rsid w:val="004A5203"/>
    <w:rsid w:val="004A5823"/>
    <w:rsid w:val="004A5AD5"/>
    <w:rsid w:val="004A6247"/>
    <w:rsid w:val="004A7204"/>
    <w:rsid w:val="004A7233"/>
    <w:rsid w:val="004A75F4"/>
    <w:rsid w:val="004A7C5D"/>
    <w:rsid w:val="004B0127"/>
    <w:rsid w:val="004B019D"/>
    <w:rsid w:val="004B27E0"/>
    <w:rsid w:val="004B2877"/>
    <w:rsid w:val="004B29F2"/>
    <w:rsid w:val="004B33AE"/>
    <w:rsid w:val="004B36BA"/>
    <w:rsid w:val="004B3FE6"/>
    <w:rsid w:val="004B4060"/>
    <w:rsid w:val="004B42AA"/>
    <w:rsid w:val="004B46ED"/>
    <w:rsid w:val="004B4AA1"/>
    <w:rsid w:val="004B4C02"/>
    <w:rsid w:val="004B5199"/>
    <w:rsid w:val="004B5434"/>
    <w:rsid w:val="004B5557"/>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1AF"/>
    <w:rsid w:val="004C430C"/>
    <w:rsid w:val="004C45EE"/>
    <w:rsid w:val="004C4B30"/>
    <w:rsid w:val="004C4B70"/>
    <w:rsid w:val="004C5151"/>
    <w:rsid w:val="004C547B"/>
    <w:rsid w:val="004C5772"/>
    <w:rsid w:val="004C5A85"/>
    <w:rsid w:val="004C63C8"/>
    <w:rsid w:val="004C6653"/>
    <w:rsid w:val="004C6957"/>
    <w:rsid w:val="004C70D2"/>
    <w:rsid w:val="004C784C"/>
    <w:rsid w:val="004C7CED"/>
    <w:rsid w:val="004D105A"/>
    <w:rsid w:val="004D13E2"/>
    <w:rsid w:val="004D1915"/>
    <w:rsid w:val="004D1A9D"/>
    <w:rsid w:val="004D3091"/>
    <w:rsid w:val="004D30C5"/>
    <w:rsid w:val="004D3DBA"/>
    <w:rsid w:val="004D51AD"/>
    <w:rsid w:val="004D549D"/>
    <w:rsid w:val="004D5CA3"/>
    <w:rsid w:val="004D6361"/>
    <w:rsid w:val="004D6AFD"/>
    <w:rsid w:val="004D6CF1"/>
    <w:rsid w:val="004D6E7B"/>
    <w:rsid w:val="004D7BE8"/>
    <w:rsid w:val="004E0697"/>
    <w:rsid w:val="004E07A2"/>
    <w:rsid w:val="004E126E"/>
    <w:rsid w:val="004E16B2"/>
    <w:rsid w:val="004E19FD"/>
    <w:rsid w:val="004E218B"/>
    <w:rsid w:val="004E2B0E"/>
    <w:rsid w:val="004E2C92"/>
    <w:rsid w:val="004E3445"/>
    <w:rsid w:val="004E474A"/>
    <w:rsid w:val="004E47DE"/>
    <w:rsid w:val="004E4B9F"/>
    <w:rsid w:val="004E5E6C"/>
    <w:rsid w:val="004E62E1"/>
    <w:rsid w:val="004E6437"/>
    <w:rsid w:val="004E6B0C"/>
    <w:rsid w:val="004E70C1"/>
    <w:rsid w:val="004F0469"/>
    <w:rsid w:val="004F068D"/>
    <w:rsid w:val="004F1C0F"/>
    <w:rsid w:val="004F1D2C"/>
    <w:rsid w:val="004F1FD4"/>
    <w:rsid w:val="004F2069"/>
    <w:rsid w:val="004F31FF"/>
    <w:rsid w:val="004F43F1"/>
    <w:rsid w:val="004F48F6"/>
    <w:rsid w:val="004F4F15"/>
    <w:rsid w:val="004F550B"/>
    <w:rsid w:val="004F6882"/>
    <w:rsid w:val="004F69C5"/>
    <w:rsid w:val="004F71FA"/>
    <w:rsid w:val="004F7351"/>
    <w:rsid w:val="004F7C33"/>
    <w:rsid w:val="00500756"/>
    <w:rsid w:val="005014A9"/>
    <w:rsid w:val="0050220E"/>
    <w:rsid w:val="00503101"/>
    <w:rsid w:val="005051A9"/>
    <w:rsid w:val="00505CD9"/>
    <w:rsid w:val="00505E54"/>
    <w:rsid w:val="005065A4"/>
    <w:rsid w:val="00507889"/>
    <w:rsid w:val="005079BC"/>
    <w:rsid w:val="005105B7"/>
    <w:rsid w:val="0051061B"/>
    <w:rsid w:val="005107E5"/>
    <w:rsid w:val="00511016"/>
    <w:rsid w:val="00511AF5"/>
    <w:rsid w:val="00512883"/>
    <w:rsid w:val="00512DED"/>
    <w:rsid w:val="00512F75"/>
    <w:rsid w:val="00513B9C"/>
    <w:rsid w:val="00513D07"/>
    <w:rsid w:val="00514368"/>
    <w:rsid w:val="00514BB4"/>
    <w:rsid w:val="00514F16"/>
    <w:rsid w:val="00515180"/>
    <w:rsid w:val="00516131"/>
    <w:rsid w:val="00516477"/>
    <w:rsid w:val="00516494"/>
    <w:rsid w:val="005169AF"/>
    <w:rsid w:val="00516EAE"/>
    <w:rsid w:val="005170B2"/>
    <w:rsid w:val="005171E3"/>
    <w:rsid w:val="005178C9"/>
    <w:rsid w:val="005205C2"/>
    <w:rsid w:val="00520851"/>
    <w:rsid w:val="00520B83"/>
    <w:rsid w:val="0052170A"/>
    <w:rsid w:val="00521E29"/>
    <w:rsid w:val="00522357"/>
    <w:rsid w:val="00522A1B"/>
    <w:rsid w:val="00522ABF"/>
    <w:rsid w:val="00522B92"/>
    <w:rsid w:val="00522EF9"/>
    <w:rsid w:val="00523032"/>
    <w:rsid w:val="005235DA"/>
    <w:rsid w:val="0052373A"/>
    <w:rsid w:val="00523843"/>
    <w:rsid w:val="00523AA8"/>
    <w:rsid w:val="00523B90"/>
    <w:rsid w:val="0052426E"/>
    <w:rsid w:val="00524572"/>
    <w:rsid w:val="00524822"/>
    <w:rsid w:val="005248E1"/>
    <w:rsid w:val="005251F3"/>
    <w:rsid w:val="005263AE"/>
    <w:rsid w:val="00526DA0"/>
    <w:rsid w:val="00526F12"/>
    <w:rsid w:val="005272BC"/>
    <w:rsid w:val="0052733E"/>
    <w:rsid w:val="00527593"/>
    <w:rsid w:val="005276B9"/>
    <w:rsid w:val="00527E73"/>
    <w:rsid w:val="0053068C"/>
    <w:rsid w:val="005313DF"/>
    <w:rsid w:val="00531442"/>
    <w:rsid w:val="00531CF2"/>
    <w:rsid w:val="00532384"/>
    <w:rsid w:val="00532475"/>
    <w:rsid w:val="005337F5"/>
    <w:rsid w:val="00533B51"/>
    <w:rsid w:val="00533BA1"/>
    <w:rsid w:val="00533FD9"/>
    <w:rsid w:val="00534379"/>
    <w:rsid w:val="00534382"/>
    <w:rsid w:val="00534CEA"/>
    <w:rsid w:val="00535526"/>
    <w:rsid w:val="0053628F"/>
    <w:rsid w:val="005366D1"/>
    <w:rsid w:val="00540A27"/>
    <w:rsid w:val="00540BF2"/>
    <w:rsid w:val="005416D6"/>
    <w:rsid w:val="005417FF"/>
    <w:rsid w:val="00541CE1"/>
    <w:rsid w:val="00542138"/>
    <w:rsid w:val="00542C65"/>
    <w:rsid w:val="005430A5"/>
    <w:rsid w:val="00543F0A"/>
    <w:rsid w:val="0054465E"/>
    <w:rsid w:val="0054549D"/>
    <w:rsid w:val="005455F5"/>
    <w:rsid w:val="00545B55"/>
    <w:rsid w:val="0054647D"/>
    <w:rsid w:val="00546BE0"/>
    <w:rsid w:val="00547C05"/>
    <w:rsid w:val="00547DEE"/>
    <w:rsid w:val="0055041E"/>
    <w:rsid w:val="00550451"/>
    <w:rsid w:val="00550D5C"/>
    <w:rsid w:val="00551407"/>
    <w:rsid w:val="00551FD6"/>
    <w:rsid w:val="0055210C"/>
    <w:rsid w:val="005521C7"/>
    <w:rsid w:val="00552B5A"/>
    <w:rsid w:val="00553402"/>
    <w:rsid w:val="00553A43"/>
    <w:rsid w:val="005544E8"/>
    <w:rsid w:val="0055466E"/>
    <w:rsid w:val="00555137"/>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ED0"/>
    <w:rsid w:val="00561F1B"/>
    <w:rsid w:val="00561F3C"/>
    <w:rsid w:val="00562173"/>
    <w:rsid w:val="00562260"/>
    <w:rsid w:val="00562441"/>
    <w:rsid w:val="005627E3"/>
    <w:rsid w:val="00563866"/>
    <w:rsid w:val="00563942"/>
    <w:rsid w:val="00563FC0"/>
    <w:rsid w:val="005643F4"/>
    <w:rsid w:val="005649CC"/>
    <w:rsid w:val="005651AD"/>
    <w:rsid w:val="005654A9"/>
    <w:rsid w:val="005658F0"/>
    <w:rsid w:val="00566226"/>
    <w:rsid w:val="00566C09"/>
    <w:rsid w:val="0056774A"/>
    <w:rsid w:val="0056776A"/>
    <w:rsid w:val="00567BED"/>
    <w:rsid w:val="00567ECB"/>
    <w:rsid w:val="00570552"/>
    <w:rsid w:val="00570AD7"/>
    <w:rsid w:val="00570C1C"/>
    <w:rsid w:val="00570FA6"/>
    <w:rsid w:val="00572199"/>
    <w:rsid w:val="005721AB"/>
    <w:rsid w:val="00572365"/>
    <w:rsid w:val="0057284F"/>
    <w:rsid w:val="005728DC"/>
    <w:rsid w:val="00572A1F"/>
    <w:rsid w:val="00573164"/>
    <w:rsid w:val="005735A5"/>
    <w:rsid w:val="00573636"/>
    <w:rsid w:val="00574B14"/>
    <w:rsid w:val="005753F5"/>
    <w:rsid w:val="005759F3"/>
    <w:rsid w:val="00575FC1"/>
    <w:rsid w:val="005763C0"/>
    <w:rsid w:val="00576657"/>
    <w:rsid w:val="005768AD"/>
    <w:rsid w:val="00576A75"/>
    <w:rsid w:val="005771D1"/>
    <w:rsid w:val="005775E0"/>
    <w:rsid w:val="0057796B"/>
    <w:rsid w:val="00577CDE"/>
    <w:rsid w:val="00577F67"/>
    <w:rsid w:val="00580128"/>
    <w:rsid w:val="005803F2"/>
    <w:rsid w:val="00580427"/>
    <w:rsid w:val="0058074D"/>
    <w:rsid w:val="00580919"/>
    <w:rsid w:val="0058139B"/>
    <w:rsid w:val="005819B3"/>
    <w:rsid w:val="00581A30"/>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2B15"/>
    <w:rsid w:val="0059335B"/>
    <w:rsid w:val="00593452"/>
    <w:rsid w:val="00593CA9"/>
    <w:rsid w:val="005941FD"/>
    <w:rsid w:val="00594769"/>
    <w:rsid w:val="00595856"/>
    <w:rsid w:val="0059678F"/>
    <w:rsid w:val="00596972"/>
    <w:rsid w:val="00596BBA"/>
    <w:rsid w:val="005973FC"/>
    <w:rsid w:val="00597947"/>
    <w:rsid w:val="005A073F"/>
    <w:rsid w:val="005A0929"/>
    <w:rsid w:val="005A0A96"/>
    <w:rsid w:val="005A10CA"/>
    <w:rsid w:val="005A1558"/>
    <w:rsid w:val="005A221E"/>
    <w:rsid w:val="005A25C9"/>
    <w:rsid w:val="005A25F0"/>
    <w:rsid w:val="005A2620"/>
    <w:rsid w:val="005A2946"/>
    <w:rsid w:val="005A3587"/>
    <w:rsid w:val="005A3A67"/>
    <w:rsid w:val="005A4456"/>
    <w:rsid w:val="005A4BA6"/>
    <w:rsid w:val="005A577B"/>
    <w:rsid w:val="005A5E6A"/>
    <w:rsid w:val="005A67F3"/>
    <w:rsid w:val="005A6E74"/>
    <w:rsid w:val="005A716C"/>
    <w:rsid w:val="005A75BA"/>
    <w:rsid w:val="005A785C"/>
    <w:rsid w:val="005A7AE9"/>
    <w:rsid w:val="005A7B34"/>
    <w:rsid w:val="005B0195"/>
    <w:rsid w:val="005B0811"/>
    <w:rsid w:val="005B087A"/>
    <w:rsid w:val="005B0970"/>
    <w:rsid w:val="005B0DF3"/>
    <w:rsid w:val="005B1010"/>
    <w:rsid w:val="005B10D0"/>
    <w:rsid w:val="005B1BA2"/>
    <w:rsid w:val="005B1C48"/>
    <w:rsid w:val="005B1F8E"/>
    <w:rsid w:val="005B20D0"/>
    <w:rsid w:val="005B2A5C"/>
    <w:rsid w:val="005B2EFE"/>
    <w:rsid w:val="005B33CE"/>
    <w:rsid w:val="005B34FB"/>
    <w:rsid w:val="005B37F1"/>
    <w:rsid w:val="005B4016"/>
    <w:rsid w:val="005B4056"/>
    <w:rsid w:val="005B446D"/>
    <w:rsid w:val="005B5CCA"/>
    <w:rsid w:val="005B69C7"/>
    <w:rsid w:val="005B7021"/>
    <w:rsid w:val="005B72F4"/>
    <w:rsid w:val="005B73A8"/>
    <w:rsid w:val="005C0F48"/>
    <w:rsid w:val="005C1171"/>
    <w:rsid w:val="005C214D"/>
    <w:rsid w:val="005C2351"/>
    <w:rsid w:val="005C321D"/>
    <w:rsid w:val="005C36FA"/>
    <w:rsid w:val="005C3B04"/>
    <w:rsid w:val="005C3B83"/>
    <w:rsid w:val="005C4839"/>
    <w:rsid w:val="005C5353"/>
    <w:rsid w:val="005C54F0"/>
    <w:rsid w:val="005C5DEF"/>
    <w:rsid w:val="005C618F"/>
    <w:rsid w:val="005C6217"/>
    <w:rsid w:val="005C76D7"/>
    <w:rsid w:val="005C7C27"/>
    <w:rsid w:val="005D07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725"/>
    <w:rsid w:val="005E4884"/>
    <w:rsid w:val="005E4B59"/>
    <w:rsid w:val="005E4B64"/>
    <w:rsid w:val="005E4C18"/>
    <w:rsid w:val="005E4C35"/>
    <w:rsid w:val="005E5481"/>
    <w:rsid w:val="005E562F"/>
    <w:rsid w:val="005E6375"/>
    <w:rsid w:val="005E6682"/>
    <w:rsid w:val="005E684E"/>
    <w:rsid w:val="005E6E40"/>
    <w:rsid w:val="005E7DD1"/>
    <w:rsid w:val="005F0D24"/>
    <w:rsid w:val="005F0F58"/>
    <w:rsid w:val="005F15EF"/>
    <w:rsid w:val="005F1887"/>
    <w:rsid w:val="005F21D2"/>
    <w:rsid w:val="005F22AD"/>
    <w:rsid w:val="005F248C"/>
    <w:rsid w:val="005F2875"/>
    <w:rsid w:val="005F29D6"/>
    <w:rsid w:val="005F2DC3"/>
    <w:rsid w:val="005F2DE1"/>
    <w:rsid w:val="005F3CEB"/>
    <w:rsid w:val="005F3E14"/>
    <w:rsid w:val="005F4267"/>
    <w:rsid w:val="005F46E5"/>
    <w:rsid w:val="005F4EC3"/>
    <w:rsid w:val="005F4F40"/>
    <w:rsid w:val="005F5194"/>
    <w:rsid w:val="005F5575"/>
    <w:rsid w:val="005F5ADF"/>
    <w:rsid w:val="005F5B27"/>
    <w:rsid w:val="005F6045"/>
    <w:rsid w:val="005F628F"/>
    <w:rsid w:val="005F6EEC"/>
    <w:rsid w:val="005F72A6"/>
    <w:rsid w:val="005F7D5B"/>
    <w:rsid w:val="005F7D80"/>
    <w:rsid w:val="0060004E"/>
    <w:rsid w:val="00600136"/>
    <w:rsid w:val="006001F4"/>
    <w:rsid w:val="006005EE"/>
    <w:rsid w:val="0060123E"/>
    <w:rsid w:val="00601D2E"/>
    <w:rsid w:val="00601E68"/>
    <w:rsid w:val="00602689"/>
    <w:rsid w:val="0060282E"/>
    <w:rsid w:val="00602F78"/>
    <w:rsid w:val="006033E3"/>
    <w:rsid w:val="00603759"/>
    <w:rsid w:val="006044FC"/>
    <w:rsid w:val="00604A2C"/>
    <w:rsid w:val="00604C9F"/>
    <w:rsid w:val="00604DEC"/>
    <w:rsid w:val="00605034"/>
    <w:rsid w:val="006051E6"/>
    <w:rsid w:val="00605224"/>
    <w:rsid w:val="00605933"/>
    <w:rsid w:val="006060E9"/>
    <w:rsid w:val="00606B1F"/>
    <w:rsid w:val="00606C0F"/>
    <w:rsid w:val="006072B6"/>
    <w:rsid w:val="0060738D"/>
    <w:rsid w:val="00607F7E"/>
    <w:rsid w:val="006107F6"/>
    <w:rsid w:val="00611598"/>
    <w:rsid w:val="006125F4"/>
    <w:rsid w:val="00612616"/>
    <w:rsid w:val="00612E56"/>
    <w:rsid w:val="0061340F"/>
    <w:rsid w:val="006137C9"/>
    <w:rsid w:val="006139E3"/>
    <w:rsid w:val="00613A32"/>
    <w:rsid w:val="00613FA7"/>
    <w:rsid w:val="006153AB"/>
    <w:rsid w:val="00615B84"/>
    <w:rsid w:val="00615F04"/>
    <w:rsid w:val="00616C21"/>
    <w:rsid w:val="00616F8E"/>
    <w:rsid w:val="006172B6"/>
    <w:rsid w:val="00617571"/>
    <w:rsid w:val="00617CF9"/>
    <w:rsid w:val="006204F3"/>
    <w:rsid w:val="006206DD"/>
    <w:rsid w:val="00620DA9"/>
    <w:rsid w:val="00621A38"/>
    <w:rsid w:val="00621FBF"/>
    <w:rsid w:val="00622F78"/>
    <w:rsid w:val="0062311A"/>
    <w:rsid w:val="00623155"/>
    <w:rsid w:val="006231BB"/>
    <w:rsid w:val="00623D2E"/>
    <w:rsid w:val="00624A9F"/>
    <w:rsid w:val="00624D9D"/>
    <w:rsid w:val="00625073"/>
    <w:rsid w:val="00625736"/>
    <w:rsid w:val="00625AAF"/>
    <w:rsid w:val="00625F7A"/>
    <w:rsid w:val="006260AB"/>
    <w:rsid w:val="00626128"/>
    <w:rsid w:val="00627563"/>
    <w:rsid w:val="006278B9"/>
    <w:rsid w:val="00627A55"/>
    <w:rsid w:val="00627D01"/>
    <w:rsid w:val="00630204"/>
    <w:rsid w:val="0063044C"/>
    <w:rsid w:val="00630B64"/>
    <w:rsid w:val="00630DF7"/>
    <w:rsid w:val="00630F66"/>
    <w:rsid w:val="00630FB8"/>
    <w:rsid w:val="0063143E"/>
    <w:rsid w:val="0063160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274D"/>
    <w:rsid w:val="00643AF6"/>
    <w:rsid w:val="00643B07"/>
    <w:rsid w:val="00644D88"/>
    <w:rsid w:val="00644F38"/>
    <w:rsid w:val="0064502D"/>
    <w:rsid w:val="00645F06"/>
    <w:rsid w:val="00645F28"/>
    <w:rsid w:val="00646E28"/>
    <w:rsid w:val="0064703A"/>
    <w:rsid w:val="006475D0"/>
    <w:rsid w:val="00647C11"/>
    <w:rsid w:val="00647F52"/>
    <w:rsid w:val="00650527"/>
    <w:rsid w:val="00650B3E"/>
    <w:rsid w:val="00650FC1"/>
    <w:rsid w:val="006520C5"/>
    <w:rsid w:val="0065228F"/>
    <w:rsid w:val="006522B0"/>
    <w:rsid w:val="00652678"/>
    <w:rsid w:val="00652B2C"/>
    <w:rsid w:val="0065450B"/>
    <w:rsid w:val="00654623"/>
    <w:rsid w:val="00654BAD"/>
    <w:rsid w:val="00654D3D"/>
    <w:rsid w:val="006553DC"/>
    <w:rsid w:val="00655794"/>
    <w:rsid w:val="00655D86"/>
    <w:rsid w:val="0065759A"/>
    <w:rsid w:val="00660133"/>
    <w:rsid w:val="006609C0"/>
    <w:rsid w:val="00660F77"/>
    <w:rsid w:val="006621E9"/>
    <w:rsid w:val="0066229E"/>
    <w:rsid w:val="0066269A"/>
    <w:rsid w:val="006637CB"/>
    <w:rsid w:val="00663B58"/>
    <w:rsid w:val="00663BEC"/>
    <w:rsid w:val="00664A72"/>
    <w:rsid w:val="00664B6C"/>
    <w:rsid w:val="00664D3D"/>
    <w:rsid w:val="006656BE"/>
    <w:rsid w:val="00666B78"/>
    <w:rsid w:val="00667269"/>
    <w:rsid w:val="006672AD"/>
    <w:rsid w:val="006677D7"/>
    <w:rsid w:val="00670E02"/>
    <w:rsid w:val="00670EEA"/>
    <w:rsid w:val="0067116B"/>
    <w:rsid w:val="006712D4"/>
    <w:rsid w:val="006713AF"/>
    <w:rsid w:val="00671B43"/>
    <w:rsid w:val="00671DDA"/>
    <w:rsid w:val="00672845"/>
    <w:rsid w:val="00672B23"/>
    <w:rsid w:val="00672FE3"/>
    <w:rsid w:val="0067338A"/>
    <w:rsid w:val="00673BB8"/>
    <w:rsid w:val="00673D39"/>
    <w:rsid w:val="00673F2B"/>
    <w:rsid w:val="0067431F"/>
    <w:rsid w:val="006749AF"/>
    <w:rsid w:val="00674D78"/>
    <w:rsid w:val="006756C6"/>
    <w:rsid w:val="00676937"/>
    <w:rsid w:val="00676D3D"/>
    <w:rsid w:val="00677620"/>
    <w:rsid w:val="00677622"/>
    <w:rsid w:val="006776BD"/>
    <w:rsid w:val="00677B3F"/>
    <w:rsid w:val="0068004E"/>
    <w:rsid w:val="00681774"/>
    <w:rsid w:val="00681FC4"/>
    <w:rsid w:val="00682049"/>
    <w:rsid w:val="0068233B"/>
    <w:rsid w:val="0068315A"/>
    <w:rsid w:val="006834F0"/>
    <w:rsid w:val="0068387E"/>
    <w:rsid w:val="006838B6"/>
    <w:rsid w:val="00683904"/>
    <w:rsid w:val="00683E6D"/>
    <w:rsid w:val="006840BA"/>
    <w:rsid w:val="006842A5"/>
    <w:rsid w:val="006844D3"/>
    <w:rsid w:val="006846CE"/>
    <w:rsid w:val="00685405"/>
    <w:rsid w:val="006857A7"/>
    <w:rsid w:val="00686D2E"/>
    <w:rsid w:val="00687ACE"/>
    <w:rsid w:val="00690700"/>
    <w:rsid w:val="0069102A"/>
    <w:rsid w:val="00691445"/>
    <w:rsid w:val="00693263"/>
    <w:rsid w:val="00693296"/>
    <w:rsid w:val="006936EA"/>
    <w:rsid w:val="0069400F"/>
    <w:rsid w:val="00695789"/>
    <w:rsid w:val="00695976"/>
    <w:rsid w:val="006960F1"/>
    <w:rsid w:val="00696229"/>
    <w:rsid w:val="006963CB"/>
    <w:rsid w:val="00696D9D"/>
    <w:rsid w:val="00697587"/>
    <w:rsid w:val="00697666"/>
    <w:rsid w:val="00697CC0"/>
    <w:rsid w:val="00697E72"/>
    <w:rsid w:val="006A0CAC"/>
    <w:rsid w:val="006A0CC1"/>
    <w:rsid w:val="006A161A"/>
    <w:rsid w:val="006A24A6"/>
    <w:rsid w:val="006A24AC"/>
    <w:rsid w:val="006A29E7"/>
    <w:rsid w:val="006A2AA7"/>
    <w:rsid w:val="006A2AB8"/>
    <w:rsid w:val="006A2C7E"/>
    <w:rsid w:val="006A41E6"/>
    <w:rsid w:val="006A485B"/>
    <w:rsid w:val="006A4958"/>
    <w:rsid w:val="006A52A2"/>
    <w:rsid w:val="006A58D8"/>
    <w:rsid w:val="006A5C36"/>
    <w:rsid w:val="006A5DD7"/>
    <w:rsid w:val="006A6626"/>
    <w:rsid w:val="006A7C1E"/>
    <w:rsid w:val="006A7CFC"/>
    <w:rsid w:val="006A7EB0"/>
    <w:rsid w:val="006B057C"/>
    <w:rsid w:val="006B0671"/>
    <w:rsid w:val="006B0EE8"/>
    <w:rsid w:val="006B108A"/>
    <w:rsid w:val="006B1D87"/>
    <w:rsid w:val="006B2034"/>
    <w:rsid w:val="006B2798"/>
    <w:rsid w:val="006B2831"/>
    <w:rsid w:val="006B2ADA"/>
    <w:rsid w:val="006B2C1E"/>
    <w:rsid w:val="006B2DB9"/>
    <w:rsid w:val="006B3B43"/>
    <w:rsid w:val="006B49D7"/>
    <w:rsid w:val="006B4B48"/>
    <w:rsid w:val="006B505F"/>
    <w:rsid w:val="006B53B7"/>
    <w:rsid w:val="006B60D9"/>
    <w:rsid w:val="006B6423"/>
    <w:rsid w:val="006B6960"/>
    <w:rsid w:val="006B7830"/>
    <w:rsid w:val="006B78F8"/>
    <w:rsid w:val="006C02A6"/>
    <w:rsid w:val="006C1952"/>
    <w:rsid w:val="006C23AF"/>
    <w:rsid w:val="006C2C44"/>
    <w:rsid w:val="006C2DC7"/>
    <w:rsid w:val="006C319C"/>
    <w:rsid w:val="006C3280"/>
    <w:rsid w:val="006C46EF"/>
    <w:rsid w:val="006C474A"/>
    <w:rsid w:val="006C4A2C"/>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49E"/>
    <w:rsid w:val="006D3F66"/>
    <w:rsid w:val="006D435F"/>
    <w:rsid w:val="006D4CFE"/>
    <w:rsid w:val="006D4DBE"/>
    <w:rsid w:val="006D5A43"/>
    <w:rsid w:val="006D5F81"/>
    <w:rsid w:val="006D5FD1"/>
    <w:rsid w:val="006D6152"/>
    <w:rsid w:val="006D6FA1"/>
    <w:rsid w:val="006D791C"/>
    <w:rsid w:val="006E04D1"/>
    <w:rsid w:val="006E057B"/>
    <w:rsid w:val="006E0CD7"/>
    <w:rsid w:val="006E10D1"/>
    <w:rsid w:val="006E16C9"/>
    <w:rsid w:val="006E25AE"/>
    <w:rsid w:val="006E26B9"/>
    <w:rsid w:val="006E2A54"/>
    <w:rsid w:val="006E3938"/>
    <w:rsid w:val="006E4B16"/>
    <w:rsid w:val="006E55ED"/>
    <w:rsid w:val="006E6431"/>
    <w:rsid w:val="006E6612"/>
    <w:rsid w:val="006E675C"/>
    <w:rsid w:val="006E6A8B"/>
    <w:rsid w:val="006E72A1"/>
    <w:rsid w:val="006E78E8"/>
    <w:rsid w:val="006E7C2B"/>
    <w:rsid w:val="006E7C6A"/>
    <w:rsid w:val="006E7ED9"/>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5E02"/>
    <w:rsid w:val="006F5F0A"/>
    <w:rsid w:val="006F63B7"/>
    <w:rsid w:val="006F6FFC"/>
    <w:rsid w:val="006F74C5"/>
    <w:rsid w:val="006F7C76"/>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288"/>
    <w:rsid w:val="00716C54"/>
    <w:rsid w:val="00717064"/>
    <w:rsid w:val="0071752E"/>
    <w:rsid w:val="0071796D"/>
    <w:rsid w:val="0072189C"/>
    <w:rsid w:val="007218BA"/>
    <w:rsid w:val="00723BD9"/>
    <w:rsid w:val="00723FD3"/>
    <w:rsid w:val="007241A8"/>
    <w:rsid w:val="00724299"/>
    <w:rsid w:val="00724E3A"/>
    <w:rsid w:val="007250AF"/>
    <w:rsid w:val="007250F3"/>
    <w:rsid w:val="007255D0"/>
    <w:rsid w:val="00725BD5"/>
    <w:rsid w:val="00725FC0"/>
    <w:rsid w:val="00726102"/>
    <w:rsid w:val="00726587"/>
    <w:rsid w:val="00727AF6"/>
    <w:rsid w:val="0073076E"/>
    <w:rsid w:val="00730A33"/>
    <w:rsid w:val="00730B52"/>
    <w:rsid w:val="00730F23"/>
    <w:rsid w:val="007310CB"/>
    <w:rsid w:val="00731B40"/>
    <w:rsid w:val="00732070"/>
    <w:rsid w:val="0073215F"/>
    <w:rsid w:val="00732D93"/>
    <w:rsid w:val="0073326C"/>
    <w:rsid w:val="00733346"/>
    <w:rsid w:val="0073357B"/>
    <w:rsid w:val="007335A5"/>
    <w:rsid w:val="00733726"/>
    <w:rsid w:val="0073395C"/>
    <w:rsid w:val="00734730"/>
    <w:rsid w:val="0073497E"/>
    <w:rsid w:val="00734AE6"/>
    <w:rsid w:val="00734C45"/>
    <w:rsid w:val="00735676"/>
    <w:rsid w:val="00735908"/>
    <w:rsid w:val="00735D25"/>
    <w:rsid w:val="00737335"/>
    <w:rsid w:val="00737B43"/>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693"/>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42A"/>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26B"/>
    <w:rsid w:val="00764919"/>
    <w:rsid w:val="00764D29"/>
    <w:rsid w:val="00765796"/>
    <w:rsid w:val="00766B8A"/>
    <w:rsid w:val="00766D44"/>
    <w:rsid w:val="00766DE5"/>
    <w:rsid w:val="00766E1A"/>
    <w:rsid w:val="00767572"/>
    <w:rsid w:val="00767752"/>
    <w:rsid w:val="0077011F"/>
    <w:rsid w:val="007701D7"/>
    <w:rsid w:val="00770643"/>
    <w:rsid w:val="0077071F"/>
    <w:rsid w:val="00771E1D"/>
    <w:rsid w:val="007722B2"/>
    <w:rsid w:val="0077280E"/>
    <w:rsid w:val="0077284B"/>
    <w:rsid w:val="0077321F"/>
    <w:rsid w:val="0077374D"/>
    <w:rsid w:val="007754D8"/>
    <w:rsid w:val="007763AA"/>
    <w:rsid w:val="00776A8B"/>
    <w:rsid w:val="0077789E"/>
    <w:rsid w:val="00780210"/>
    <w:rsid w:val="00780582"/>
    <w:rsid w:val="0078138B"/>
    <w:rsid w:val="00781E64"/>
    <w:rsid w:val="00782109"/>
    <w:rsid w:val="007826CB"/>
    <w:rsid w:val="00782C9A"/>
    <w:rsid w:val="00782D54"/>
    <w:rsid w:val="00783314"/>
    <w:rsid w:val="007833A8"/>
    <w:rsid w:val="007837E8"/>
    <w:rsid w:val="007838F2"/>
    <w:rsid w:val="00785436"/>
    <w:rsid w:val="00785469"/>
    <w:rsid w:val="00785BAE"/>
    <w:rsid w:val="007862B1"/>
    <w:rsid w:val="00786520"/>
    <w:rsid w:val="0078749D"/>
    <w:rsid w:val="00787BE8"/>
    <w:rsid w:val="00787CF8"/>
    <w:rsid w:val="0079079B"/>
    <w:rsid w:val="00790836"/>
    <w:rsid w:val="00790D2F"/>
    <w:rsid w:val="007910C1"/>
    <w:rsid w:val="007916D2"/>
    <w:rsid w:val="0079176D"/>
    <w:rsid w:val="00791841"/>
    <w:rsid w:val="00792211"/>
    <w:rsid w:val="00793198"/>
    <w:rsid w:val="007938CC"/>
    <w:rsid w:val="00794113"/>
    <w:rsid w:val="00794CB7"/>
    <w:rsid w:val="00794D7D"/>
    <w:rsid w:val="00794FB7"/>
    <w:rsid w:val="00795283"/>
    <w:rsid w:val="00795791"/>
    <w:rsid w:val="00795D19"/>
    <w:rsid w:val="007966A0"/>
    <w:rsid w:val="007967F5"/>
    <w:rsid w:val="0079692B"/>
    <w:rsid w:val="00796989"/>
    <w:rsid w:val="0079708A"/>
    <w:rsid w:val="0079722E"/>
    <w:rsid w:val="007973E2"/>
    <w:rsid w:val="00797511"/>
    <w:rsid w:val="007976B5"/>
    <w:rsid w:val="007979E2"/>
    <w:rsid w:val="00797BB8"/>
    <w:rsid w:val="007A02F0"/>
    <w:rsid w:val="007A06F1"/>
    <w:rsid w:val="007A1A24"/>
    <w:rsid w:val="007A1C16"/>
    <w:rsid w:val="007A1D95"/>
    <w:rsid w:val="007A281E"/>
    <w:rsid w:val="007A3175"/>
    <w:rsid w:val="007A350B"/>
    <w:rsid w:val="007A41F1"/>
    <w:rsid w:val="007A472F"/>
    <w:rsid w:val="007A4826"/>
    <w:rsid w:val="007A4916"/>
    <w:rsid w:val="007A4D61"/>
    <w:rsid w:val="007A632E"/>
    <w:rsid w:val="007A79C7"/>
    <w:rsid w:val="007A7C37"/>
    <w:rsid w:val="007B0848"/>
    <w:rsid w:val="007B0A84"/>
    <w:rsid w:val="007B0C81"/>
    <w:rsid w:val="007B133A"/>
    <w:rsid w:val="007B1E9C"/>
    <w:rsid w:val="007B234E"/>
    <w:rsid w:val="007B3159"/>
    <w:rsid w:val="007B427C"/>
    <w:rsid w:val="007B4882"/>
    <w:rsid w:val="007B4A12"/>
    <w:rsid w:val="007B4D1A"/>
    <w:rsid w:val="007B58F5"/>
    <w:rsid w:val="007B5A38"/>
    <w:rsid w:val="007B71CE"/>
    <w:rsid w:val="007B7D6F"/>
    <w:rsid w:val="007C0C4D"/>
    <w:rsid w:val="007C1842"/>
    <w:rsid w:val="007C207A"/>
    <w:rsid w:val="007C2139"/>
    <w:rsid w:val="007C22F2"/>
    <w:rsid w:val="007C257E"/>
    <w:rsid w:val="007C2596"/>
    <w:rsid w:val="007C3028"/>
    <w:rsid w:val="007C383D"/>
    <w:rsid w:val="007C500D"/>
    <w:rsid w:val="007C5023"/>
    <w:rsid w:val="007C5426"/>
    <w:rsid w:val="007C5FFC"/>
    <w:rsid w:val="007C63D6"/>
    <w:rsid w:val="007C668A"/>
    <w:rsid w:val="007C6F56"/>
    <w:rsid w:val="007C744B"/>
    <w:rsid w:val="007C7F97"/>
    <w:rsid w:val="007D08C3"/>
    <w:rsid w:val="007D1260"/>
    <w:rsid w:val="007D1C8A"/>
    <w:rsid w:val="007D298E"/>
    <w:rsid w:val="007D2A0B"/>
    <w:rsid w:val="007D2C24"/>
    <w:rsid w:val="007D2D77"/>
    <w:rsid w:val="007D302A"/>
    <w:rsid w:val="007D31CF"/>
    <w:rsid w:val="007D3778"/>
    <w:rsid w:val="007D3B6D"/>
    <w:rsid w:val="007D419E"/>
    <w:rsid w:val="007D4553"/>
    <w:rsid w:val="007D5613"/>
    <w:rsid w:val="007D56F0"/>
    <w:rsid w:val="007D5B63"/>
    <w:rsid w:val="007D5C11"/>
    <w:rsid w:val="007D6E17"/>
    <w:rsid w:val="007D7F0E"/>
    <w:rsid w:val="007E13EB"/>
    <w:rsid w:val="007E20D9"/>
    <w:rsid w:val="007E25BE"/>
    <w:rsid w:val="007E27D8"/>
    <w:rsid w:val="007E2FA7"/>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6CBD"/>
    <w:rsid w:val="007E7D03"/>
    <w:rsid w:val="007E7E41"/>
    <w:rsid w:val="007F0E86"/>
    <w:rsid w:val="007F0F5B"/>
    <w:rsid w:val="007F20B9"/>
    <w:rsid w:val="007F2707"/>
    <w:rsid w:val="007F2B54"/>
    <w:rsid w:val="007F2CD5"/>
    <w:rsid w:val="007F4058"/>
    <w:rsid w:val="007F43EF"/>
    <w:rsid w:val="007F4D78"/>
    <w:rsid w:val="007F5D10"/>
    <w:rsid w:val="007F6008"/>
    <w:rsid w:val="007F6520"/>
    <w:rsid w:val="007F6D94"/>
    <w:rsid w:val="007F7BC4"/>
    <w:rsid w:val="0080016A"/>
    <w:rsid w:val="008010EC"/>
    <w:rsid w:val="00801471"/>
    <w:rsid w:val="00801622"/>
    <w:rsid w:val="0080165B"/>
    <w:rsid w:val="008018B1"/>
    <w:rsid w:val="00801B94"/>
    <w:rsid w:val="00801C6C"/>
    <w:rsid w:val="0080238A"/>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06"/>
    <w:rsid w:val="008130A6"/>
    <w:rsid w:val="00813532"/>
    <w:rsid w:val="008135F9"/>
    <w:rsid w:val="00813908"/>
    <w:rsid w:val="00813EAE"/>
    <w:rsid w:val="0081479D"/>
    <w:rsid w:val="00814923"/>
    <w:rsid w:val="00815322"/>
    <w:rsid w:val="008155DB"/>
    <w:rsid w:val="00815A7D"/>
    <w:rsid w:val="008160A5"/>
    <w:rsid w:val="0081628A"/>
    <w:rsid w:val="008165FB"/>
    <w:rsid w:val="0081673E"/>
    <w:rsid w:val="00816784"/>
    <w:rsid w:val="00816C15"/>
    <w:rsid w:val="00816F82"/>
    <w:rsid w:val="00820469"/>
    <w:rsid w:val="00820CB4"/>
    <w:rsid w:val="00820EF2"/>
    <w:rsid w:val="008219AC"/>
    <w:rsid w:val="00821DF0"/>
    <w:rsid w:val="008228FE"/>
    <w:rsid w:val="00823A0F"/>
    <w:rsid w:val="00823AB6"/>
    <w:rsid w:val="00823BDB"/>
    <w:rsid w:val="00824291"/>
    <w:rsid w:val="008243A5"/>
    <w:rsid w:val="0082471B"/>
    <w:rsid w:val="00824A9D"/>
    <w:rsid w:val="00824DBF"/>
    <w:rsid w:val="008253A9"/>
    <w:rsid w:val="00826426"/>
    <w:rsid w:val="00826B15"/>
    <w:rsid w:val="008272E2"/>
    <w:rsid w:val="00827473"/>
    <w:rsid w:val="008278C0"/>
    <w:rsid w:val="00827C16"/>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128"/>
    <w:rsid w:val="008476E7"/>
    <w:rsid w:val="00847A45"/>
    <w:rsid w:val="00847E70"/>
    <w:rsid w:val="00850A53"/>
    <w:rsid w:val="00850B62"/>
    <w:rsid w:val="0085196F"/>
    <w:rsid w:val="00851AB6"/>
    <w:rsid w:val="00852D16"/>
    <w:rsid w:val="00852D1F"/>
    <w:rsid w:val="00852F27"/>
    <w:rsid w:val="00853A4C"/>
    <w:rsid w:val="008546AA"/>
    <w:rsid w:val="008549C4"/>
    <w:rsid w:val="00854A4E"/>
    <w:rsid w:val="00854E0B"/>
    <w:rsid w:val="00856CDB"/>
    <w:rsid w:val="00860141"/>
    <w:rsid w:val="00860CDC"/>
    <w:rsid w:val="00862013"/>
    <w:rsid w:val="00862254"/>
    <w:rsid w:val="0086238E"/>
    <w:rsid w:val="0086299B"/>
    <w:rsid w:val="00862DA4"/>
    <w:rsid w:val="00863046"/>
    <w:rsid w:val="00863432"/>
    <w:rsid w:val="00863CCE"/>
    <w:rsid w:val="00863E28"/>
    <w:rsid w:val="0086487F"/>
    <w:rsid w:val="00864C7F"/>
    <w:rsid w:val="00864D67"/>
    <w:rsid w:val="00864FAF"/>
    <w:rsid w:val="008657D1"/>
    <w:rsid w:val="00865B37"/>
    <w:rsid w:val="0086603F"/>
    <w:rsid w:val="00866060"/>
    <w:rsid w:val="00866AB4"/>
    <w:rsid w:val="00866E65"/>
    <w:rsid w:val="00867367"/>
    <w:rsid w:val="00867A99"/>
    <w:rsid w:val="00867D10"/>
    <w:rsid w:val="00870437"/>
    <w:rsid w:val="00870518"/>
    <w:rsid w:val="00871010"/>
    <w:rsid w:val="0087143C"/>
    <w:rsid w:val="008725BF"/>
    <w:rsid w:val="00873205"/>
    <w:rsid w:val="00873340"/>
    <w:rsid w:val="008734B7"/>
    <w:rsid w:val="00873969"/>
    <w:rsid w:val="00873F8B"/>
    <w:rsid w:val="0087427B"/>
    <w:rsid w:val="00874538"/>
    <w:rsid w:val="0087493E"/>
    <w:rsid w:val="00874E0C"/>
    <w:rsid w:val="00875638"/>
    <w:rsid w:val="00875854"/>
    <w:rsid w:val="0087586E"/>
    <w:rsid w:val="00875A24"/>
    <w:rsid w:val="008765F7"/>
    <w:rsid w:val="00876B11"/>
    <w:rsid w:val="00877335"/>
    <w:rsid w:val="008811B1"/>
    <w:rsid w:val="00881514"/>
    <w:rsid w:val="0088223A"/>
    <w:rsid w:val="008837EF"/>
    <w:rsid w:val="0088455A"/>
    <w:rsid w:val="00884873"/>
    <w:rsid w:val="00884E1D"/>
    <w:rsid w:val="00885370"/>
    <w:rsid w:val="00885C43"/>
    <w:rsid w:val="00885F8E"/>
    <w:rsid w:val="00886B50"/>
    <w:rsid w:val="00886DEA"/>
    <w:rsid w:val="00886FEC"/>
    <w:rsid w:val="00887331"/>
    <w:rsid w:val="00890290"/>
    <w:rsid w:val="008903C4"/>
    <w:rsid w:val="00890A75"/>
    <w:rsid w:val="00890B57"/>
    <w:rsid w:val="00891AF7"/>
    <w:rsid w:val="00891C3A"/>
    <w:rsid w:val="00891DE7"/>
    <w:rsid w:val="00891F2A"/>
    <w:rsid w:val="00892D38"/>
    <w:rsid w:val="008933B2"/>
    <w:rsid w:val="00894AAA"/>
    <w:rsid w:val="00894FCF"/>
    <w:rsid w:val="00895239"/>
    <w:rsid w:val="008955AF"/>
    <w:rsid w:val="00895D96"/>
    <w:rsid w:val="008967BE"/>
    <w:rsid w:val="00896B9B"/>
    <w:rsid w:val="008977D7"/>
    <w:rsid w:val="00897C35"/>
    <w:rsid w:val="008A0A4C"/>
    <w:rsid w:val="008A0C42"/>
    <w:rsid w:val="008A0CAD"/>
    <w:rsid w:val="008A0CE2"/>
    <w:rsid w:val="008A1406"/>
    <w:rsid w:val="008A16A9"/>
    <w:rsid w:val="008A16D6"/>
    <w:rsid w:val="008A19D8"/>
    <w:rsid w:val="008A209B"/>
    <w:rsid w:val="008A238D"/>
    <w:rsid w:val="008A2514"/>
    <w:rsid w:val="008A2A13"/>
    <w:rsid w:val="008A2A76"/>
    <w:rsid w:val="008A2A8B"/>
    <w:rsid w:val="008A327A"/>
    <w:rsid w:val="008A3C67"/>
    <w:rsid w:val="008A4014"/>
    <w:rsid w:val="008A4642"/>
    <w:rsid w:val="008A4A10"/>
    <w:rsid w:val="008A4AE3"/>
    <w:rsid w:val="008A4B0D"/>
    <w:rsid w:val="008A4DC3"/>
    <w:rsid w:val="008A4EBC"/>
    <w:rsid w:val="008A4EEE"/>
    <w:rsid w:val="008A57D3"/>
    <w:rsid w:val="008A5903"/>
    <w:rsid w:val="008A5BA1"/>
    <w:rsid w:val="008A693C"/>
    <w:rsid w:val="008A6C58"/>
    <w:rsid w:val="008A6F32"/>
    <w:rsid w:val="008A6FF5"/>
    <w:rsid w:val="008A769D"/>
    <w:rsid w:val="008B1065"/>
    <w:rsid w:val="008B111D"/>
    <w:rsid w:val="008B1B1E"/>
    <w:rsid w:val="008B24F9"/>
    <w:rsid w:val="008B3545"/>
    <w:rsid w:val="008B35A7"/>
    <w:rsid w:val="008B4CC9"/>
    <w:rsid w:val="008B59C3"/>
    <w:rsid w:val="008B61D6"/>
    <w:rsid w:val="008B684D"/>
    <w:rsid w:val="008B69DF"/>
    <w:rsid w:val="008B7A03"/>
    <w:rsid w:val="008B7BFA"/>
    <w:rsid w:val="008C0444"/>
    <w:rsid w:val="008C04FE"/>
    <w:rsid w:val="008C0B28"/>
    <w:rsid w:val="008C0B6D"/>
    <w:rsid w:val="008C0B7C"/>
    <w:rsid w:val="008C0D89"/>
    <w:rsid w:val="008C1770"/>
    <w:rsid w:val="008C1CF8"/>
    <w:rsid w:val="008C22DA"/>
    <w:rsid w:val="008C2652"/>
    <w:rsid w:val="008C26C2"/>
    <w:rsid w:val="008C29CE"/>
    <w:rsid w:val="008C2B48"/>
    <w:rsid w:val="008C2C76"/>
    <w:rsid w:val="008C2EB1"/>
    <w:rsid w:val="008C2F52"/>
    <w:rsid w:val="008C30F6"/>
    <w:rsid w:val="008C3D5C"/>
    <w:rsid w:val="008C3F1C"/>
    <w:rsid w:val="008C4417"/>
    <w:rsid w:val="008C4B93"/>
    <w:rsid w:val="008C5C83"/>
    <w:rsid w:val="008C5E5B"/>
    <w:rsid w:val="008C6FEC"/>
    <w:rsid w:val="008C762C"/>
    <w:rsid w:val="008C76AE"/>
    <w:rsid w:val="008C7A13"/>
    <w:rsid w:val="008C7EA7"/>
    <w:rsid w:val="008D04B3"/>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A6B"/>
    <w:rsid w:val="008D7B8B"/>
    <w:rsid w:val="008D7BDF"/>
    <w:rsid w:val="008D7C69"/>
    <w:rsid w:val="008D7E7A"/>
    <w:rsid w:val="008E02CC"/>
    <w:rsid w:val="008E053E"/>
    <w:rsid w:val="008E06DE"/>
    <w:rsid w:val="008E0D71"/>
    <w:rsid w:val="008E130A"/>
    <w:rsid w:val="008E18C6"/>
    <w:rsid w:val="008E1B46"/>
    <w:rsid w:val="008E1BF8"/>
    <w:rsid w:val="008E1CB2"/>
    <w:rsid w:val="008E2285"/>
    <w:rsid w:val="008E2BD3"/>
    <w:rsid w:val="008E3270"/>
    <w:rsid w:val="008E3F03"/>
    <w:rsid w:val="008E40FB"/>
    <w:rsid w:val="008E4311"/>
    <w:rsid w:val="008E4DEE"/>
    <w:rsid w:val="008E5CE2"/>
    <w:rsid w:val="008E6C43"/>
    <w:rsid w:val="008E72F2"/>
    <w:rsid w:val="008F02C2"/>
    <w:rsid w:val="008F0316"/>
    <w:rsid w:val="008F0382"/>
    <w:rsid w:val="008F0439"/>
    <w:rsid w:val="008F0536"/>
    <w:rsid w:val="008F1266"/>
    <w:rsid w:val="008F1C52"/>
    <w:rsid w:val="008F236D"/>
    <w:rsid w:val="008F2E7F"/>
    <w:rsid w:val="008F3386"/>
    <w:rsid w:val="008F381A"/>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A0D"/>
    <w:rsid w:val="00904F8D"/>
    <w:rsid w:val="00905B2D"/>
    <w:rsid w:val="00905BEF"/>
    <w:rsid w:val="009060BE"/>
    <w:rsid w:val="009063D2"/>
    <w:rsid w:val="00906CB2"/>
    <w:rsid w:val="00907178"/>
    <w:rsid w:val="0091018E"/>
    <w:rsid w:val="009111F7"/>
    <w:rsid w:val="00911415"/>
    <w:rsid w:val="009127C8"/>
    <w:rsid w:val="00912B95"/>
    <w:rsid w:val="00912BD3"/>
    <w:rsid w:val="009135F2"/>
    <w:rsid w:val="00913BBE"/>
    <w:rsid w:val="00914006"/>
    <w:rsid w:val="009140E1"/>
    <w:rsid w:val="009144C3"/>
    <w:rsid w:val="00915125"/>
    <w:rsid w:val="00915574"/>
    <w:rsid w:val="00915C21"/>
    <w:rsid w:val="00915C57"/>
    <w:rsid w:val="0091655F"/>
    <w:rsid w:val="00916848"/>
    <w:rsid w:val="0091686A"/>
    <w:rsid w:val="00916BB3"/>
    <w:rsid w:val="00916D41"/>
    <w:rsid w:val="009172CA"/>
    <w:rsid w:val="009177D4"/>
    <w:rsid w:val="00917DA5"/>
    <w:rsid w:val="0092012F"/>
    <w:rsid w:val="00920A3E"/>
    <w:rsid w:val="00920BFE"/>
    <w:rsid w:val="009213B6"/>
    <w:rsid w:val="00921A19"/>
    <w:rsid w:val="00921C3B"/>
    <w:rsid w:val="00921D17"/>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AF9"/>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4CDC"/>
    <w:rsid w:val="009350B6"/>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06"/>
    <w:rsid w:val="0094236B"/>
    <w:rsid w:val="009425DB"/>
    <w:rsid w:val="00942A20"/>
    <w:rsid w:val="00942A3E"/>
    <w:rsid w:val="00942C75"/>
    <w:rsid w:val="009432E2"/>
    <w:rsid w:val="009436BC"/>
    <w:rsid w:val="00943D69"/>
    <w:rsid w:val="009445F5"/>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8BE"/>
    <w:rsid w:val="00955A0D"/>
    <w:rsid w:val="00955D06"/>
    <w:rsid w:val="009567A8"/>
    <w:rsid w:val="00956E84"/>
    <w:rsid w:val="0095765E"/>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0EED"/>
    <w:rsid w:val="009712B3"/>
    <w:rsid w:val="009722D3"/>
    <w:rsid w:val="009730BE"/>
    <w:rsid w:val="009736F3"/>
    <w:rsid w:val="00973BC9"/>
    <w:rsid w:val="00974939"/>
    <w:rsid w:val="00974AF1"/>
    <w:rsid w:val="00974EF9"/>
    <w:rsid w:val="00974FD3"/>
    <w:rsid w:val="0097517E"/>
    <w:rsid w:val="00976097"/>
    <w:rsid w:val="009761C9"/>
    <w:rsid w:val="009771B0"/>
    <w:rsid w:val="009779B5"/>
    <w:rsid w:val="00977A65"/>
    <w:rsid w:val="00977A78"/>
    <w:rsid w:val="00977AA8"/>
    <w:rsid w:val="00977B7C"/>
    <w:rsid w:val="00980690"/>
    <w:rsid w:val="00980FAA"/>
    <w:rsid w:val="009813E6"/>
    <w:rsid w:val="0098140C"/>
    <w:rsid w:val="00981E1C"/>
    <w:rsid w:val="00982018"/>
    <w:rsid w:val="0098201A"/>
    <w:rsid w:val="00982144"/>
    <w:rsid w:val="0098216E"/>
    <w:rsid w:val="0098235E"/>
    <w:rsid w:val="00982BC4"/>
    <w:rsid w:val="00983179"/>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08FF"/>
    <w:rsid w:val="009A126F"/>
    <w:rsid w:val="009A1429"/>
    <w:rsid w:val="009A1583"/>
    <w:rsid w:val="009A1674"/>
    <w:rsid w:val="009A1C6E"/>
    <w:rsid w:val="009A24A3"/>
    <w:rsid w:val="009A2924"/>
    <w:rsid w:val="009A2CAC"/>
    <w:rsid w:val="009A3047"/>
    <w:rsid w:val="009A32A1"/>
    <w:rsid w:val="009A3B81"/>
    <w:rsid w:val="009A3EDD"/>
    <w:rsid w:val="009A57B9"/>
    <w:rsid w:val="009A5975"/>
    <w:rsid w:val="009A5E41"/>
    <w:rsid w:val="009A6407"/>
    <w:rsid w:val="009A64BA"/>
    <w:rsid w:val="009A6A74"/>
    <w:rsid w:val="009A6B48"/>
    <w:rsid w:val="009A6B7C"/>
    <w:rsid w:val="009A7069"/>
    <w:rsid w:val="009A7D79"/>
    <w:rsid w:val="009A7E52"/>
    <w:rsid w:val="009B0E87"/>
    <w:rsid w:val="009B1643"/>
    <w:rsid w:val="009B175B"/>
    <w:rsid w:val="009B198C"/>
    <w:rsid w:val="009B29A6"/>
    <w:rsid w:val="009B2AC8"/>
    <w:rsid w:val="009B3F8F"/>
    <w:rsid w:val="009B43C5"/>
    <w:rsid w:val="009B5339"/>
    <w:rsid w:val="009B57D8"/>
    <w:rsid w:val="009B5C1C"/>
    <w:rsid w:val="009B6875"/>
    <w:rsid w:val="009B6923"/>
    <w:rsid w:val="009B79EE"/>
    <w:rsid w:val="009B7B37"/>
    <w:rsid w:val="009B7D2C"/>
    <w:rsid w:val="009C0108"/>
    <w:rsid w:val="009C035C"/>
    <w:rsid w:val="009C0BD1"/>
    <w:rsid w:val="009C1081"/>
    <w:rsid w:val="009C1414"/>
    <w:rsid w:val="009C1475"/>
    <w:rsid w:val="009C178C"/>
    <w:rsid w:val="009C17FB"/>
    <w:rsid w:val="009C1E5A"/>
    <w:rsid w:val="009C23E0"/>
    <w:rsid w:val="009C2B0C"/>
    <w:rsid w:val="009C2BB4"/>
    <w:rsid w:val="009C39E1"/>
    <w:rsid w:val="009C3C99"/>
    <w:rsid w:val="009C4EE8"/>
    <w:rsid w:val="009C5006"/>
    <w:rsid w:val="009C52EF"/>
    <w:rsid w:val="009C551A"/>
    <w:rsid w:val="009C554B"/>
    <w:rsid w:val="009C5844"/>
    <w:rsid w:val="009C6037"/>
    <w:rsid w:val="009C6497"/>
    <w:rsid w:val="009C6934"/>
    <w:rsid w:val="009C6BC6"/>
    <w:rsid w:val="009C6E34"/>
    <w:rsid w:val="009C7BC7"/>
    <w:rsid w:val="009D0F6C"/>
    <w:rsid w:val="009D12E7"/>
    <w:rsid w:val="009D1F44"/>
    <w:rsid w:val="009D1FEA"/>
    <w:rsid w:val="009D20D6"/>
    <w:rsid w:val="009D2CEF"/>
    <w:rsid w:val="009D43E4"/>
    <w:rsid w:val="009D498E"/>
    <w:rsid w:val="009D4A4E"/>
    <w:rsid w:val="009D4AFD"/>
    <w:rsid w:val="009D5ADA"/>
    <w:rsid w:val="009D6188"/>
    <w:rsid w:val="009D63C8"/>
    <w:rsid w:val="009D679E"/>
    <w:rsid w:val="009D694C"/>
    <w:rsid w:val="009D6B15"/>
    <w:rsid w:val="009D7237"/>
    <w:rsid w:val="009D76AF"/>
    <w:rsid w:val="009D772F"/>
    <w:rsid w:val="009D7A62"/>
    <w:rsid w:val="009E0E77"/>
    <w:rsid w:val="009E1642"/>
    <w:rsid w:val="009E1650"/>
    <w:rsid w:val="009E27E4"/>
    <w:rsid w:val="009E2F9F"/>
    <w:rsid w:val="009E2FAB"/>
    <w:rsid w:val="009E3C2D"/>
    <w:rsid w:val="009E4107"/>
    <w:rsid w:val="009E411E"/>
    <w:rsid w:val="009E4905"/>
    <w:rsid w:val="009E4BC5"/>
    <w:rsid w:val="009E4E6A"/>
    <w:rsid w:val="009E5C1F"/>
    <w:rsid w:val="009E6A1E"/>
    <w:rsid w:val="009E72A7"/>
    <w:rsid w:val="009E782D"/>
    <w:rsid w:val="009E7883"/>
    <w:rsid w:val="009E7E2E"/>
    <w:rsid w:val="009F1086"/>
    <w:rsid w:val="009F239F"/>
    <w:rsid w:val="009F2CDF"/>
    <w:rsid w:val="009F3150"/>
    <w:rsid w:val="009F3F98"/>
    <w:rsid w:val="009F4358"/>
    <w:rsid w:val="009F443F"/>
    <w:rsid w:val="009F4A0B"/>
    <w:rsid w:val="009F554A"/>
    <w:rsid w:val="009F614B"/>
    <w:rsid w:val="009F6880"/>
    <w:rsid w:val="009F6F9F"/>
    <w:rsid w:val="009F7425"/>
    <w:rsid w:val="009F7588"/>
    <w:rsid w:val="009F7CD1"/>
    <w:rsid w:val="00A0016D"/>
    <w:rsid w:val="00A00DE9"/>
    <w:rsid w:val="00A014B8"/>
    <w:rsid w:val="00A01A26"/>
    <w:rsid w:val="00A02880"/>
    <w:rsid w:val="00A02D6E"/>
    <w:rsid w:val="00A03035"/>
    <w:rsid w:val="00A030B2"/>
    <w:rsid w:val="00A0331C"/>
    <w:rsid w:val="00A03A72"/>
    <w:rsid w:val="00A03DD2"/>
    <w:rsid w:val="00A04183"/>
    <w:rsid w:val="00A0445C"/>
    <w:rsid w:val="00A0470B"/>
    <w:rsid w:val="00A05643"/>
    <w:rsid w:val="00A064F9"/>
    <w:rsid w:val="00A066EB"/>
    <w:rsid w:val="00A076FC"/>
    <w:rsid w:val="00A079F3"/>
    <w:rsid w:val="00A07A0A"/>
    <w:rsid w:val="00A07C90"/>
    <w:rsid w:val="00A10CE2"/>
    <w:rsid w:val="00A117EC"/>
    <w:rsid w:val="00A119A0"/>
    <w:rsid w:val="00A11DB7"/>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5C8"/>
    <w:rsid w:val="00A206B7"/>
    <w:rsid w:val="00A207D1"/>
    <w:rsid w:val="00A208B3"/>
    <w:rsid w:val="00A20998"/>
    <w:rsid w:val="00A220D6"/>
    <w:rsid w:val="00A22CD4"/>
    <w:rsid w:val="00A22D2F"/>
    <w:rsid w:val="00A23597"/>
    <w:rsid w:val="00A2401C"/>
    <w:rsid w:val="00A24052"/>
    <w:rsid w:val="00A2409F"/>
    <w:rsid w:val="00A2429B"/>
    <w:rsid w:val="00A246AD"/>
    <w:rsid w:val="00A24BAA"/>
    <w:rsid w:val="00A25C78"/>
    <w:rsid w:val="00A25DC4"/>
    <w:rsid w:val="00A269C2"/>
    <w:rsid w:val="00A272C8"/>
    <w:rsid w:val="00A278E1"/>
    <w:rsid w:val="00A27BF3"/>
    <w:rsid w:val="00A30A68"/>
    <w:rsid w:val="00A30BA3"/>
    <w:rsid w:val="00A30CBC"/>
    <w:rsid w:val="00A315E1"/>
    <w:rsid w:val="00A31EF7"/>
    <w:rsid w:val="00A3227E"/>
    <w:rsid w:val="00A323EA"/>
    <w:rsid w:val="00A32545"/>
    <w:rsid w:val="00A33693"/>
    <w:rsid w:val="00A33AFB"/>
    <w:rsid w:val="00A3432E"/>
    <w:rsid w:val="00A34573"/>
    <w:rsid w:val="00A36576"/>
    <w:rsid w:val="00A36C44"/>
    <w:rsid w:val="00A37CF9"/>
    <w:rsid w:val="00A37F81"/>
    <w:rsid w:val="00A40101"/>
    <w:rsid w:val="00A414EA"/>
    <w:rsid w:val="00A419DD"/>
    <w:rsid w:val="00A41ACF"/>
    <w:rsid w:val="00A41D55"/>
    <w:rsid w:val="00A43BB8"/>
    <w:rsid w:val="00A443BC"/>
    <w:rsid w:val="00A44DE9"/>
    <w:rsid w:val="00A45733"/>
    <w:rsid w:val="00A457C8"/>
    <w:rsid w:val="00A45A43"/>
    <w:rsid w:val="00A4627C"/>
    <w:rsid w:val="00A46592"/>
    <w:rsid w:val="00A46822"/>
    <w:rsid w:val="00A46847"/>
    <w:rsid w:val="00A5033B"/>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240"/>
    <w:rsid w:val="00A6245C"/>
    <w:rsid w:val="00A625EF"/>
    <w:rsid w:val="00A64070"/>
    <w:rsid w:val="00A64290"/>
    <w:rsid w:val="00A645C6"/>
    <w:rsid w:val="00A64C6A"/>
    <w:rsid w:val="00A64EB2"/>
    <w:rsid w:val="00A65508"/>
    <w:rsid w:val="00A656F0"/>
    <w:rsid w:val="00A66012"/>
    <w:rsid w:val="00A664EA"/>
    <w:rsid w:val="00A66547"/>
    <w:rsid w:val="00A66778"/>
    <w:rsid w:val="00A66F02"/>
    <w:rsid w:val="00A67653"/>
    <w:rsid w:val="00A67FEB"/>
    <w:rsid w:val="00A71330"/>
    <w:rsid w:val="00A71908"/>
    <w:rsid w:val="00A725A2"/>
    <w:rsid w:val="00A72A3C"/>
    <w:rsid w:val="00A72DDF"/>
    <w:rsid w:val="00A72E05"/>
    <w:rsid w:val="00A730FC"/>
    <w:rsid w:val="00A73541"/>
    <w:rsid w:val="00A73674"/>
    <w:rsid w:val="00A737EB"/>
    <w:rsid w:val="00A73C88"/>
    <w:rsid w:val="00A75C8C"/>
    <w:rsid w:val="00A75EC3"/>
    <w:rsid w:val="00A76078"/>
    <w:rsid w:val="00A762C5"/>
    <w:rsid w:val="00A77324"/>
    <w:rsid w:val="00A77341"/>
    <w:rsid w:val="00A77862"/>
    <w:rsid w:val="00A77BAA"/>
    <w:rsid w:val="00A8059C"/>
    <w:rsid w:val="00A80EB6"/>
    <w:rsid w:val="00A8142C"/>
    <w:rsid w:val="00A81C64"/>
    <w:rsid w:val="00A81E82"/>
    <w:rsid w:val="00A82F87"/>
    <w:rsid w:val="00A835E0"/>
    <w:rsid w:val="00A83722"/>
    <w:rsid w:val="00A84779"/>
    <w:rsid w:val="00A85896"/>
    <w:rsid w:val="00A868F7"/>
    <w:rsid w:val="00A86B4F"/>
    <w:rsid w:val="00A86CAE"/>
    <w:rsid w:val="00A874F7"/>
    <w:rsid w:val="00A87B6A"/>
    <w:rsid w:val="00A87FBF"/>
    <w:rsid w:val="00A90108"/>
    <w:rsid w:val="00A9046F"/>
    <w:rsid w:val="00A91E04"/>
    <w:rsid w:val="00A91E44"/>
    <w:rsid w:val="00A91FC6"/>
    <w:rsid w:val="00A92401"/>
    <w:rsid w:val="00A93362"/>
    <w:rsid w:val="00A93F75"/>
    <w:rsid w:val="00A942A9"/>
    <w:rsid w:val="00A94470"/>
    <w:rsid w:val="00A94717"/>
    <w:rsid w:val="00A9473B"/>
    <w:rsid w:val="00A9549C"/>
    <w:rsid w:val="00A95F31"/>
    <w:rsid w:val="00A96079"/>
    <w:rsid w:val="00A96399"/>
    <w:rsid w:val="00A96A5C"/>
    <w:rsid w:val="00A97146"/>
    <w:rsid w:val="00A973E3"/>
    <w:rsid w:val="00AA04F1"/>
    <w:rsid w:val="00AA0A66"/>
    <w:rsid w:val="00AA0D24"/>
    <w:rsid w:val="00AA0F11"/>
    <w:rsid w:val="00AA1037"/>
    <w:rsid w:val="00AA14DF"/>
    <w:rsid w:val="00AA1A90"/>
    <w:rsid w:val="00AA1C8E"/>
    <w:rsid w:val="00AA24AB"/>
    <w:rsid w:val="00AA2FDB"/>
    <w:rsid w:val="00AA3FF9"/>
    <w:rsid w:val="00AA4808"/>
    <w:rsid w:val="00AA4869"/>
    <w:rsid w:val="00AA48AF"/>
    <w:rsid w:val="00AA4C38"/>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BF4"/>
    <w:rsid w:val="00AB5C0F"/>
    <w:rsid w:val="00AB7B56"/>
    <w:rsid w:val="00AB7D82"/>
    <w:rsid w:val="00AC02E8"/>
    <w:rsid w:val="00AC037A"/>
    <w:rsid w:val="00AC0705"/>
    <w:rsid w:val="00AC0A22"/>
    <w:rsid w:val="00AC168E"/>
    <w:rsid w:val="00AC2030"/>
    <w:rsid w:val="00AC229F"/>
    <w:rsid w:val="00AC2A42"/>
    <w:rsid w:val="00AC373B"/>
    <w:rsid w:val="00AC38EC"/>
    <w:rsid w:val="00AC3BF4"/>
    <w:rsid w:val="00AC3FB9"/>
    <w:rsid w:val="00AC4C0C"/>
    <w:rsid w:val="00AC5139"/>
    <w:rsid w:val="00AC5D25"/>
    <w:rsid w:val="00AC618B"/>
    <w:rsid w:val="00AC659C"/>
    <w:rsid w:val="00AC6676"/>
    <w:rsid w:val="00AD1694"/>
    <w:rsid w:val="00AD17BA"/>
    <w:rsid w:val="00AD1E37"/>
    <w:rsid w:val="00AD252D"/>
    <w:rsid w:val="00AD25DF"/>
    <w:rsid w:val="00AD2E5A"/>
    <w:rsid w:val="00AD2F0D"/>
    <w:rsid w:val="00AD2F77"/>
    <w:rsid w:val="00AD386A"/>
    <w:rsid w:val="00AD3E86"/>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6A2"/>
    <w:rsid w:val="00AE3984"/>
    <w:rsid w:val="00AE39BF"/>
    <w:rsid w:val="00AE3DFE"/>
    <w:rsid w:val="00AE3F32"/>
    <w:rsid w:val="00AE43D5"/>
    <w:rsid w:val="00AE4BBE"/>
    <w:rsid w:val="00AE531D"/>
    <w:rsid w:val="00AE563C"/>
    <w:rsid w:val="00AE6A7B"/>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AF7100"/>
    <w:rsid w:val="00AF7318"/>
    <w:rsid w:val="00B00484"/>
    <w:rsid w:val="00B00AF5"/>
    <w:rsid w:val="00B00D85"/>
    <w:rsid w:val="00B02250"/>
    <w:rsid w:val="00B0358A"/>
    <w:rsid w:val="00B04618"/>
    <w:rsid w:val="00B04FCD"/>
    <w:rsid w:val="00B0505F"/>
    <w:rsid w:val="00B052E9"/>
    <w:rsid w:val="00B0538B"/>
    <w:rsid w:val="00B05489"/>
    <w:rsid w:val="00B05774"/>
    <w:rsid w:val="00B07D70"/>
    <w:rsid w:val="00B1000D"/>
    <w:rsid w:val="00B10865"/>
    <w:rsid w:val="00B109E0"/>
    <w:rsid w:val="00B1188A"/>
    <w:rsid w:val="00B11975"/>
    <w:rsid w:val="00B11C8A"/>
    <w:rsid w:val="00B12335"/>
    <w:rsid w:val="00B12499"/>
    <w:rsid w:val="00B12B6C"/>
    <w:rsid w:val="00B12BB4"/>
    <w:rsid w:val="00B12DC9"/>
    <w:rsid w:val="00B12ED6"/>
    <w:rsid w:val="00B12FEE"/>
    <w:rsid w:val="00B13258"/>
    <w:rsid w:val="00B13822"/>
    <w:rsid w:val="00B14407"/>
    <w:rsid w:val="00B1491A"/>
    <w:rsid w:val="00B14BDF"/>
    <w:rsid w:val="00B14EDC"/>
    <w:rsid w:val="00B15619"/>
    <w:rsid w:val="00B157B7"/>
    <w:rsid w:val="00B158AB"/>
    <w:rsid w:val="00B15C43"/>
    <w:rsid w:val="00B15DED"/>
    <w:rsid w:val="00B1695C"/>
    <w:rsid w:val="00B16A1C"/>
    <w:rsid w:val="00B16B65"/>
    <w:rsid w:val="00B16E4B"/>
    <w:rsid w:val="00B16F90"/>
    <w:rsid w:val="00B16FAD"/>
    <w:rsid w:val="00B17323"/>
    <w:rsid w:val="00B17C1F"/>
    <w:rsid w:val="00B17C94"/>
    <w:rsid w:val="00B17D08"/>
    <w:rsid w:val="00B20741"/>
    <w:rsid w:val="00B20C66"/>
    <w:rsid w:val="00B23581"/>
    <w:rsid w:val="00B24422"/>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8C1"/>
    <w:rsid w:val="00B30D4B"/>
    <w:rsid w:val="00B30F21"/>
    <w:rsid w:val="00B30F2B"/>
    <w:rsid w:val="00B31EE0"/>
    <w:rsid w:val="00B31FFA"/>
    <w:rsid w:val="00B320E6"/>
    <w:rsid w:val="00B321C2"/>
    <w:rsid w:val="00B339F8"/>
    <w:rsid w:val="00B34ACF"/>
    <w:rsid w:val="00B34B9C"/>
    <w:rsid w:val="00B34CEC"/>
    <w:rsid w:val="00B34F7E"/>
    <w:rsid w:val="00B35666"/>
    <w:rsid w:val="00B35C7F"/>
    <w:rsid w:val="00B35EBB"/>
    <w:rsid w:val="00B36309"/>
    <w:rsid w:val="00B363D6"/>
    <w:rsid w:val="00B36581"/>
    <w:rsid w:val="00B36B81"/>
    <w:rsid w:val="00B36C81"/>
    <w:rsid w:val="00B3724D"/>
    <w:rsid w:val="00B37588"/>
    <w:rsid w:val="00B37CD7"/>
    <w:rsid w:val="00B40996"/>
    <w:rsid w:val="00B41CAF"/>
    <w:rsid w:val="00B4219B"/>
    <w:rsid w:val="00B4244E"/>
    <w:rsid w:val="00B424AD"/>
    <w:rsid w:val="00B431C3"/>
    <w:rsid w:val="00B43216"/>
    <w:rsid w:val="00B43BEE"/>
    <w:rsid w:val="00B4463E"/>
    <w:rsid w:val="00B44856"/>
    <w:rsid w:val="00B459E5"/>
    <w:rsid w:val="00B45FDD"/>
    <w:rsid w:val="00B46202"/>
    <w:rsid w:val="00B46330"/>
    <w:rsid w:val="00B47ADC"/>
    <w:rsid w:val="00B53187"/>
    <w:rsid w:val="00B540BB"/>
    <w:rsid w:val="00B54344"/>
    <w:rsid w:val="00B54374"/>
    <w:rsid w:val="00B55327"/>
    <w:rsid w:val="00B5545C"/>
    <w:rsid w:val="00B55CA5"/>
    <w:rsid w:val="00B55E0E"/>
    <w:rsid w:val="00B604FB"/>
    <w:rsid w:val="00B60EFB"/>
    <w:rsid w:val="00B613C3"/>
    <w:rsid w:val="00B61F1B"/>
    <w:rsid w:val="00B61FEC"/>
    <w:rsid w:val="00B62E5F"/>
    <w:rsid w:val="00B62ECD"/>
    <w:rsid w:val="00B63393"/>
    <w:rsid w:val="00B6385D"/>
    <w:rsid w:val="00B63C91"/>
    <w:rsid w:val="00B642D6"/>
    <w:rsid w:val="00B648B1"/>
    <w:rsid w:val="00B64B03"/>
    <w:rsid w:val="00B65CB2"/>
    <w:rsid w:val="00B66122"/>
    <w:rsid w:val="00B661CD"/>
    <w:rsid w:val="00B665CD"/>
    <w:rsid w:val="00B66856"/>
    <w:rsid w:val="00B675B6"/>
    <w:rsid w:val="00B6768A"/>
    <w:rsid w:val="00B67D94"/>
    <w:rsid w:val="00B70629"/>
    <w:rsid w:val="00B70698"/>
    <w:rsid w:val="00B70911"/>
    <w:rsid w:val="00B70BD7"/>
    <w:rsid w:val="00B70BF5"/>
    <w:rsid w:val="00B712B2"/>
    <w:rsid w:val="00B71470"/>
    <w:rsid w:val="00B714E2"/>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3DA6"/>
    <w:rsid w:val="00B84528"/>
    <w:rsid w:val="00B8493E"/>
    <w:rsid w:val="00B866C3"/>
    <w:rsid w:val="00B86FB2"/>
    <w:rsid w:val="00B875BD"/>
    <w:rsid w:val="00B90190"/>
    <w:rsid w:val="00B90285"/>
    <w:rsid w:val="00B90554"/>
    <w:rsid w:val="00B91AB8"/>
    <w:rsid w:val="00B92904"/>
    <w:rsid w:val="00B929BA"/>
    <w:rsid w:val="00B931B7"/>
    <w:rsid w:val="00B9358A"/>
    <w:rsid w:val="00B937D1"/>
    <w:rsid w:val="00B943B5"/>
    <w:rsid w:val="00B94608"/>
    <w:rsid w:val="00B9486D"/>
    <w:rsid w:val="00B94B44"/>
    <w:rsid w:val="00B94E3E"/>
    <w:rsid w:val="00B95B18"/>
    <w:rsid w:val="00B9647A"/>
    <w:rsid w:val="00B96777"/>
    <w:rsid w:val="00B968E5"/>
    <w:rsid w:val="00B96F86"/>
    <w:rsid w:val="00B9700E"/>
    <w:rsid w:val="00B97187"/>
    <w:rsid w:val="00B9774A"/>
    <w:rsid w:val="00B978FA"/>
    <w:rsid w:val="00B97D0C"/>
    <w:rsid w:val="00BA05D3"/>
    <w:rsid w:val="00BA0812"/>
    <w:rsid w:val="00BA0B78"/>
    <w:rsid w:val="00BA109E"/>
    <w:rsid w:val="00BA1604"/>
    <w:rsid w:val="00BA1734"/>
    <w:rsid w:val="00BA1859"/>
    <w:rsid w:val="00BA2038"/>
    <w:rsid w:val="00BA20E5"/>
    <w:rsid w:val="00BA251A"/>
    <w:rsid w:val="00BA280A"/>
    <w:rsid w:val="00BA35EF"/>
    <w:rsid w:val="00BA36D7"/>
    <w:rsid w:val="00BA3B10"/>
    <w:rsid w:val="00BA3D41"/>
    <w:rsid w:val="00BA4196"/>
    <w:rsid w:val="00BA421E"/>
    <w:rsid w:val="00BA47BB"/>
    <w:rsid w:val="00BA5060"/>
    <w:rsid w:val="00BA62A0"/>
    <w:rsid w:val="00BA6692"/>
    <w:rsid w:val="00BA6DBA"/>
    <w:rsid w:val="00BA73E8"/>
    <w:rsid w:val="00BA75E4"/>
    <w:rsid w:val="00BA7EF5"/>
    <w:rsid w:val="00BB03E6"/>
    <w:rsid w:val="00BB074E"/>
    <w:rsid w:val="00BB18CF"/>
    <w:rsid w:val="00BB1DE9"/>
    <w:rsid w:val="00BB2CF5"/>
    <w:rsid w:val="00BB2DB8"/>
    <w:rsid w:val="00BB3D5A"/>
    <w:rsid w:val="00BB3DFD"/>
    <w:rsid w:val="00BB4372"/>
    <w:rsid w:val="00BB49C1"/>
    <w:rsid w:val="00BB4CA2"/>
    <w:rsid w:val="00BB5402"/>
    <w:rsid w:val="00BB5480"/>
    <w:rsid w:val="00BB6167"/>
    <w:rsid w:val="00BB6B55"/>
    <w:rsid w:val="00BB7253"/>
    <w:rsid w:val="00BB7AB8"/>
    <w:rsid w:val="00BC0170"/>
    <w:rsid w:val="00BC1511"/>
    <w:rsid w:val="00BC17E8"/>
    <w:rsid w:val="00BC18AD"/>
    <w:rsid w:val="00BC1AA0"/>
    <w:rsid w:val="00BC1D27"/>
    <w:rsid w:val="00BC28C3"/>
    <w:rsid w:val="00BC2DAD"/>
    <w:rsid w:val="00BC39DD"/>
    <w:rsid w:val="00BC3A76"/>
    <w:rsid w:val="00BC4A13"/>
    <w:rsid w:val="00BC52FE"/>
    <w:rsid w:val="00BC550C"/>
    <w:rsid w:val="00BC6080"/>
    <w:rsid w:val="00BC6C53"/>
    <w:rsid w:val="00BC73DE"/>
    <w:rsid w:val="00BC74E0"/>
    <w:rsid w:val="00BC765E"/>
    <w:rsid w:val="00BC7DEB"/>
    <w:rsid w:val="00BD1142"/>
    <w:rsid w:val="00BD146F"/>
    <w:rsid w:val="00BD36E0"/>
    <w:rsid w:val="00BD3899"/>
    <w:rsid w:val="00BD3F2E"/>
    <w:rsid w:val="00BD497F"/>
    <w:rsid w:val="00BD4A6A"/>
    <w:rsid w:val="00BD5490"/>
    <w:rsid w:val="00BD5E42"/>
    <w:rsid w:val="00BD6412"/>
    <w:rsid w:val="00BD77FD"/>
    <w:rsid w:val="00BD7A75"/>
    <w:rsid w:val="00BD7E7F"/>
    <w:rsid w:val="00BE0FB0"/>
    <w:rsid w:val="00BE11FC"/>
    <w:rsid w:val="00BE2326"/>
    <w:rsid w:val="00BE236A"/>
    <w:rsid w:val="00BE2A3F"/>
    <w:rsid w:val="00BE2F8F"/>
    <w:rsid w:val="00BE3022"/>
    <w:rsid w:val="00BE36DD"/>
    <w:rsid w:val="00BE396A"/>
    <w:rsid w:val="00BE4066"/>
    <w:rsid w:val="00BE4591"/>
    <w:rsid w:val="00BE4C99"/>
    <w:rsid w:val="00BE4DE5"/>
    <w:rsid w:val="00BE4F53"/>
    <w:rsid w:val="00BE57B4"/>
    <w:rsid w:val="00BE5C2D"/>
    <w:rsid w:val="00BE5D24"/>
    <w:rsid w:val="00BE6AB7"/>
    <w:rsid w:val="00BE6F83"/>
    <w:rsid w:val="00BE711F"/>
    <w:rsid w:val="00BE755E"/>
    <w:rsid w:val="00BE77DB"/>
    <w:rsid w:val="00BE7996"/>
    <w:rsid w:val="00BF172A"/>
    <w:rsid w:val="00BF18DD"/>
    <w:rsid w:val="00BF1BA8"/>
    <w:rsid w:val="00BF2772"/>
    <w:rsid w:val="00BF28B4"/>
    <w:rsid w:val="00BF2942"/>
    <w:rsid w:val="00BF297A"/>
    <w:rsid w:val="00BF2EF5"/>
    <w:rsid w:val="00BF2F2C"/>
    <w:rsid w:val="00BF32AF"/>
    <w:rsid w:val="00BF43B5"/>
    <w:rsid w:val="00BF56A1"/>
    <w:rsid w:val="00BF5E08"/>
    <w:rsid w:val="00BF6510"/>
    <w:rsid w:val="00BF67FB"/>
    <w:rsid w:val="00BF6AF0"/>
    <w:rsid w:val="00BF6CDA"/>
    <w:rsid w:val="00BF76A4"/>
    <w:rsid w:val="00BF7882"/>
    <w:rsid w:val="00BF7DBE"/>
    <w:rsid w:val="00C008B3"/>
    <w:rsid w:val="00C011B2"/>
    <w:rsid w:val="00C012C5"/>
    <w:rsid w:val="00C01C27"/>
    <w:rsid w:val="00C0213D"/>
    <w:rsid w:val="00C0263C"/>
    <w:rsid w:val="00C02C55"/>
    <w:rsid w:val="00C0306B"/>
    <w:rsid w:val="00C0371A"/>
    <w:rsid w:val="00C037F2"/>
    <w:rsid w:val="00C04554"/>
    <w:rsid w:val="00C046C2"/>
    <w:rsid w:val="00C05441"/>
    <w:rsid w:val="00C054DF"/>
    <w:rsid w:val="00C058B7"/>
    <w:rsid w:val="00C05AA6"/>
    <w:rsid w:val="00C05C85"/>
    <w:rsid w:val="00C060DB"/>
    <w:rsid w:val="00C06191"/>
    <w:rsid w:val="00C065B8"/>
    <w:rsid w:val="00C068EF"/>
    <w:rsid w:val="00C06C8F"/>
    <w:rsid w:val="00C07326"/>
    <w:rsid w:val="00C1005D"/>
    <w:rsid w:val="00C10A16"/>
    <w:rsid w:val="00C10B24"/>
    <w:rsid w:val="00C116A8"/>
    <w:rsid w:val="00C117B9"/>
    <w:rsid w:val="00C123A5"/>
    <w:rsid w:val="00C14339"/>
    <w:rsid w:val="00C14441"/>
    <w:rsid w:val="00C14590"/>
    <w:rsid w:val="00C151E0"/>
    <w:rsid w:val="00C15BBB"/>
    <w:rsid w:val="00C162EE"/>
    <w:rsid w:val="00C16615"/>
    <w:rsid w:val="00C1698B"/>
    <w:rsid w:val="00C1711B"/>
    <w:rsid w:val="00C1730D"/>
    <w:rsid w:val="00C203EF"/>
    <w:rsid w:val="00C20611"/>
    <w:rsid w:val="00C21135"/>
    <w:rsid w:val="00C212D1"/>
    <w:rsid w:val="00C2166E"/>
    <w:rsid w:val="00C223ED"/>
    <w:rsid w:val="00C22D36"/>
    <w:rsid w:val="00C22ED8"/>
    <w:rsid w:val="00C22F77"/>
    <w:rsid w:val="00C2305D"/>
    <w:rsid w:val="00C23C77"/>
    <w:rsid w:val="00C23D59"/>
    <w:rsid w:val="00C23E38"/>
    <w:rsid w:val="00C24068"/>
    <w:rsid w:val="00C24285"/>
    <w:rsid w:val="00C2441F"/>
    <w:rsid w:val="00C24757"/>
    <w:rsid w:val="00C25178"/>
    <w:rsid w:val="00C2518C"/>
    <w:rsid w:val="00C251EA"/>
    <w:rsid w:val="00C25BE3"/>
    <w:rsid w:val="00C2673F"/>
    <w:rsid w:val="00C26832"/>
    <w:rsid w:val="00C26902"/>
    <w:rsid w:val="00C26A49"/>
    <w:rsid w:val="00C26CEE"/>
    <w:rsid w:val="00C277C0"/>
    <w:rsid w:val="00C27F9F"/>
    <w:rsid w:val="00C30A6A"/>
    <w:rsid w:val="00C30DE3"/>
    <w:rsid w:val="00C30FE4"/>
    <w:rsid w:val="00C3137D"/>
    <w:rsid w:val="00C320AB"/>
    <w:rsid w:val="00C32163"/>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19"/>
    <w:rsid w:val="00C42F5C"/>
    <w:rsid w:val="00C4318A"/>
    <w:rsid w:val="00C43477"/>
    <w:rsid w:val="00C4356C"/>
    <w:rsid w:val="00C43611"/>
    <w:rsid w:val="00C43A2B"/>
    <w:rsid w:val="00C43F11"/>
    <w:rsid w:val="00C4516F"/>
    <w:rsid w:val="00C45355"/>
    <w:rsid w:val="00C4537C"/>
    <w:rsid w:val="00C461C2"/>
    <w:rsid w:val="00C465AE"/>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6FA4"/>
    <w:rsid w:val="00C570E0"/>
    <w:rsid w:val="00C5713A"/>
    <w:rsid w:val="00C57525"/>
    <w:rsid w:val="00C57CE2"/>
    <w:rsid w:val="00C57FDF"/>
    <w:rsid w:val="00C603C6"/>
    <w:rsid w:val="00C60D6A"/>
    <w:rsid w:val="00C60E53"/>
    <w:rsid w:val="00C618C4"/>
    <w:rsid w:val="00C61DF1"/>
    <w:rsid w:val="00C62BC9"/>
    <w:rsid w:val="00C62DEC"/>
    <w:rsid w:val="00C63381"/>
    <w:rsid w:val="00C63559"/>
    <w:rsid w:val="00C635C0"/>
    <w:rsid w:val="00C6471C"/>
    <w:rsid w:val="00C649C0"/>
    <w:rsid w:val="00C65EF6"/>
    <w:rsid w:val="00C66F97"/>
    <w:rsid w:val="00C67D15"/>
    <w:rsid w:val="00C70046"/>
    <w:rsid w:val="00C7139B"/>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4D7"/>
    <w:rsid w:val="00C77A04"/>
    <w:rsid w:val="00C800AE"/>
    <w:rsid w:val="00C80C49"/>
    <w:rsid w:val="00C819F1"/>
    <w:rsid w:val="00C82438"/>
    <w:rsid w:val="00C8298E"/>
    <w:rsid w:val="00C82A0A"/>
    <w:rsid w:val="00C82E2F"/>
    <w:rsid w:val="00C82E84"/>
    <w:rsid w:val="00C830C2"/>
    <w:rsid w:val="00C833A0"/>
    <w:rsid w:val="00C8349A"/>
    <w:rsid w:val="00C83AA2"/>
    <w:rsid w:val="00C83D43"/>
    <w:rsid w:val="00C84210"/>
    <w:rsid w:val="00C84608"/>
    <w:rsid w:val="00C84924"/>
    <w:rsid w:val="00C84BC9"/>
    <w:rsid w:val="00C84D13"/>
    <w:rsid w:val="00C85568"/>
    <w:rsid w:val="00C85CC7"/>
    <w:rsid w:val="00C86746"/>
    <w:rsid w:val="00C8747E"/>
    <w:rsid w:val="00C907E0"/>
    <w:rsid w:val="00C908C9"/>
    <w:rsid w:val="00C90C89"/>
    <w:rsid w:val="00C90DC5"/>
    <w:rsid w:val="00C90DD6"/>
    <w:rsid w:val="00C913F3"/>
    <w:rsid w:val="00C91481"/>
    <w:rsid w:val="00C91B31"/>
    <w:rsid w:val="00C91BEB"/>
    <w:rsid w:val="00C91DA4"/>
    <w:rsid w:val="00C92B02"/>
    <w:rsid w:val="00C95190"/>
    <w:rsid w:val="00C956DF"/>
    <w:rsid w:val="00C97859"/>
    <w:rsid w:val="00C97A53"/>
    <w:rsid w:val="00C97B5F"/>
    <w:rsid w:val="00C97F7D"/>
    <w:rsid w:val="00CA06EE"/>
    <w:rsid w:val="00CA0E3F"/>
    <w:rsid w:val="00CA115F"/>
    <w:rsid w:val="00CA23C7"/>
    <w:rsid w:val="00CA264C"/>
    <w:rsid w:val="00CA2A47"/>
    <w:rsid w:val="00CA313F"/>
    <w:rsid w:val="00CA405F"/>
    <w:rsid w:val="00CA451F"/>
    <w:rsid w:val="00CA51C4"/>
    <w:rsid w:val="00CA5254"/>
    <w:rsid w:val="00CA52DD"/>
    <w:rsid w:val="00CA613D"/>
    <w:rsid w:val="00CA699A"/>
    <w:rsid w:val="00CA70EB"/>
    <w:rsid w:val="00CA7306"/>
    <w:rsid w:val="00CA7923"/>
    <w:rsid w:val="00CB051B"/>
    <w:rsid w:val="00CB077B"/>
    <w:rsid w:val="00CB0AD2"/>
    <w:rsid w:val="00CB140A"/>
    <w:rsid w:val="00CB1A4C"/>
    <w:rsid w:val="00CB1E4D"/>
    <w:rsid w:val="00CB1FC2"/>
    <w:rsid w:val="00CB2060"/>
    <w:rsid w:val="00CB286E"/>
    <w:rsid w:val="00CB2CF2"/>
    <w:rsid w:val="00CB2F1B"/>
    <w:rsid w:val="00CB3572"/>
    <w:rsid w:val="00CB3C06"/>
    <w:rsid w:val="00CB3F3B"/>
    <w:rsid w:val="00CB441D"/>
    <w:rsid w:val="00CB4525"/>
    <w:rsid w:val="00CB640E"/>
    <w:rsid w:val="00CB6584"/>
    <w:rsid w:val="00CB7BA0"/>
    <w:rsid w:val="00CB7C32"/>
    <w:rsid w:val="00CB7C9B"/>
    <w:rsid w:val="00CB7D1E"/>
    <w:rsid w:val="00CB7DE9"/>
    <w:rsid w:val="00CC09A2"/>
    <w:rsid w:val="00CC0DC7"/>
    <w:rsid w:val="00CC1D1D"/>
    <w:rsid w:val="00CC2B6D"/>
    <w:rsid w:val="00CC2C0A"/>
    <w:rsid w:val="00CC2D31"/>
    <w:rsid w:val="00CC2DD4"/>
    <w:rsid w:val="00CC2FAF"/>
    <w:rsid w:val="00CC362C"/>
    <w:rsid w:val="00CC3B98"/>
    <w:rsid w:val="00CC3C6B"/>
    <w:rsid w:val="00CC3E1B"/>
    <w:rsid w:val="00CC3FCF"/>
    <w:rsid w:val="00CC4D0A"/>
    <w:rsid w:val="00CC516B"/>
    <w:rsid w:val="00CC60B8"/>
    <w:rsid w:val="00CC63F7"/>
    <w:rsid w:val="00CC6A5B"/>
    <w:rsid w:val="00CC6DB3"/>
    <w:rsid w:val="00CD0326"/>
    <w:rsid w:val="00CD1C4B"/>
    <w:rsid w:val="00CD2063"/>
    <w:rsid w:val="00CD3B10"/>
    <w:rsid w:val="00CD425D"/>
    <w:rsid w:val="00CD4263"/>
    <w:rsid w:val="00CD4AA0"/>
    <w:rsid w:val="00CD4AD4"/>
    <w:rsid w:val="00CD55CD"/>
    <w:rsid w:val="00CD5941"/>
    <w:rsid w:val="00CD5CEB"/>
    <w:rsid w:val="00CD64B2"/>
    <w:rsid w:val="00CD6847"/>
    <w:rsid w:val="00CD771C"/>
    <w:rsid w:val="00CD7F5A"/>
    <w:rsid w:val="00CE0156"/>
    <w:rsid w:val="00CE07B1"/>
    <w:rsid w:val="00CE1149"/>
    <w:rsid w:val="00CE1429"/>
    <w:rsid w:val="00CE16CE"/>
    <w:rsid w:val="00CE1E28"/>
    <w:rsid w:val="00CE27F9"/>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5D44"/>
    <w:rsid w:val="00CF7754"/>
    <w:rsid w:val="00D010BF"/>
    <w:rsid w:val="00D01346"/>
    <w:rsid w:val="00D01532"/>
    <w:rsid w:val="00D0153B"/>
    <w:rsid w:val="00D0181C"/>
    <w:rsid w:val="00D01C6B"/>
    <w:rsid w:val="00D01E34"/>
    <w:rsid w:val="00D01EDD"/>
    <w:rsid w:val="00D022DF"/>
    <w:rsid w:val="00D023E5"/>
    <w:rsid w:val="00D02C7C"/>
    <w:rsid w:val="00D031FC"/>
    <w:rsid w:val="00D032C1"/>
    <w:rsid w:val="00D03475"/>
    <w:rsid w:val="00D0444F"/>
    <w:rsid w:val="00D04F39"/>
    <w:rsid w:val="00D05544"/>
    <w:rsid w:val="00D056CB"/>
    <w:rsid w:val="00D05AD9"/>
    <w:rsid w:val="00D05DD8"/>
    <w:rsid w:val="00D061A8"/>
    <w:rsid w:val="00D061BC"/>
    <w:rsid w:val="00D062D7"/>
    <w:rsid w:val="00D0634F"/>
    <w:rsid w:val="00D0635F"/>
    <w:rsid w:val="00D075BE"/>
    <w:rsid w:val="00D07639"/>
    <w:rsid w:val="00D103EF"/>
    <w:rsid w:val="00D10F44"/>
    <w:rsid w:val="00D11FCD"/>
    <w:rsid w:val="00D12B22"/>
    <w:rsid w:val="00D12B43"/>
    <w:rsid w:val="00D12BF0"/>
    <w:rsid w:val="00D13595"/>
    <w:rsid w:val="00D13640"/>
    <w:rsid w:val="00D13B16"/>
    <w:rsid w:val="00D14806"/>
    <w:rsid w:val="00D15314"/>
    <w:rsid w:val="00D15399"/>
    <w:rsid w:val="00D159ED"/>
    <w:rsid w:val="00D15F31"/>
    <w:rsid w:val="00D16559"/>
    <w:rsid w:val="00D1667C"/>
    <w:rsid w:val="00D16E96"/>
    <w:rsid w:val="00D16ECD"/>
    <w:rsid w:val="00D178D3"/>
    <w:rsid w:val="00D178FE"/>
    <w:rsid w:val="00D17EE4"/>
    <w:rsid w:val="00D17FBE"/>
    <w:rsid w:val="00D201EE"/>
    <w:rsid w:val="00D20B3B"/>
    <w:rsid w:val="00D20FEC"/>
    <w:rsid w:val="00D2138F"/>
    <w:rsid w:val="00D2164E"/>
    <w:rsid w:val="00D2197D"/>
    <w:rsid w:val="00D21E2D"/>
    <w:rsid w:val="00D225B4"/>
    <w:rsid w:val="00D2285C"/>
    <w:rsid w:val="00D22C3F"/>
    <w:rsid w:val="00D22F7E"/>
    <w:rsid w:val="00D23CCA"/>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5B70"/>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2CBC"/>
    <w:rsid w:val="00D431CC"/>
    <w:rsid w:val="00D4361E"/>
    <w:rsid w:val="00D43DD6"/>
    <w:rsid w:val="00D440C2"/>
    <w:rsid w:val="00D442D6"/>
    <w:rsid w:val="00D44E2C"/>
    <w:rsid w:val="00D456FF"/>
    <w:rsid w:val="00D4577F"/>
    <w:rsid w:val="00D462F7"/>
    <w:rsid w:val="00D4636B"/>
    <w:rsid w:val="00D46824"/>
    <w:rsid w:val="00D46EB0"/>
    <w:rsid w:val="00D47DF0"/>
    <w:rsid w:val="00D50B5D"/>
    <w:rsid w:val="00D50D0C"/>
    <w:rsid w:val="00D5110D"/>
    <w:rsid w:val="00D51576"/>
    <w:rsid w:val="00D52190"/>
    <w:rsid w:val="00D52404"/>
    <w:rsid w:val="00D52D7E"/>
    <w:rsid w:val="00D52F23"/>
    <w:rsid w:val="00D52F99"/>
    <w:rsid w:val="00D53646"/>
    <w:rsid w:val="00D53F83"/>
    <w:rsid w:val="00D541AD"/>
    <w:rsid w:val="00D55013"/>
    <w:rsid w:val="00D55531"/>
    <w:rsid w:val="00D5556E"/>
    <w:rsid w:val="00D569F8"/>
    <w:rsid w:val="00D5752C"/>
    <w:rsid w:val="00D60116"/>
    <w:rsid w:val="00D604D6"/>
    <w:rsid w:val="00D60737"/>
    <w:rsid w:val="00D6104D"/>
    <w:rsid w:val="00D6118C"/>
    <w:rsid w:val="00D6168B"/>
    <w:rsid w:val="00D6200D"/>
    <w:rsid w:val="00D6488C"/>
    <w:rsid w:val="00D64C01"/>
    <w:rsid w:val="00D64DC3"/>
    <w:rsid w:val="00D65299"/>
    <w:rsid w:val="00D655CF"/>
    <w:rsid w:val="00D65F50"/>
    <w:rsid w:val="00D66F1F"/>
    <w:rsid w:val="00D67344"/>
    <w:rsid w:val="00D67A20"/>
    <w:rsid w:val="00D702D4"/>
    <w:rsid w:val="00D705D6"/>
    <w:rsid w:val="00D70F03"/>
    <w:rsid w:val="00D713B9"/>
    <w:rsid w:val="00D714A8"/>
    <w:rsid w:val="00D71894"/>
    <w:rsid w:val="00D72146"/>
    <w:rsid w:val="00D724B3"/>
    <w:rsid w:val="00D72C0A"/>
    <w:rsid w:val="00D7348D"/>
    <w:rsid w:val="00D73492"/>
    <w:rsid w:val="00D74097"/>
    <w:rsid w:val="00D7420C"/>
    <w:rsid w:val="00D74808"/>
    <w:rsid w:val="00D7486F"/>
    <w:rsid w:val="00D74919"/>
    <w:rsid w:val="00D74C49"/>
    <w:rsid w:val="00D74D58"/>
    <w:rsid w:val="00D7585A"/>
    <w:rsid w:val="00D758B1"/>
    <w:rsid w:val="00D76301"/>
    <w:rsid w:val="00D764DB"/>
    <w:rsid w:val="00D76654"/>
    <w:rsid w:val="00D76AC9"/>
    <w:rsid w:val="00D77081"/>
    <w:rsid w:val="00D775EE"/>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87E23"/>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7E2"/>
    <w:rsid w:val="00D96830"/>
    <w:rsid w:val="00D96DD1"/>
    <w:rsid w:val="00D96E37"/>
    <w:rsid w:val="00DA0545"/>
    <w:rsid w:val="00DA0FD5"/>
    <w:rsid w:val="00DA386E"/>
    <w:rsid w:val="00DA4022"/>
    <w:rsid w:val="00DA416B"/>
    <w:rsid w:val="00DA5551"/>
    <w:rsid w:val="00DA59D6"/>
    <w:rsid w:val="00DA628A"/>
    <w:rsid w:val="00DA6558"/>
    <w:rsid w:val="00DA7C2A"/>
    <w:rsid w:val="00DA7DCB"/>
    <w:rsid w:val="00DB0141"/>
    <w:rsid w:val="00DB08B1"/>
    <w:rsid w:val="00DB13F5"/>
    <w:rsid w:val="00DB1AF4"/>
    <w:rsid w:val="00DB1CB2"/>
    <w:rsid w:val="00DB1D82"/>
    <w:rsid w:val="00DB1DBC"/>
    <w:rsid w:val="00DB243D"/>
    <w:rsid w:val="00DB2529"/>
    <w:rsid w:val="00DB2B48"/>
    <w:rsid w:val="00DB2C15"/>
    <w:rsid w:val="00DB2C63"/>
    <w:rsid w:val="00DB3368"/>
    <w:rsid w:val="00DB3576"/>
    <w:rsid w:val="00DB37B3"/>
    <w:rsid w:val="00DB3AAC"/>
    <w:rsid w:val="00DB3C9B"/>
    <w:rsid w:val="00DB3F4B"/>
    <w:rsid w:val="00DB43F4"/>
    <w:rsid w:val="00DB4ED0"/>
    <w:rsid w:val="00DB5589"/>
    <w:rsid w:val="00DB5BA9"/>
    <w:rsid w:val="00DB62EF"/>
    <w:rsid w:val="00DB6E07"/>
    <w:rsid w:val="00DB7018"/>
    <w:rsid w:val="00DB7107"/>
    <w:rsid w:val="00DB75CA"/>
    <w:rsid w:val="00DB78E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A9"/>
    <w:rsid w:val="00DC5DFA"/>
    <w:rsid w:val="00DC62B2"/>
    <w:rsid w:val="00DC65F7"/>
    <w:rsid w:val="00DC6725"/>
    <w:rsid w:val="00DC67D6"/>
    <w:rsid w:val="00DC67FD"/>
    <w:rsid w:val="00DC698A"/>
    <w:rsid w:val="00DC79E4"/>
    <w:rsid w:val="00DC7BB5"/>
    <w:rsid w:val="00DD01F2"/>
    <w:rsid w:val="00DD1242"/>
    <w:rsid w:val="00DD1394"/>
    <w:rsid w:val="00DD1412"/>
    <w:rsid w:val="00DD14FF"/>
    <w:rsid w:val="00DD1608"/>
    <w:rsid w:val="00DD25A6"/>
    <w:rsid w:val="00DD2BAA"/>
    <w:rsid w:val="00DD3315"/>
    <w:rsid w:val="00DD40EE"/>
    <w:rsid w:val="00DD4D98"/>
    <w:rsid w:val="00DD5421"/>
    <w:rsid w:val="00DD5EC5"/>
    <w:rsid w:val="00DE0119"/>
    <w:rsid w:val="00DE0807"/>
    <w:rsid w:val="00DE0F1D"/>
    <w:rsid w:val="00DE1CF2"/>
    <w:rsid w:val="00DE1D62"/>
    <w:rsid w:val="00DE2020"/>
    <w:rsid w:val="00DE215A"/>
    <w:rsid w:val="00DE2EB9"/>
    <w:rsid w:val="00DE34DD"/>
    <w:rsid w:val="00DE3A97"/>
    <w:rsid w:val="00DE3FAA"/>
    <w:rsid w:val="00DE5002"/>
    <w:rsid w:val="00DE5D5E"/>
    <w:rsid w:val="00DE5E8D"/>
    <w:rsid w:val="00DE696D"/>
    <w:rsid w:val="00DE70C5"/>
    <w:rsid w:val="00DE7825"/>
    <w:rsid w:val="00DE7B42"/>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81A"/>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60F"/>
    <w:rsid w:val="00E10DB9"/>
    <w:rsid w:val="00E10E35"/>
    <w:rsid w:val="00E11139"/>
    <w:rsid w:val="00E113DD"/>
    <w:rsid w:val="00E1161C"/>
    <w:rsid w:val="00E11C08"/>
    <w:rsid w:val="00E1224B"/>
    <w:rsid w:val="00E122E7"/>
    <w:rsid w:val="00E12858"/>
    <w:rsid w:val="00E131B9"/>
    <w:rsid w:val="00E13DBC"/>
    <w:rsid w:val="00E14218"/>
    <w:rsid w:val="00E15527"/>
    <w:rsid w:val="00E155F1"/>
    <w:rsid w:val="00E159FE"/>
    <w:rsid w:val="00E15CBC"/>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0AC"/>
    <w:rsid w:val="00E221ED"/>
    <w:rsid w:val="00E229E8"/>
    <w:rsid w:val="00E22F60"/>
    <w:rsid w:val="00E2407A"/>
    <w:rsid w:val="00E249C1"/>
    <w:rsid w:val="00E24B33"/>
    <w:rsid w:val="00E24D4B"/>
    <w:rsid w:val="00E2531E"/>
    <w:rsid w:val="00E25D27"/>
    <w:rsid w:val="00E264DC"/>
    <w:rsid w:val="00E26E44"/>
    <w:rsid w:val="00E27672"/>
    <w:rsid w:val="00E27A1F"/>
    <w:rsid w:val="00E30591"/>
    <w:rsid w:val="00E30735"/>
    <w:rsid w:val="00E30AC5"/>
    <w:rsid w:val="00E30FB6"/>
    <w:rsid w:val="00E31713"/>
    <w:rsid w:val="00E31ACE"/>
    <w:rsid w:val="00E32128"/>
    <w:rsid w:val="00E32AAE"/>
    <w:rsid w:val="00E33D54"/>
    <w:rsid w:val="00E342E5"/>
    <w:rsid w:val="00E344F6"/>
    <w:rsid w:val="00E355DA"/>
    <w:rsid w:val="00E3591B"/>
    <w:rsid w:val="00E35D84"/>
    <w:rsid w:val="00E36028"/>
    <w:rsid w:val="00E3641B"/>
    <w:rsid w:val="00E36F1F"/>
    <w:rsid w:val="00E37529"/>
    <w:rsid w:val="00E376A8"/>
    <w:rsid w:val="00E37778"/>
    <w:rsid w:val="00E40FBC"/>
    <w:rsid w:val="00E41462"/>
    <w:rsid w:val="00E41882"/>
    <w:rsid w:val="00E41F7B"/>
    <w:rsid w:val="00E42FC3"/>
    <w:rsid w:val="00E43CD2"/>
    <w:rsid w:val="00E4453A"/>
    <w:rsid w:val="00E45246"/>
    <w:rsid w:val="00E45B2A"/>
    <w:rsid w:val="00E4641F"/>
    <w:rsid w:val="00E46424"/>
    <w:rsid w:val="00E4696E"/>
    <w:rsid w:val="00E46C5B"/>
    <w:rsid w:val="00E46DD5"/>
    <w:rsid w:val="00E47224"/>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93C"/>
    <w:rsid w:val="00E72C9D"/>
    <w:rsid w:val="00E734D8"/>
    <w:rsid w:val="00E74A60"/>
    <w:rsid w:val="00E753B3"/>
    <w:rsid w:val="00E753D1"/>
    <w:rsid w:val="00E75D5C"/>
    <w:rsid w:val="00E76A5D"/>
    <w:rsid w:val="00E773C2"/>
    <w:rsid w:val="00E77B20"/>
    <w:rsid w:val="00E77DB4"/>
    <w:rsid w:val="00E8064B"/>
    <w:rsid w:val="00E8069F"/>
    <w:rsid w:val="00E811C9"/>
    <w:rsid w:val="00E812BC"/>
    <w:rsid w:val="00E8198B"/>
    <w:rsid w:val="00E819D3"/>
    <w:rsid w:val="00E81F74"/>
    <w:rsid w:val="00E8211B"/>
    <w:rsid w:val="00E82A33"/>
    <w:rsid w:val="00E8401D"/>
    <w:rsid w:val="00E841BE"/>
    <w:rsid w:val="00E842AF"/>
    <w:rsid w:val="00E853F5"/>
    <w:rsid w:val="00E8572F"/>
    <w:rsid w:val="00E8639D"/>
    <w:rsid w:val="00E8690A"/>
    <w:rsid w:val="00E8747B"/>
    <w:rsid w:val="00E87C61"/>
    <w:rsid w:val="00E90300"/>
    <w:rsid w:val="00E909DA"/>
    <w:rsid w:val="00E90B59"/>
    <w:rsid w:val="00E90C15"/>
    <w:rsid w:val="00E90C53"/>
    <w:rsid w:val="00E90F31"/>
    <w:rsid w:val="00E91817"/>
    <w:rsid w:val="00E91A36"/>
    <w:rsid w:val="00E91A49"/>
    <w:rsid w:val="00E91C83"/>
    <w:rsid w:val="00E91E06"/>
    <w:rsid w:val="00E9208C"/>
    <w:rsid w:val="00E92CA8"/>
    <w:rsid w:val="00E93F2B"/>
    <w:rsid w:val="00E94AE2"/>
    <w:rsid w:val="00E94D03"/>
    <w:rsid w:val="00E94EF5"/>
    <w:rsid w:val="00E94F93"/>
    <w:rsid w:val="00E95175"/>
    <w:rsid w:val="00E95273"/>
    <w:rsid w:val="00E95888"/>
    <w:rsid w:val="00E95BC1"/>
    <w:rsid w:val="00E96784"/>
    <w:rsid w:val="00EA0160"/>
    <w:rsid w:val="00EA0954"/>
    <w:rsid w:val="00EA10C8"/>
    <w:rsid w:val="00EA10F4"/>
    <w:rsid w:val="00EA1B87"/>
    <w:rsid w:val="00EA320A"/>
    <w:rsid w:val="00EA36E4"/>
    <w:rsid w:val="00EA3EDD"/>
    <w:rsid w:val="00EA3EFB"/>
    <w:rsid w:val="00EA46B8"/>
    <w:rsid w:val="00EA47A3"/>
    <w:rsid w:val="00EA4C56"/>
    <w:rsid w:val="00EA5395"/>
    <w:rsid w:val="00EA5A1A"/>
    <w:rsid w:val="00EA5B02"/>
    <w:rsid w:val="00EA5F92"/>
    <w:rsid w:val="00EA6532"/>
    <w:rsid w:val="00EA73DA"/>
    <w:rsid w:val="00EA7593"/>
    <w:rsid w:val="00EA7BF6"/>
    <w:rsid w:val="00EA7F94"/>
    <w:rsid w:val="00EB0B5E"/>
    <w:rsid w:val="00EB13EB"/>
    <w:rsid w:val="00EB1AE8"/>
    <w:rsid w:val="00EB1EAC"/>
    <w:rsid w:val="00EB2326"/>
    <w:rsid w:val="00EB2B0E"/>
    <w:rsid w:val="00EB2EA6"/>
    <w:rsid w:val="00EB306E"/>
    <w:rsid w:val="00EB3216"/>
    <w:rsid w:val="00EB37C1"/>
    <w:rsid w:val="00EB3D47"/>
    <w:rsid w:val="00EB3DAA"/>
    <w:rsid w:val="00EB4ACF"/>
    <w:rsid w:val="00EB4E30"/>
    <w:rsid w:val="00EB4F85"/>
    <w:rsid w:val="00EB53BB"/>
    <w:rsid w:val="00EB5516"/>
    <w:rsid w:val="00EB5FBD"/>
    <w:rsid w:val="00EB5FBF"/>
    <w:rsid w:val="00EB61DF"/>
    <w:rsid w:val="00EB6949"/>
    <w:rsid w:val="00EB7970"/>
    <w:rsid w:val="00EC0153"/>
    <w:rsid w:val="00EC0163"/>
    <w:rsid w:val="00EC075B"/>
    <w:rsid w:val="00EC15F0"/>
    <w:rsid w:val="00EC20E7"/>
    <w:rsid w:val="00EC238A"/>
    <w:rsid w:val="00EC2782"/>
    <w:rsid w:val="00EC2895"/>
    <w:rsid w:val="00EC344C"/>
    <w:rsid w:val="00EC3A53"/>
    <w:rsid w:val="00EC3F0B"/>
    <w:rsid w:val="00EC402A"/>
    <w:rsid w:val="00EC4063"/>
    <w:rsid w:val="00EC539B"/>
    <w:rsid w:val="00EC55C4"/>
    <w:rsid w:val="00EC5915"/>
    <w:rsid w:val="00EC5D13"/>
    <w:rsid w:val="00EC63D1"/>
    <w:rsid w:val="00EC6DA7"/>
    <w:rsid w:val="00EC6F50"/>
    <w:rsid w:val="00EC782C"/>
    <w:rsid w:val="00EC7A0D"/>
    <w:rsid w:val="00EC7BE3"/>
    <w:rsid w:val="00ED0425"/>
    <w:rsid w:val="00ED1219"/>
    <w:rsid w:val="00ED137C"/>
    <w:rsid w:val="00ED1561"/>
    <w:rsid w:val="00ED22CE"/>
    <w:rsid w:val="00ED24E6"/>
    <w:rsid w:val="00ED266D"/>
    <w:rsid w:val="00ED2E7F"/>
    <w:rsid w:val="00ED387F"/>
    <w:rsid w:val="00ED3C01"/>
    <w:rsid w:val="00ED41E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D7F94"/>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3F9"/>
    <w:rsid w:val="00EE64F0"/>
    <w:rsid w:val="00EE79C6"/>
    <w:rsid w:val="00EF0303"/>
    <w:rsid w:val="00EF0357"/>
    <w:rsid w:val="00EF03B3"/>
    <w:rsid w:val="00EF0782"/>
    <w:rsid w:val="00EF07E0"/>
    <w:rsid w:val="00EF0EF8"/>
    <w:rsid w:val="00EF1300"/>
    <w:rsid w:val="00EF15D6"/>
    <w:rsid w:val="00EF16AB"/>
    <w:rsid w:val="00EF1BE7"/>
    <w:rsid w:val="00EF2014"/>
    <w:rsid w:val="00EF27CF"/>
    <w:rsid w:val="00EF3A80"/>
    <w:rsid w:val="00EF40EB"/>
    <w:rsid w:val="00EF4380"/>
    <w:rsid w:val="00EF52DA"/>
    <w:rsid w:val="00EF66DB"/>
    <w:rsid w:val="00EF68AB"/>
    <w:rsid w:val="00EF7099"/>
    <w:rsid w:val="00EF7963"/>
    <w:rsid w:val="00F00139"/>
    <w:rsid w:val="00F007A3"/>
    <w:rsid w:val="00F01032"/>
    <w:rsid w:val="00F017D5"/>
    <w:rsid w:val="00F0183A"/>
    <w:rsid w:val="00F018C4"/>
    <w:rsid w:val="00F01BF3"/>
    <w:rsid w:val="00F02059"/>
    <w:rsid w:val="00F02254"/>
    <w:rsid w:val="00F02265"/>
    <w:rsid w:val="00F02381"/>
    <w:rsid w:val="00F025D5"/>
    <w:rsid w:val="00F02B69"/>
    <w:rsid w:val="00F02C4C"/>
    <w:rsid w:val="00F034F8"/>
    <w:rsid w:val="00F037D6"/>
    <w:rsid w:val="00F038E9"/>
    <w:rsid w:val="00F03945"/>
    <w:rsid w:val="00F0416C"/>
    <w:rsid w:val="00F052ED"/>
    <w:rsid w:val="00F05A2F"/>
    <w:rsid w:val="00F06324"/>
    <w:rsid w:val="00F06611"/>
    <w:rsid w:val="00F06D6D"/>
    <w:rsid w:val="00F06E13"/>
    <w:rsid w:val="00F06F3F"/>
    <w:rsid w:val="00F07853"/>
    <w:rsid w:val="00F10C6E"/>
    <w:rsid w:val="00F10FCC"/>
    <w:rsid w:val="00F1140A"/>
    <w:rsid w:val="00F11EB8"/>
    <w:rsid w:val="00F12B71"/>
    <w:rsid w:val="00F134F4"/>
    <w:rsid w:val="00F13E1E"/>
    <w:rsid w:val="00F1429C"/>
    <w:rsid w:val="00F15705"/>
    <w:rsid w:val="00F17981"/>
    <w:rsid w:val="00F17B12"/>
    <w:rsid w:val="00F17CF8"/>
    <w:rsid w:val="00F17E0D"/>
    <w:rsid w:val="00F204EF"/>
    <w:rsid w:val="00F206D8"/>
    <w:rsid w:val="00F20E7A"/>
    <w:rsid w:val="00F22898"/>
    <w:rsid w:val="00F23581"/>
    <w:rsid w:val="00F23B68"/>
    <w:rsid w:val="00F23C19"/>
    <w:rsid w:val="00F24A41"/>
    <w:rsid w:val="00F2554B"/>
    <w:rsid w:val="00F25CF0"/>
    <w:rsid w:val="00F25F18"/>
    <w:rsid w:val="00F2641D"/>
    <w:rsid w:val="00F26DF5"/>
    <w:rsid w:val="00F27290"/>
    <w:rsid w:val="00F2766A"/>
    <w:rsid w:val="00F2785B"/>
    <w:rsid w:val="00F279B0"/>
    <w:rsid w:val="00F30251"/>
    <w:rsid w:val="00F305B2"/>
    <w:rsid w:val="00F3226D"/>
    <w:rsid w:val="00F3245D"/>
    <w:rsid w:val="00F334B6"/>
    <w:rsid w:val="00F335A7"/>
    <w:rsid w:val="00F33E15"/>
    <w:rsid w:val="00F34265"/>
    <w:rsid w:val="00F34CDE"/>
    <w:rsid w:val="00F35249"/>
    <w:rsid w:val="00F353F9"/>
    <w:rsid w:val="00F3546C"/>
    <w:rsid w:val="00F35609"/>
    <w:rsid w:val="00F35BAB"/>
    <w:rsid w:val="00F35D3F"/>
    <w:rsid w:val="00F3607F"/>
    <w:rsid w:val="00F3646F"/>
    <w:rsid w:val="00F36C1D"/>
    <w:rsid w:val="00F372A4"/>
    <w:rsid w:val="00F373AF"/>
    <w:rsid w:val="00F3754E"/>
    <w:rsid w:val="00F4167E"/>
    <w:rsid w:val="00F416FA"/>
    <w:rsid w:val="00F42339"/>
    <w:rsid w:val="00F423EF"/>
    <w:rsid w:val="00F4314A"/>
    <w:rsid w:val="00F43433"/>
    <w:rsid w:val="00F43450"/>
    <w:rsid w:val="00F44318"/>
    <w:rsid w:val="00F44BE8"/>
    <w:rsid w:val="00F44C0F"/>
    <w:rsid w:val="00F45BA6"/>
    <w:rsid w:val="00F470A4"/>
    <w:rsid w:val="00F47785"/>
    <w:rsid w:val="00F479F8"/>
    <w:rsid w:val="00F50014"/>
    <w:rsid w:val="00F5068A"/>
    <w:rsid w:val="00F50A32"/>
    <w:rsid w:val="00F50B68"/>
    <w:rsid w:val="00F516D6"/>
    <w:rsid w:val="00F51D3D"/>
    <w:rsid w:val="00F5262C"/>
    <w:rsid w:val="00F527D2"/>
    <w:rsid w:val="00F52F30"/>
    <w:rsid w:val="00F53000"/>
    <w:rsid w:val="00F53BB6"/>
    <w:rsid w:val="00F54596"/>
    <w:rsid w:val="00F54C2D"/>
    <w:rsid w:val="00F5558B"/>
    <w:rsid w:val="00F55ED9"/>
    <w:rsid w:val="00F56DA6"/>
    <w:rsid w:val="00F56FE4"/>
    <w:rsid w:val="00F570B1"/>
    <w:rsid w:val="00F6026C"/>
    <w:rsid w:val="00F60F26"/>
    <w:rsid w:val="00F62AFD"/>
    <w:rsid w:val="00F6310D"/>
    <w:rsid w:val="00F64206"/>
    <w:rsid w:val="00F6428B"/>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A28"/>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45A"/>
    <w:rsid w:val="00F83D5D"/>
    <w:rsid w:val="00F83EBA"/>
    <w:rsid w:val="00F84162"/>
    <w:rsid w:val="00F84547"/>
    <w:rsid w:val="00F8559D"/>
    <w:rsid w:val="00F85686"/>
    <w:rsid w:val="00F85E7E"/>
    <w:rsid w:val="00F87CE0"/>
    <w:rsid w:val="00F8A62D"/>
    <w:rsid w:val="00F90580"/>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0FA"/>
    <w:rsid w:val="00FA792B"/>
    <w:rsid w:val="00FB0592"/>
    <w:rsid w:val="00FB0808"/>
    <w:rsid w:val="00FB1198"/>
    <w:rsid w:val="00FB2084"/>
    <w:rsid w:val="00FB2619"/>
    <w:rsid w:val="00FB276C"/>
    <w:rsid w:val="00FB303B"/>
    <w:rsid w:val="00FB372D"/>
    <w:rsid w:val="00FB4032"/>
    <w:rsid w:val="00FB42E8"/>
    <w:rsid w:val="00FB4714"/>
    <w:rsid w:val="00FB49C0"/>
    <w:rsid w:val="00FB57FB"/>
    <w:rsid w:val="00FB5F29"/>
    <w:rsid w:val="00FB60F1"/>
    <w:rsid w:val="00FB6C48"/>
    <w:rsid w:val="00FB71DC"/>
    <w:rsid w:val="00FB7611"/>
    <w:rsid w:val="00FB78A4"/>
    <w:rsid w:val="00FC0C2A"/>
    <w:rsid w:val="00FC116A"/>
    <w:rsid w:val="00FC13CC"/>
    <w:rsid w:val="00FC18C4"/>
    <w:rsid w:val="00FC1ACE"/>
    <w:rsid w:val="00FC26DD"/>
    <w:rsid w:val="00FC2F9C"/>
    <w:rsid w:val="00FC396E"/>
    <w:rsid w:val="00FC3B84"/>
    <w:rsid w:val="00FC3D2F"/>
    <w:rsid w:val="00FC4ECC"/>
    <w:rsid w:val="00FC53CE"/>
    <w:rsid w:val="00FC54D7"/>
    <w:rsid w:val="00FC5E4E"/>
    <w:rsid w:val="00FC6457"/>
    <w:rsid w:val="00FC6EF4"/>
    <w:rsid w:val="00FD0675"/>
    <w:rsid w:val="00FD0D70"/>
    <w:rsid w:val="00FD1829"/>
    <w:rsid w:val="00FD19E3"/>
    <w:rsid w:val="00FD2245"/>
    <w:rsid w:val="00FD2BCE"/>
    <w:rsid w:val="00FD2D31"/>
    <w:rsid w:val="00FD4053"/>
    <w:rsid w:val="00FD45EB"/>
    <w:rsid w:val="00FD4645"/>
    <w:rsid w:val="00FD4C7A"/>
    <w:rsid w:val="00FD5C78"/>
    <w:rsid w:val="00FD6BC8"/>
    <w:rsid w:val="00FD6BD3"/>
    <w:rsid w:val="00FD6CA4"/>
    <w:rsid w:val="00FD70AF"/>
    <w:rsid w:val="00FD79BB"/>
    <w:rsid w:val="00FD7D0A"/>
    <w:rsid w:val="00FD7F59"/>
    <w:rsid w:val="00FE147D"/>
    <w:rsid w:val="00FE17DE"/>
    <w:rsid w:val="00FE18C9"/>
    <w:rsid w:val="00FE1B93"/>
    <w:rsid w:val="00FE2152"/>
    <w:rsid w:val="00FE2CCF"/>
    <w:rsid w:val="00FE3425"/>
    <w:rsid w:val="00FE3BA0"/>
    <w:rsid w:val="00FE49E5"/>
    <w:rsid w:val="00FE4A5D"/>
    <w:rsid w:val="00FE4AE7"/>
    <w:rsid w:val="00FE6832"/>
    <w:rsid w:val="00FE6979"/>
    <w:rsid w:val="00FE6C7C"/>
    <w:rsid w:val="00FE6CC2"/>
    <w:rsid w:val="00FE74BD"/>
    <w:rsid w:val="00FE7A03"/>
    <w:rsid w:val="00FF058D"/>
    <w:rsid w:val="00FF072B"/>
    <w:rsid w:val="00FF1012"/>
    <w:rsid w:val="00FF1D50"/>
    <w:rsid w:val="00FF1F56"/>
    <w:rsid w:val="00FF280A"/>
    <w:rsid w:val="00FF2903"/>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2085F76"/>
    <w:rsid w:val="023C3672"/>
    <w:rsid w:val="02567EBD"/>
    <w:rsid w:val="03B5C129"/>
    <w:rsid w:val="03C32484"/>
    <w:rsid w:val="04F17A00"/>
    <w:rsid w:val="04F3E707"/>
    <w:rsid w:val="05142FD1"/>
    <w:rsid w:val="0719CAAF"/>
    <w:rsid w:val="07379BEF"/>
    <w:rsid w:val="081444FB"/>
    <w:rsid w:val="087C255A"/>
    <w:rsid w:val="0889324C"/>
    <w:rsid w:val="0AF75E06"/>
    <w:rsid w:val="0BB72F42"/>
    <w:rsid w:val="0D7C4ADF"/>
    <w:rsid w:val="0DDAE18A"/>
    <w:rsid w:val="0E159CA9"/>
    <w:rsid w:val="0EA6958F"/>
    <w:rsid w:val="10F2E4B1"/>
    <w:rsid w:val="12344277"/>
    <w:rsid w:val="1334EB1E"/>
    <w:rsid w:val="14B79322"/>
    <w:rsid w:val="15C12632"/>
    <w:rsid w:val="161BDE2D"/>
    <w:rsid w:val="17B7AE8E"/>
    <w:rsid w:val="1895B24A"/>
    <w:rsid w:val="19A42CA2"/>
    <w:rsid w:val="1A081B96"/>
    <w:rsid w:val="1B85DCF0"/>
    <w:rsid w:val="1BA3EBF7"/>
    <w:rsid w:val="1BCD724B"/>
    <w:rsid w:val="1C5D2279"/>
    <w:rsid w:val="1E6FC234"/>
    <w:rsid w:val="1F09782E"/>
    <w:rsid w:val="1F4C8F77"/>
    <w:rsid w:val="202703FE"/>
    <w:rsid w:val="208C2032"/>
    <w:rsid w:val="2227F093"/>
    <w:rsid w:val="224118F0"/>
    <w:rsid w:val="23636082"/>
    <w:rsid w:val="24842B31"/>
    <w:rsid w:val="24A2A8F1"/>
    <w:rsid w:val="253AE16E"/>
    <w:rsid w:val="253F1502"/>
    <w:rsid w:val="25C179DF"/>
    <w:rsid w:val="27018F37"/>
    <w:rsid w:val="28B05A74"/>
    <w:rsid w:val="2A4C2AD5"/>
    <w:rsid w:val="2AF06FC1"/>
    <w:rsid w:val="2B877871"/>
    <w:rsid w:val="2C0E1678"/>
    <w:rsid w:val="2CF4102F"/>
    <w:rsid w:val="2D5DCDA8"/>
    <w:rsid w:val="2D83CB97"/>
    <w:rsid w:val="2DAE6B39"/>
    <w:rsid w:val="2E6B731F"/>
    <w:rsid w:val="2F784ED0"/>
    <w:rsid w:val="2FC3B9A6"/>
    <w:rsid w:val="30258421"/>
    <w:rsid w:val="306068B9"/>
    <w:rsid w:val="31DB2737"/>
    <w:rsid w:val="32503215"/>
    <w:rsid w:val="34B2561E"/>
    <w:rsid w:val="34DAB4A3"/>
    <w:rsid w:val="358EDD7C"/>
    <w:rsid w:val="35CCD3F3"/>
    <w:rsid w:val="36F4C31F"/>
    <w:rsid w:val="38F6160E"/>
    <w:rsid w:val="397D34BA"/>
    <w:rsid w:val="3A01271C"/>
    <w:rsid w:val="3B49F627"/>
    <w:rsid w:val="3CD8B996"/>
    <w:rsid w:val="3D6404A3"/>
    <w:rsid w:val="3EFFD504"/>
    <w:rsid w:val="3F655792"/>
    <w:rsid w:val="3F684CEA"/>
    <w:rsid w:val="3FFA1CDE"/>
    <w:rsid w:val="401EA0D2"/>
    <w:rsid w:val="40C0554C"/>
    <w:rsid w:val="41091579"/>
    <w:rsid w:val="42B0527B"/>
    <w:rsid w:val="432AEB61"/>
    <w:rsid w:val="43B8FCE3"/>
    <w:rsid w:val="4440B63B"/>
    <w:rsid w:val="446A18BE"/>
    <w:rsid w:val="4914275E"/>
    <w:rsid w:val="4AAFF7BF"/>
    <w:rsid w:val="4ED36DEE"/>
    <w:rsid w:val="500D55C5"/>
    <w:rsid w:val="50F4FD4D"/>
    <w:rsid w:val="51297686"/>
    <w:rsid w:val="5188B989"/>
    <w:rsid w:val="51B60BDA"/>
    <w:rsid w:val="52194997"/>
    <w:rsid w:val="53B519F8"/>
    <w:rsid w:val="542C9E0F"/>
    <w:rsid w:val="547C7199"/>
    <w:rsid w:val="55E1C3D3"/>
    <w:rsid w:val="5656995A"/>
    <w:rsid w:val="5714E53C"/>
    <w:rsid w:val="581867AA"/>
    <w:rsid w:val="589A5E6E"/>
    <w:rsid w:val="595CFF8E"/>
    <w:rsid w:val="5A17E008"/>
    <w:rsid w:val="5C2E0C28"/>
    <w:rsid w:val="5C473485"/>
    <w:rsid w:val="5F62FECF"/>
    <w:rsid w:val="602B6715"/>
    <w:rsid w:val="60742742"/>
    <w:rsid w:val="607B44B5"/>
    <w:rsid w:val="61173C82"/>
    <w:rsid w:val="61ECE693"/>
    <w:rsid w:val="621A20EF"/>
    <w:rsid w:val="62EAB977"/>
    <w:rsid w:val="63233054"/>
    <w:rsid w:val="6339C93E"/>
    <w:rsid w:val="63E2252E"/>
    <w:rsid w:val="64391E0D"/>
    <w:rsid w:val="653684CC"/>
    <w:rsid w:val="67070C28"/>
    <w:rsid w:val="6820B9C3"/>
    <w:rsid w:val="687F3927"/>
    <w:rsid w:val="68D17B7A"/>
    <w:rsid w:val="68DCDF47"/>
    <w:rsid w:val="6A1B0988"/>
    <w:rsid w:val="6B6E19BC"/>
    <w:rsid w:val="6BDE3D2D"/>
    <w:rsid w:val="6C48B452"/>
    <w:rsid w:val="6C562109"/>
    <w:rsid w:val="73A73469"/>
    <w:rsid w:val="78617D2F"/>
    <w:rsid w:val="7947EBD5"/>
    <w:rsid w:val="7B991DF1"/>
    <w:rsid w:val="7BAEDD28"/>
    <w:rsid w:val="7C6DEA9E"/>
    <w:rsid w:val="7EC54B3C"/>
    <w:rsid w:val="7F79B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customStyle="1" w:styleId="superscript">
    <w:name w:val="superscript"/>
    <w:basedOn w:val="Fuentedeprrafopredeter"/>
    <w:rsid w:val="008D7B8B"/>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 w:type="paragraph" w:styleId="Asuntodelcomentario">
    <w:name w:val="annotation subject"/>
    <w:basedOn w:val="Textocomentario"/>
    <w:next w:val="Textocomentario"/>
    <w:link w:val="AsuntodelcomentarioCar"/>
    <w:semiHidden/>
    <w:unhideWhenUsed/>
    <w:rsid w:val="00B92904"/>
    <w:rPr>
      <w:b/>
      <w:bCs/>
    </w:rPr>
  </w:style>
  <w:style w:type="character" w:customStyle="1" w:styleId="AsuntodelcomentarioCar">
    <w:name w:val="Asunto del comentario Car"/>
    <w:basedOn w:val="TextocomentarioCar"/>
    <w:link w:val="Asuntodelcomentario"/>
    <w:semiHidden/>
    <w:rsid w:val="00B92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178">
      <w:bodyDiv w:val="1"/>
      <w:marLeft w:val="0"/>
      <w:marRight w:val="0"/>
      <w:marTop w:val="0"/>
      <w:marBottom w:val="0"/>
      <w:divBdr>
        <w:top w:val="none" w:sz="0" w:space="0" w:color="auto"/>
        <w:left w:val="none" w:sz="0" w:space="0" w:color="auto"/>
        <w:bottom w:val="none" w:sz="0" w:space="0" w:color="auto"/>
        <w:right w:val="none" w:sz="0" w:space="0" w:color="auto"/>
      </w:divBdr>
      <w:divsChild>
        <w:div w:id="445738845">
          <w:marLeft w:val="0"/>
          <w:marRight w:val="0"/>
          <w:marTop w:val="0"/>
          <w:marBottom w:val="0"/>
          <w:divBdr>
            <w:top w:val="none" w:sz="0" w:space="0" w:color="auto"/>
            <w:left w:val="none" w:sz="0" w:space="0" w:color="auto"/>
            <w:bottom w:val="none" w:sz="0" w:space="0" w:color="auto"/>
            <w:right w:val="none" w:sz="0" w:space="0" w:color="auto"/>
          </w:divBdr>
        </w:div>
        <w:div w:id="1934780694">
          <w:marLeft w:val="0"/>
          <w:marRight w:val="0"/>
          <w:marTop w:val="0"/>
          <w:marBottom w:val="0"/>
          <w:divBdr>
            <w:top w:val="none" w:sz="0" w:space="0" w:color="auto"/>
            <w:left w:val="none" w:sz="0" w:space="0" w:color="auto"/>
            <w:bottom w:val="none" w:sz="0" w:space="0" w:color="auto"/>
            <w:right w:val="none" w:sz="0" w:space="0" w:color="auto"/>
          </w:divBdr>
        </w:div>
        <w:div w:id="609629291">
          <w:marLeft w:val="0"/>
          <w:marRight w:val="0"/>
          <w:marTop w:val="0"/>
          <w:marBottom w:val="0"/>
          <w:divBdr>
            <w:top w:val="none" w:sz="0" w:space="0" w:color="auto"/>
            <w:left w:val="none" w:sz="0" w:space="0" w:color="auto"/>
            <w:bottom w:val="none" w:sz="0" w:space="0" w:color="auto"/>
            <w:right w:val="none" w:sz="0" w:space="0" w:color="auto"/>
          </w:divBdr>
        </w:div>
        <w:div w:id="44531554">
          <w:marLeft w:val="0"/>
          <w:marRight w:val="0"/>
          <w:marTop w:val="0"/>
          <w:marBottom w:val="0"/>
          <w:divBdr>
            <w:top w:val="none" w:sz="0" w:space="0" w:color="auto"/>
            <w:left w:val="none" w:sz="0" w:space="0" w:color="auto"/>
            <w:bottom w:val="none" w:sz="0" w:space="0" w:color="auto"/>
            <w:right w:val="none" w:sz="0" w:space="0" w:color="auto"/>
          </w:divBdr>
        </w:div>
        <w:div w:id="255870823">
          <w:marLeft w:val="0"/>
          <w:marRight w:val="0"/>
          <w:marTop w:val="0"/>
          <w:marBottom w:val="0"/>
          <w:divBdr>
            <w:top w:val="none" w:sz="0" w:space="0" w:color="auto"/>
            <w:left w:val="none" w:sz="0" w:space="0" w:color="auto"/>
            <w:bottom w:val="none" w:sz="0" w:space="0" w:color="auto"/>
            <w:right w:val="none" w:sz="0" w:space="0" w:color="auto"/>
          </w:divBdr>
        </w:div>
        <w:div w:id="1519345469">
          <w:marLeft w:val="0"/>
          <w:marRight w:val="0"/>
          <w:marTop w:val="0"/>
          <w:marBottom w:val="0"/>
          <w:divBdr>
            <w:top w:val="none" w:sz="0" w:space="0" w:color="auto"/>
            <w:left w:val="none" w:sz="0" w:space="0" w:color="auto"/>
            <w:bottom w:val="none" w:sz="0" w:space="0" w:color="auto"/>
            <w:right w:val="none" w:sz="0" w:space="0" w:color="auto"/>
          </w:divBdr>
        </w:div>
        <w:div w:id="1198077971">
          <w:marLeft w:val="0"/>
          <w:marRight w:val="0"/>
          <w:marTop w:val="0"/>
          <w:marBottom w:val="0"/>
          <w:divBdr>
            <w:top w:val="none" w:sz="0" w:space="0" w:color="auto"/>
            <w:left w:val="none" w:sz="0" w:space="0" w:color="auto"/>
            <w:bottom w:val="none" w:sz="0" w:space="0" w:color="auto"/>
            <w:right w:val="none" w:sz="0" w:space="0" w:color="auto"/>
          </w:divBdr>
        </w:div>
        <w:div w:id="1405371940">
          <w:marLeft w:val="0"/>
          <w:marRight w:val="0"/>
          <w:marTop w:val="0"/>
          <w:marBottom w:val="0"/>
          <w:divBdr>
            <w:top w:val="none" w:sz="0" w:space="0" w:color="auto"/>
            <w:left w:val="none" w:sz="0" w:space="0" w:color="auto"/>
            <w:bottom w:val="none" w:sz="0" w:space="0" w:color="auto"/>
            <w:right w:val="none" w:sz="0" w:space="0" w:color="auto"/>
          </w:divBdr>
        </w:div>
        <w:div w:id="1582256466">
          <w:marLeft w:val="0"/>
          <w:marRight w:val="0"/>
          <w:marTop w:val="0"/>
          <w:marBottom w:val="0"/>
          <w:divBdr>
            <w:top w:val="none" w:sz="0" w:space="0" w:color="auto"/>
            <w:left w:val="none" w:sz="0" w:space="0" w:color="auto"/>
            <w:bottom w:val="none" w:sz="0" w:space="0" w:color="auto"/>
            <w:right w:val="none" w:sz="0" w:space="0" w:color="auto"/>
          </w:divBdr>
        </w:div>
        <w:div w:id="1166284898">
          <w:marLeft w:val="0"/>
          <w:marRight w:val="0"/>
          <w:marTop w:val="0"/>
          <w:marBottom w:val="0"/>
          <w:divBdr>
            <w:top w:val="none" w:sz="0" w:space="0" w:color="auto"/>
            <w:left w:val="none" w:sz="0" w:space="0" w:color="auto"/>
            <w:bottom w:val="none" w:sz="0" w:space="0" w:color="auto"/>
            <w:right w:val="none" w:sz="0" w:space="0" w:color="auto"/>
          </w:divBdr>
        </w:div>
        <w:div w:id="1945069034">
          <w:marLeft w:val="0"/>
          <w:marRight w:val="0"/>
          <w:marTop w:val="0"/>
          <w:marBottom w:val="0"/>
          <w:divBdr>
            <w:top w:val="none" w:sz="0" w:space="0" w:color="auto"/>
            <w:left w:val="none" w:sz="0" w:space="0" w:color="auto"/>
            <w:bottom w:val="none" w:sz="0" w:space="0" w:color="auto"/>
            <w:right w:val="none" w:sz="0" w:space="0" w:color="auto"/>
          </w:divBdr>
        </w:div>
        <w:div w:id="2038655575">
          <w:marLeft w:val="0"/>
          <w:marRight w:val="0"/>
          <w:marTop w:val="0"/>
          <w:marBottom w:val="0"/>
          <w:divBdr>
            <w:top w:val="none" w:sz="0" w:space="0" w:color="auto"/>
            <w:left w:val="none" w:sz="0" w:space="0" w:color="auto"/>
            <w:bottom w:val="none" w:sz="0" w:space="0" w:color="auto"/>
            <w:right w:val="none" w:sz="0" w:space="0" w:color="auto"/>
          </w:divBdr>
        </w:div>
        <w:div w:id="913665996">
          <w:marLeft w:val="0"/>
          <w:marRight w:val="0"/>
          <w:marTop w:val="0"/>
          <w:marBottom w:val="0"/>
          <w:divBdr>
            <w:top w:val="none" w:sz="0" w:space="0" w:color="auto"/>
            <w:left w:val="none" w:sz="0" w:space="0" w:color="auto"/>
            <w:bottom w:val="none" w:sz="0" w:space="0" w:color="auto"/>
            <w:right w:val="none" w:sz="0" w:space="0" w:color="auto"/>
          </w:divBdr>
        </w:div>
        <w:div w:id="2073767666">
          <w:marLeft w:val="0"/>
          <w:marRight w:val="0"/>
          <w:marTop w:val="0"/>
          <w:marBottom w:val="0"/>
          <w:divBdr>
            <w:top w:val="none" w:sz="0" w:space="0" w:color="auto"/>
            <w:left w:val="none" w:sz="0" w:space="0" w:color="auto"/>
            <w:bottom w:val="none" w:sz="0" w:space="0" w:color="auto"/>
            <w:right w:val="none" w:sz="0" w:space="0" w:color="auto"/>
          </w:divBdr>
        </w:div>
        <w:div w:id="324482868">
          <w:marLeft w:val="0"/>
          <w:marRight w:val="0"/>
          <w:marTop w:val="0"/>
          <w:marBottom w:val="0"/>
          <w:divBdr>
            <w:top w:val="none" w:sz="0" w:space="0" w:color="auto"/>
            <w:left w:val="none" w:sz="0" w:space="0" w:color="auto"/>
            <w:bottom w:val="none" w:sz="0" w:space="0" w:color="auto"/>
            <w:right w:val="none" w:sz="0" w:space="0" w:color="auto"/>
          </w:divBdr>
        </w:div>
        <w:div w:id="1895123415">
          <w:marLeft w:val="0"/>
          <w:marRight w:val="0"/>
          <w:marTop w:val="0"/>
          <w:marBottom w:val="0"/>
          <w:divBdr>
            <w:top w:val="none" w:sz="0" w:space="0" w:color="auto"/>
            <w:left w:val="none" w:sz="0" w:space="0" w:color="auto"/>
            <w:bottom w:val="none" w:sz="0" w:space="0" w:color="auto"/>
            <w:right w:val="none" w:sz="0" w:space="0" w:color="auto"/>
          </w:divBdr>
        </w:div>
        <w:div w:id="1673532725">
          <w:marLeft w:val="0"/>
          <w:marRight w:val="0"/>
          <w:marTop w:val="0"/>
          <w:marBottom w:val="0"/>
          <w:divBdr>
            <w:top w:val="none" w:sz="0" w:space="0" w:color="auto"/>
            <w:left w:val="none" w:sz="0" w:space="0" w:color="auto"/>
            <w:bottom w:val="none" w:sz="0" w:space="0" w:color="auto"/>
            <w:right w:val="none" w:sz="0" w:space="0" w:color="auto"/>
          </w:divBdr>
        </w:div>
        <w:div w:id="821888331">
          <w:marLeft w:val="0"/>
          <w:marRight w:val="0"/>
          <w:marTop w:val="0"/>
          <w:marBottom w:val="0"/>
          <w:divBdr>
            <w:top w:val="none" w:sz="0" w:space="0" w:color="auto"/>
            <w:left w:val="none" w:sz="0" w:space="0" w:color="auto"/>
            <w:bottom w:val="none" w:sz="0" w:space="0" w:color="auto"/>
            <w:right w:val="none" w:sz="0" w:space="0" w:color="auto"/>
          </w:divBdr>
        </w:div>
        <w:div w:id="702169436">
          <w:marLeft w:val="0"/>
          <w:marRight w:val="0"/>
          <w:marTop w:val="0"/>
          <w:marBottom w:val="0"/>
          <w:divBdr>
            <w:top w:val="none" w:sz="0" w:space="0" w:color="auto"/>
            <w:left w:val="none" w:sz="0" w:space="0" w:color="auto"/>
            <w:bottom w:val="none" w:sz="0" w:space="0" w:color="auto"/>
            <w:right w:val="none" w:sz="0" w:space="0" w:color="auto"/>
          </w:divBdr>
        </w:div>
      </w:divsChild>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36217847">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25934896">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90139988">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23482222">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1231847">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b6cfaf5c995d4af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7FCA-5FD1-4922-8648-93AD9EDE0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DA849C33-A67A-4A7A-A418-B43F5601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5204</Words>
  <Characters>28626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7</cp:revision>
  <cp:lastPrinted>2018-11-02T18:38:00Z</cp:lastPrinted>
  <dcterms:created xsi:type="dcterms:W3CDTF">2023-05-04T16:11:00Z</dcterms:created>
  <dcterms:modified xsi:type="dcterms:W3CDTF">2023-07-11T20:24:00Z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