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3884" w14:textId="77777777" w:rsidR="005D443C" w:rsidRPr="005D443C" w:rsidRDefault="005D443C" w:rsidP="005D443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bookmarkStart w:id="1" w:name="_GoBack"/>
      <w:bookmarkEnd w:id="0"/>
      <w:r w:rsidRPr="005D443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2924E0" w14:textId="77777777" w:rsidR="005D443C" w:rsidRPr="005D443C" w:rsidRDefault="005D443C" w:rsidP="005D443C">
      <w:pPr>
        <w:spacing w:line="240" w:lineRule="auto"/>
        <w:rPr>
          <w:rFonts w:ascii="Arial" w:eastAsia="Times New Roman" w:hAnsi="Arial" w:cs="Arial"/>
          <w:sz w:val="20"/>
          <w:szCs w:val="20"/>
          <w:lang w:val="es-419" w:eastAsia="es-ES"/>
        </w:rPr>
      </w:pPr>
    </w:p>
    <w:p w14:paraId="0BC4BF24" w14:textId="418C9FB1" w:rsidR="005D443C" w:rsidRPr="005D443C" w:rsidRDefault="005D443C" w:rsidP="005D443C">
      <w:pPr>
        <w:spacing w:line="240" w:lineRule="auto"/>
        <w:rPr>
          <w:rFonts w:ascii="Arial" w:eastAsia="Tahoma" w:hAnsi="Arial" w:cs="Arial"/>
          <w:sz w:val="20"/>
          <w:szCs w:val="20"/>
          <w:lang w:val="es-419" w:eastAsia="es-CO"/>
        </w:rPr>
      </w:pPr>
      <w:r w:rsidRPr="005D443C">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5D443C">
        <w:rPr>
          <w:rFonts w:ascii="Arial" w:eastAsia="Tahoma" w:hAnsi="Arial" w:cs="Arial"/>
          <w:sz w:val="20"/>
          <w:szCs w:val="20"/>
          <w:lang w:val="es-419" w:eastAsia="es-CO"/>
        </w:rPr>
        <w:tab/>
        <w:t>66001-31-05-003-2021-00332-01</w:t>
      </w:r>
    </w:p>
    <w:p w14:paraId="15E586CC" w14:textId="4AD72BE8" w:rsidR="005D443C" w:rsidRPr="005D443C" w:rsidRDefault="005D443C" w:rsidP="005D443C">
      <w:pPr>
        <w:spacing w:line="240" w:lineRule="auto"/>
        <w:rPr>
          <w:rFonts w:ascii="Arial" w:eastAsia="Tahoma" w:hAnsi="Arial" w:cs="Arial"/>
          <w:sz w:val="20"/>
          <w:szCs w:val="20"/>
          <w:lang w:val="es-419" w:eastAsia="es-CO"/>
        </w:rPr>
      </w:pPr>
      <w:r w:rsidRPr="005D443C">
        <w:rPr>
          <w:rFonts w:ascii="Arial" w:eastAsia="Tahoma" w:hAnsi="Arial" w:cs="Arial"/>
          <w:sz w:val="20"/>
          <w:szCs w:val="20"/>
          <w:lang w:val="es-419" w:eastAsia="es-CO"/>
        </w:rPr>
        <w:t xml:space="preserve">Proceso: </w:t>
      </w:r>
      <w:r w:rsidRPr="005D443C">
        <w:rPr>
          <w:rFonts w:ascii="Arial" w:eastAsia="Tahoma" w:hAnsi="Arial" w:cs="Arial"/>
          <w:sz w:val="20"/>
          <w:szCs w:val="20"/>
          <w:lang w:val="es-419" w:eastAsia="es-CO"/>
        </w:rPr>
        <w:tab/>
      </w:r>
      <w:r w:rsidRPr="005D443C">
        <w:rPr>
          <w:rFonts w:ascii="Arial" w:eastAsia="Tahoma" w:hAnsi="Arial" w:cs="Arial"/>
          <w:sz w:val="20"/>
          <w:szCs w:val="20"/>
          <w:lang w:val="es-419" w:eastAsia="es-CO"/>
        </w:rPr>
        <w:tab/>
        <w:t xml:space="preserve">Ordinario Laboral </w:t>
      </w:r>
    </w:p>
    <w:p w14:paraId="2170F4DC" w14:textId="77777777" w:rsidR="005D443C" w:rsidRPr="005D443C" w:rsidRDefault="005D443C" w:rsidP="005D443C">
      <w:pPr>
        <w:spacing w:line="240" w:lineRule="auto"/>
        <w:rPr>
          <w:rFonts w:ascii="Arial" w:eastAsia="Tahoma" w:hAnsi="Arial" w:cs="Arial"/>
          <w:sz w:val="20"/>
          <w:szCs w:val="20"/>
          <w:lang w:val="es-419" w:eastAsia="es-CO"/>
        </w:rPr>
      </w:pPr>
      <w:r w:rsidRPr="005D443C">
        <w:rPr>
          <w:rFonts w:ascii="Arial" w:eastAsia="Tahoma" w:hAnsi="Arial" w:cs="Arial"/>
          <w:sz w:val="20"/>
          <w:szCs w:val="20"/>
          <w:lang w:val="es-419" w:eastAsia="es-CO"/>
        </w:rPr>
        <w:t xml:space="preserve">Demandante: </w:t>
      </w:r>
      <w:r w:rsidRPr="005D443C">
        <w:rPr>
          <w:rFonts w:ascii="Arial" w:eastAsia="Tahoma" w:hAnsi="Arial" w:cs="Arial"/>
          <w:sz w:val="20"/>
          <w:szCs w:val="20"/>
          <w:lang w:val="es-419" w:eastAsia="es-CO"/>
        </w:rPr>
        <w:tab/>
      </w:r>
      <w:r w:rsidRPr="005D443C">
        <w:rPr>
          <w:rFonts w:ascii="Arial" w:eastAsia="Tahoma" w:hAnsi="Arial" w:cs="Arial"/>
          <w:sz w:val="20"/>
          <w:szCs w:val="20"/>
          <w:lang w:val="es-419" w:eastAsia="es-CO"/>
        </w:rPr>
        <w:tab/>
        <w:t>Carlos Octavio Gómez Ballesteros</w:t>
      </w:r>
    </w:p>
    <w:p w14:paraId="056E70F8" w14:textId="77777777" w:rsidR="005D443C" w:rsidRPr="005D443C" w:rsidRDefault="005D443C" w:rsidP="005D443C">
      <w:pPr>
        <w:spacing w:line="240" w:lineRule="auto"/>
        <w:rPr>
          <w:rFonts w:ascii="Arial" w:eastAsia="Tahoma" w:hAnsi="Arial" w:cs="Arial"/>
          <w:sz w:val="20"/>
          <w:szCs w:val="20"/>
          <w:lang w:val="es-419" w:eastAsia="es-CO"/>
        </w:rPr>
      </w:pPr>
      <w:r w:rsidRPr="005D443C">
        <w:rPr>
          <w:rFonts w:ascii="Arial" w:eastAsia="Tahoma" w:hAnsi="Arial" w:cs="Arial"/>
          <w:sz w:val="20"/>
          <w:szCs w:val="20"/>
          <w:lang w:val="es-419" w:eastAsia="es-CO"/>
        </w:rPr>
        <w:t xml:space="preserve">Demandado: </w:t>
      </w:r>
      <w:r w:rsidRPr="005D443C">
        <w:rPr>
          <w:rFonts w:ascii="Arial" w:eastAsia="Tahoma" w:hAnsi="Arial" w:cs="Arial"/>
          <w:sz w:val="20"/>
          <w:szCs w:val="20"/>
          <w:lang w:val="es-419" w:eastAsia="es-CO"/>
        </w:rPr>
        <w:tab/>
      </w:r>
      <w:r w:rsidRPr="005D443C">
        <w:rPr>
          <w:rFonts w:ascii="Arial" w:eastAsia="Tahoma" w:hAnsi="Arial" w:cs="Arial"/>
          <w:sz w:val="20"/>
          <w:szCs w:val="20"/>
          <w:lang w:val="es-419" w:eastAsia="es-CO"/>
        </w:rPr>
        <w:tab/>
        <w:t>Colpensiones y otros.</w:t>
      </w:r>
    </w:p>
    <w:p w14:paraId="5EF49015" w14:textId="3BBC3E9F" w:rsidR="005D443C" w:rsidRPr="005D443C" w:rsidRDefault="005D443C" w:rsidP="005D443C">
      <w:pPr>
        <w:spacing w:line="240" w:lineRule="auto"/>
        <w:rPr>
          <w:rFonts w:ascii="Arial" w:eastAsia="Tahoma" w:hAnsi="Arial" w:cs="Arial"/>
          <w:sz w:val="20"/>
          <w:szCs w:val="20"/>
          <w:lang w:val="es-419" w:eastAsia="es-CO"/>
        </w:rPr>
      </w:pPr>
      <w:r w:rsidRPr="005D443C">
        <w:rPr>
          <w:rFonts w:ascii="Arial" w:eastAsia="Tahoma" w:hAnsi="Arial" w:cs="Arial"/>
          <w:sz w:val="20"/>
          <w:szCs w:val="20"/>
          <w:lang w:val="es-419" w:eastAsia="es-CO"/>
        </w:rPr>
        <w:t xml:space="preserve">Juzgado: </w:t>
      </w:r>
      <w:r w:rsidRPr="005D443C">
        <w:rPr>
          <w:rFonts w:ascii="Arial" w:eastAsia="Tahoma" w:hAnsi="Arial" w:cs="Arial"/>
          <w:sz w:val="20"/>
          <w:szCs w:val="20"/>
          <w:lang w:val="es-419" w:eastAsia="es-CO"/>
        </w:rPr>
        <w:tab/>
      </w:r>
      <w:r w:rsidRPr="005D443C">
        <w:rPr>
          <w:rFonts w:ascii="Arial" w:eastAsia="Tahoma" w:hAnsi="Arial" w:cs="Arial"/>
          <w:sz w:val="20"/>
          <w:szCs w:val="20"/>
          <w:lang w:val="es-419" w:eastAsia="es-CO"/>
        </w:rPr>
        <w:tab/>
        <w:t>Tercero Laboral del Circuito de Pereira</w:t>
      </w:r>
    </w:p>
    <w:p w14:paraId="67485310" w14:textId="77777777" w:rsidR="005D443C" w:rsidRPr="005D443C" w:rsidRDefault="005D443C" w:rsidP="005D443C">
      <w:pPr>
        <w:spacing w:line="240" w:lineRule="auto"/>
        <w:rPr>
          <w:rFonts w:ascii="Arial" w:eastAsia="Tahoma" w:hAnsi="Arial" w:cs="Arial"/>
          <w:color w:val="000000"/>
          <w:sz w:val="20"/>
          <w:szCs w:val="20"/>
          <w:lang w:eastAsia="es-CO"/>
        </w:rPr>
      </w:pPr>
    </w:p>
    <w:p w14:paraId="5CA77A0E" w14:textId="5B0120E3" w:rsidR="005D443C" w:rsidRPr="005D443C" w:rsidRDefault="00907C9D" w:rsidP="005D443C">
      <w:pPr>
        <w:spacing w:line="240" w:lineRule="auto"/>
        <w:rPr>
          <w:rFonts w:ascii="Arial" w:eastAsia="Times New Roman" w:hAnsi="Arial" w:cs="Arial"/>
          <w:b/>
          <w:bCs/>
          <w:iCs/>
          <w:sz w:val="20"/>
          <w:szCs w:val="20"/>
          <w:lang w:val="es-419" w:eastAsia="fr-FR"/>
        </w:rPr>
      </w:pPr>
      <w:r w:rsidRPr="005D443C">
        <w:rPr>
          <w:rFonts w:ascii="Arial" w:eastAsia="Times New Roman" w:hAnsi="Arial" w:cs="Arial"/>
          <w:b/>
          <w:bCs/>
          <w:iCs/>
          <w:sz w:val="20"/>
          <w:szCs w:val="20"/>
          <w:u w:val="single"/>
          <w:lang w:val="es-419" w:eastAsia="fr-FR"/>
        </w:rPr>
        <w:t>TEMAS:</w:t>
      </w:r>
      <w:r w:rsidRPr="005D443C">
        <w:rPr>
          <w:rFonts w:ascii="Arial" w:eastAsia="Times New Roman" w:hAnsi="Arial" w:cs="Arial"/>
          <w:b/>
          <w:bCs/>
          <w:iCs/>
          <w:sz w:val="20"/>
          <w:szCs w:val="20"/>
          <w:lang w:val="es-419" w:eastAsia="fr-FR"/>
        </w:rPr>
        <w:tab/>
        <w:t xml:space="preserve">PROCESO </w:t>
      </w:r>
      <w:r>
        <w:rPr>
          <w:rFonts w:ascii="Arial" w:eastAsia="Times New Roman" w:hAnsi="Arial" w:cs="Arial"/>
          <w:b/>
          <w:bCs/>
          <w:iCs/>
          <w:sz w:val="20"/>
          <w:szCs w:val="20"/>
          <w:lang w:val="es-419" w:eastAsia="fr-FR"/>
        </w:rPr>
        <w:t xml:space="preserve">ORDINARIO </w:t>
      </w:r>
      <w:r w:rsidRPr="005D443C">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EXCEPCIONES PREVIAS / FALTA DE COMPETENCIA / ESPECIALIDAD LABORAL CONOCE DE CONTROVERSIAS ENTRE AFILIADOS Y ENTIDADES DE SEGURIDAD SOCIAL / SALVO RELACIONADAS CON CONTRATOS / INTERPRETACIÓN RESTRICTIVA.</w:t>
      </w:r>
    </w:p>
    <w:p w14:paraId="200264D9" w14:textId="77777777" w:rsidR="005D443C" w:rsidRPr="005D443C" w:rsidRDefault="005D443C" w:rsidP="005D443C">
      <w:pPr>
        <w:spacing w:line="240" w:lineRule="auto"/>
        <w:rPr>
          <w:rFonts w:ascii="Arial" w:eastAsia="Times New Roman" w:hAnsi="Arial" w:cs="Arial"/>
          <w:sz w:val="20"/>
          <w:szCs w:val="20"/>
          <w:lang w:val="es-419" w:eastAsia="es-ES"/>
        </w:rPr>
      </w:pPr>
    </w:p>
    <w:p w14:paraId="2E346DAA" w14:textId="6949A76B" w:rsidR="000D350C" w:rsidRPr="000D350C" w:rsidRDefault="000D350C" w:rsidP="000D350C">
      <w:pPr>
        <w:spacing w:line="240" w:lineRule="auto"/>
        <w:rPr>
          <w:rFonts w:ascii="Arial" w:eastAsia="Times New Roman" w:hAnsi="Arial" w:cs="Arial"/>
          <w:sz w:val="20"/>
          <w:szCs w:val="20"/>
          <w:lang w:val="es-419" w:eastAsia="es-ES"/>
        </w:rPr>
      </w:pPr>
      <w:r w:rsidRPr="000D350C">
        <w:rPr>
          <w:rFonts w:ascii="Arial" w:eastAsia="Times New Roman" w:hAnsi="Arial" w:cs="Arial"/>
          <w:sz w:val="20"/>
          <w:szCs w:val="20"/>
          <w:lang w:val="es-419" w:eastAsia="es-ES"/>
        </w:rPr>
        <w:t>En cuanto a las reglas de competencia de la jurisdicción ordinaria en sus especialidades laboral y de seguridad social</w:t>
      </w:r>
      <w:r w:rsidR="004861EB">
        <w:rPr>
          <w:rFonts w:ascii="Arial" w:eastAsia="Times New Roman" w:hAnsi="Arial" w:cs="Arial"/>
          <w:sz w:val="20"/>
          <w:szCs w:val="20"/>
          <w:lang w:val="es-419" w:eastAsia="es-ES"/>
        </w:rPr>
        <w:t>…</w:t>
      </w:r>
      <w:r w:rsidRPr="000D350C">
        <w:rPr>
          <w:rFonts w:ascii="Arial" w:eastAsia="Times New Roman" w:hAnsi="Arial" w:cs="Arial"/>
          <w:sz w:val="20"/>
          <w:szCs w:val="20"/>
          <w:lang w:val="es-419" w:eastAsia="es-ES"/>
        </w:rPr>
        <w:t>, el artículo 2º del Código Procesal del Trabajo y de la Seguridad Social</w:t>
      </w:r>
      <w:r w:rsidR="004861EB">
        <w:rPr>
          <w:rFonts w:ascii="Arial" w:eastAsia="Times New Roman" w:hAnsi="Arial" w:cs="Arial"/>
          <w:sz w:val="20"/>
          <w:szCs w:val="20"/>
          <w:lang w:val="es-419" w:eastAsia="es-ES"/>
        </w:rPr>
        <w:t>…</w:t>
      </w:r>
      <w:r w:rsidRPr="000D350C">
        <w:rPr>
          <w:rFonts w:ascii="Arial" w:eastAsia="Times New Roman" w:hAnsi="Arial" w:cs="Arial"/>
          <w:sz w:val="20"/>
          <w:szCs w:val="20"/>
          <w:lang w:val="es-419" w:eastAsia="es-ES"/>
        </w:rPr>
        <w:t xml:space="preserve"> precisa que será competencia de la jurisdicción ordinaria</w:t>
      </w:r>
      <w:r w:rsidR="004861EB">
        <w:rPr>
          <w:rFonts w:ascii="Arial" w:eastAsia="Times New Roman" w:hAnsi="Arial" w:cs="Arial"/>
          <w:sz w:val="20"/>
          <w:szCs w:val="20"/>
          <w:lang w:val="es-419" w:eastAsia="es-ES"/>
        </w:rPr>
        <w:t>…</w:t>
      </w:r>
      <w:r w:rsidRPr="000D350C">
        <w:rPr>
          <w:rFonts w:ascii="Arial" w:eastAsia="Times New Roman" w:hAnsi="Arial" w:cs="Arial"/>
          <w:sz w:val="20"/>
          <w:szCs w:val="20"/>
          <w:lang w:val="es-419" w:eastAsia="es-ES"/>
        </w:rPr>
        <w:t xml:space="preserve"> “las controversias relativas a la prestación de los servicios de la seguridad social que se susciten entre los afiliados o usuarios</w:t>
      </w:r>
      <w:r w:rsidR="004861EB">
        <w:rPr>
          <w:rFonts w:ascii="Arial" w:eastAsia="Times New Roman" w:hAnsi="Arial" w:cs="Arial"/>
          <w:sz w:val="20"/>
          <w:szCs w:val="20"/>
          <w:lang w:val="es-419" w:eastAsia="es-ES"/>
        </w:rPr>
        <w:t>…</w:t>
      </w:r>
      <w:r w:rsidRPr="000D350C">
        <w:rPr>
          <w:rFonts w:ascii="Arial" w:eastAsia="Times New Roman" w:hAnsi="Arial" w:cs="Arial"/>
          <w:sz w:val="20"/>
          <w:szCs w:val="20"/>
          <w:lang w:val="es-419" w:eastAsia="es-ES"/>
        </w:rPr>
        <w:t xml:space="preserve"> con las entidades administradoras y prestadoras de los servicios de seguridad social, salvo los de responsabilidad médica y los relacionados con contratos”.</w:t>
      </w:r>
    </w:p>
    <w:p w14:paraId="2C5FD7C5" w14:textId="77777777" w:rsidR="000D350C" w:rsidRPr="000D350C" w:rsidRDefault="000D350C" w:rsidP="000D350C">
      <w:pPr>
        <w:spacing w:line="240" w:lineRule="auto"/>
        <w:rPr>
          <w:rFonts w:ascii="Arial" w:eastAsia="Times New Roman" w:hAnsi="Arial" w:cs="Arial"/>
          <w:sz w:val="20"/>
          <w:szCs w:val="20"/>
          <w:lang w:val="es-419" w:eastAsia="es-ES"/>
        </w:rPr>
      </w:pPr>
    </w:p>
    <w:p w14:paraId="16E392AE" w14:textId="5915B3D2" w:rsidR="005D443C" w:rsidRPr="005D443C" w:rsidRDefault="000D350C" w:rsidP="000D350C">
      <w:pPr>
        <w:spacing w:line="240" w:lineRule="auto"/>
        <w:rPr>
          <w:rFonts w:ascii="Arial" w:eastAsia="Times New Roman" w:hAnsi="Arial" w:cs="Arial"/>
          <w:sz w:val="20"/>
          <w:szCs w:val="20"/>
          <w:lang w:val="es-419" w:eastAsia="es-ES"/>
        </w:rPr>
      </w:pPr>
      <w:r w:rsidRPr="000D350C">
        <w:rPr>
          <w:rFonts w:ascii="Arial" w:eastAsia="Times New Roman" w:hAnsi="Arial" w:cs="Arial"/>
          <w:sz w:val="20"/>
          <w:szCs w:val="20"/>
          <w:lang w:val="es-419" w:eastAsia="es-ES"/>
        </w:rPr>
        <w:t>Este precepto ha sido interpretado por los distintos órganos de cierre jurisdiccional como una cláusula general de competencia, con arreglo a la cual la jurisdicción ordinaria, en su especialidad laboral y de la seguridad social, tiene la competencia preferente y residual para conocer las controversias que versen sobre asuntos de derecho laboral o referentes al sistema de seguridad social</w:t>
      </w:r>
      <w:r w:rsidR="00BB7252">
        <w:rPr>
          <w:rFonts w:ascii="Arial" w:eastAsia="Times New Roman" w:hAnsi="Arial" w:cs="Arial"/>
          <w:sz w:val="20"/>
          <w:szCs w:val="20"/>
          <w:lang w:val="es-419" w:eastAsia="es-ES"/>
        </w:rPr>
        <w:t>…</w:t>
      </w:r>
    </w:p>
    <w:p w14:paraId="337ED961" w14:textId="77777777" w:rsidR="005D443C" w:rsidRPr="005D443C" w:rsidRDefault="005D443C" w:rsidP="005D443C">
      <w:pPr>
        <w:spacing w:line="240" w:lineRule="auto"/>
        <w:rPr>
          <w:rFonts w:ascii="Arial" w:eastAsia="Times New Roman" w:hAnsi="Arial" w:cs="Arial"/>
          <w:sz w:val="20"/>
          <w:szCs w:val="20"/>
          <w:lang w:val="es-419" w:eastAsia="es-ES"/>
        </w:rPr>
      </w:pPr>
    </w:p>
    <w:p w14:paraId="2466329C" w14:textId="0AC70B67" w:rsidR="005D443C" w:rsidRPr="005D443C" w:rsidRDefault="00482E3A" w:rsidP="005D443C">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82E3A">
        <w:rPr>
          <w:rFonts w:ascii="Arial" w:eastAsia="Times New Roman" w:hAnsi="Arial" w:cs="Arial"/>
          <w:sz w:val="20"/>
          <w:szCs w:val="20"/>
          <w:lang w:val="es-419" w:eastAsia="es-ES"/>
        </w:rPr>
        <w:t>a partir de la entrada en vigencia de la citada Ley 1564 de 2012, se eliminó del precepto legal en estudio la frase “cualquiera que sea la naturaleza de la relación jurídica y de los actos jurídicos que se controviertan” y se reemplazó con el enunciado: “salvo los de responsabilidad médica y los relacionados con contratos”</w:t>
      </w:r>
      <w:r>
        <w:rPr>
          <w:rFonts w:ascii="Arial" w:eastAsia="Times New Roman" w:hAnsi="Arial" w:cs="Arial"/>
          <w:sz w:val="20"/>
          <w:szCs w:val="20"/>
          <w:lang w:val="es-419" w:eastAsia="es-ES"/>
        </w:rPr>
        <w:t xml:space="preserve"> …</w:t>
      </w:r>
    </w:p>
    <w:p w14:paraId="7FB05260" w14:textId="77777777" w:rsidR="005D443C" w:rsidRPr="005D443C" w:rsidRDefault="005D443C" w:rsidP="005D443C">
      <w:pPr>
        <w:spacing w:line="240" w:lineRule="auto"/>
        <w:rPr>
          <w:rFonts w:ascii="Arial" w:eastAsia="Times New Roman" w:hAnsi="Arial" w:cs="Arial"/>
          <w:sz w:val="20"/>
          <w:szCs w:val="20"/>
          <w:lang w:val="es-419" w:eastAsia="es-ES"/>
        </w:rPr>
      </w:pPr>
    </w:p>
    <w:p w14:paraId="2A55268F" w14:textId="5FE9D1AA" w:rsidR="005D443C" w:rsidRPr="005D443C" w:rsidRDefault="00482E3A" w:rsidP="005D443C">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82E3A">
        <w:rPr>
          <w:rFonts w:ascii="Arial" w:eastAsia="Times New Roman" w:hAnsi="Arial" w:cs="Arial"/>
          <w:sz w:val="20"/>
          <w:szCs w:val="20"/>
          <w:lang w:val="es-419" w:eastAsia="es-ES"/>
        </w:rPr>
        <w:t>pero no puede interpretarse en un sentido amplio, pues pensar que todo tipo de acto o contrato queda excluido del conocimiento de la especialidad laboral, incluidos los celebrados entre afiliados y Administradoras de Fondos de Pensiones, dejaría sin efectos la cláusula general de competencia aludida líneas atrás, pues en la práctica todos los conflictos de la seguridad social se derivan del acto o contrato de afiliación o vinculación al sistema.</w:t>
      </w:r>
    </w:p>
    <w:p w14:paraId="3828AF2A" w14:textId="77777777" w:rsidR="005D443C" w:rsidRPr="005D443C" w:rsidRDefault="005D443C" w:rsidP="005D443C">
      <w:pPr>
        <w:spacing w:line="240" w:lineRule="auto"/>
        <w:rPr>
          <w:rFonts w:ascii="Arial" w:eastAsia="Times New Roman" w:hAnsi="Arial" w:cs="Arial"/>
          <w:sz w:val="20"/>
          <w:szCs w:val="20"/>
          <w:lang w:val="es-419" w:eastAsia="es-ES"/>
        </w:rPr>
      </w:pPr>
    </w:p>
    <w:p w14:paraId="0BD49DF3" w14:textId="77777777" w:rsidR="005D443C" w:rsidRPr="005D443C" w:rsidRDefault="005D443C" w:rsidP="005D443C">
      <w:pPr>
        <w:pBdr>
          <w:top w:val="nil"/>
          <w:left w:val="nil"/>
          <w:bottom w:val="nil"/>
          <w:right w:val="nil"/>
          <w:between w:val="nil"/>
        </w:pBdr>
        <w:tabs>
          <w:tab w:val="left" w:pos="0"/>
        </w:tabs>
        <w:spacing w:line="240" w:lineRule="auto"/>
        <w:jc w:val="left"/>
        <w:rPr>
          <w:rFonts w:ascii="Arial" w:eastAsia="Times New Roman" w:hAnsi="Arial" w:cs="Arial"/>
          <w:sz w:val="20"/>
          <w:szCs w:val="20"/>
          <w:lang w:val="es-419" w:eastAsia="es-ES"/>
        </w:rPr>
      </w:pPr>
    </w:p>
    <w:p w14:paraId="76BC35E3" w14:textId="77777777" w:rsidR="005D443C" w:rsidRPr="005D443C" w:rsidRDefault="005D443C" w:rsidP="005D443C">
      <w:pPr>
        <w:pBdr>
          <w:top w:val="nil"/>
          <w:left w:val="nil"/>
          <w:bottom w:val="nil"/>
          <w:right w:val="nil"/>
          <w:between w:val="nil"/>
        </w:pBdr>
        <w:tabs>
          <w:tab w:val="left" w:pos="0"/>
        </w:tabs>
        <w:spacing w:line="240" w:lineRule="auto"/>
        <w:jc w:val="left"/>
        <w:rPr>
          <w:rFonts w:ascii="Arial" w:eastAsia="Times New Roman" w:hAnsi="Arial" w:cs="Arial"/>
          <w:sz w:val="20"/>
          <w:szCs w:val="20"/>
          <w:lang w:val="es-419" w:eastAsia="es-ES"/>
        </w:rPr>
      </w:pPr>
    </w:p>
    <w:p w14:paraId="2D6C31AA" w14:textId="77777777" w:rsidR="005D443C" w:rsidRPr="005D443C" w:rsidRDefault="005D443C" w:rsidP="005D443C">
      <w:pPr>
        <w:spacing w:line="276" w:lineRule="auto"/>
        <w:jc w:val="center"/>
        <w:rPr>
          <w:rFonts w:eastAsia="Times New Roman" w:cs="Tahoma"/>
          <w:b/>
          <w:iCs/>
          <w:spacing w:val="2"/>
          <w:szCs w:val="24"/>
          <w:lang w:val="es-CO" w:eastAsia="es-ES"/>
        </w:rPr>
      </w:pPr>
      <w:r w:rsidRPr="005D443C">
        <w:rPr>
          <w:rFonts w:eastAsia="Times New Roman" w:cs="Tahoma"/>
          <w:b/>
          <w:bCs/>
          <w:iCs/>
          <w:spacing w:val="2"/>
          <w:szCs w:val="24"/>
          <w:lang w:val="es-CO" w:eastAsia="es-ES"/>
        </w:rPr>
        <w:t>TRIBUNAL SUPERIOR DEL DISTRITO JUDICIAL DE PEREIRA</w:t>
      </w:r>
    </w:p>
    <w:p w14:paraId="2ABA0553" w14:textId="303EF34F" w:rsidR="005D443C" w:rsidRPr="005D443C" w:rsidRDefault="005D443C" w:rsidP="005D443C">
      <w:pPr>
        <w:spacing w:line="276" w:lineRule="auto"/>
        <w:jc w:val="center"/>
        <w:rPr>
          <w:rFonts w:eastAsia="Times New Roman" w:cs="Tahoma"/>
          <w:b/>
          <w:iCs/>
          <w:spacing w:val="2"/>
          <w:szCs w:val="24"/>
          <w:lang w:val="es-CO" w:eastAsia="es-ES"/>
        </w:rPr>
      </w:pPr>
      <w:r w:rsidRPr="005D443C">
        <w:rPr>
          <w:rFonts w:eastAsia="Times New Roman" w:cs="Tahoma"/>
          <w:b/>
          <w:bCs/>
          <w:iCs/>
          <w:spacing w:val="2"/>
          <w:szCs w:val="24"/>
          <w:lang w:val="es-CO" w:eastAsia="es-ES"/>
        </w:rPr>
        <w:t xml:space="preserve">SALA PRIMERA DE </w:t>
      </w:r>
      <w:r w:rsidR="00977454" w:rsidRPr="005D443C">
        <w:rPr>
          <w:rFonts w:eastAsia="Times New Roman" w:cs="Tahoma"/>
          <w:b/>
          <w:bCs/>
          <w:iCs/>
          <w:spacing w:val="2"/>
          <w:szCs w:val="24"/>
          <w:lang w:val="es-CO" w:eastAsia="es-ES"/>
        </w:rPr>
        <w:t>DECISIÓN</w:t>
      </w:r>
      <w:r w:rsidRPr="005D443C">
        <w:rPr>
          <w:rFonts w:eastAsia="Times New Roman" w:cs="Tahoma"/>
          <w:b/>
          <w:bCs/>
          <w:iCs/>
          <w:spacing w:val="2"/>
          <w:szCs w:val="24"/>
          <w:lang w:val="es-CO" w:eastAsia="es-ES"/>
        </w:rPr>
        <w:t xml:space="preserve"> LABORAL</w:t>
      </w:r>
    </w:p>
    <w:p w14:paraId="3D6B0E54" w14:textId="77777777" w:rsidR="005D443C" w:rsidRPr="005D443C" w:rsidRDefault="005D443C" w:rsidP="005D443C">
      <w:pPr>
        <w:spacing w:line="276" w:lineRule="auto"/>
        <w:jc w:val="center"/>
        <w:rPr>
          <w:rFonts w:eastAsia="Times New Roman" w:cs="Tahoma"/>
          <w:bCs/>
          <w:spacing w:val="2"/>
          <w:szCs w:val="24"/>
          <w:lang w:val="es-CO" w:eastAsia="es-ES"/>
        </w:rPr>
      </w:pPr>
    </w:p>
    <w:p w14:paraId="4F1189CD" w14:textId="77777777" w:rsidR="005D443C" w:rsidRPr="005D443C" w:rsidRDefault="005D443C" w:rsidP="005D443C">
      <w:pPr>
        <w:spacing w:line="276" w:lineRule="auto"/>
        <w:jc w:val="center"/>
        <w:rPr>
          <w:rFonts w:eastAsia="Times New Roman" w:cs="Tahoma"/>
          <w:spacing w:val="2"/>
          <w:szCs w:val="24"/>
          <w:lang w:val="es-CO" w:eastAsia="es-ES"/>
        </w:rPr>
      </w:pPr>
      <w:r w:rsidRPr="005D443C">
        <w:rPr>
          <w:rFonts w:eastAsia="Times New Roman" w:cs="Tahoma"/>
          <w:spacing w:val="2"/>
          <w:szCs w:val="24"/>
          <w:lang w:val="es-CO" w:eastAsia="es-ES"/>
        </w:rPr>
        <w:t>Magistrada Ponente: </w:t>
      </w:r>
      <w:r w:rsidRPr="005D443C">
        <w:rPr>
          <w:rFonts w:eastAsia="Times New Roman" w:cs="Tahoma"/>
          <w:b/>
          <w:bCs/>
          <w:spacing w:val="2"/>
          <w:szCs w:val="24"/>
          <w:lang w:val="es-CO" w:eastAsia="es-ES"/>
        </w:rPr>
        <w:t>Ana Lucía Caicedo Calderón</w:t>
      </w:r>
    </w:p>
    <w:p w14:paraId="6EE05CC7" w14:textId="77777777" w:rsidR="005D443C" w:rsidRPr="005D443C" w:rsidRDefault="005D443C" w:rsidP="005D443C">
      <w:pPr>
        <w:spacing w:line="276" w:lineRule="auto"/>
        <w:jc w:val="center"/>
        <w:rPr>
          <w:rFonts w:eastAsia="Times New Roman" w:cs="Tahoma"/>
          <w:spacing w:val="2"/>
          <w:szCs w:val="24"/>
          <w:lang w:val="es-CO" w:eastAsia="es-ES"/>
        </w:rPr>
      </w:pPr>
    </w:p>
    <w:p w14:paraId="395351E9" w14:textId="3A3FABEA" w:rsidR="00DC2B9A" w:rsidRPr="005D443C" w:rsidRDefault="00DC2B9A" w:rsidP="005D443C">
      <w:pPr>
        <w:spacing w:line="276" w:lineRule="auto"/>
        <w:jc w:val="center"/>
        <w:textAlignment w:val="baseline"/>
        <w:rPr>
          <w:rFonts w:eastAsia="Times New Roman" w:cs="Tahoma"/>
          <w:szCs w:val="24"/>
          <w:lang w:eastAsia="es-CO"/>
        </w:rPr>
      </w:pPr>
      <w:r w:rsidRPr="005D443C">
        <w:rPr>
          <w:rFonts w:eastAsia="Times New Roman" w:cs="Tahoma"/>
          <w:color w:val="000000"/>
          <w:szCs w:val="24"/>
          <w:lang w:eastAsia="es-CO"/>
        </w:rPr>
        <w:t xml:space="preserve">Pereira, </w:t>
      </w:r>
      <w:r w:rsidR="00C32477" w:rsidRPr="005D443C">
        <w:rPr>
          <w:rFonts w:eastAsia="Times New Roman" w:cs="Tahoma"/>
          <w:color w:val="000000"/>
          <w:szCs w:val="24"/>
          <w:lang w:eastAsia="es-CO"/>
        </w:rPr>
        <w:t>nueve (09) de junio de</w:t>
      </w:r>
      <w:r w:rsidRPr="005D443C">
        <w:rPr>
          <w:rFonts w:eastAsia="Times New Roman" w:cs="Tahoma"/>
          <w:color w:val="000000"/>
          <w:szCs w:val="24"/>
          <w:lang w:eastAsia="es-CO"/>
        </w:rPr>
        <w:t xml:space="preserve"> dos mil </w:t>
      </w:r>
      <w:r w:rsidR="00C32477" w:rsidRPr="005D443C">
        <w:rPr>
          <w:rFonts w:eastAsia="Times New Roman" w:cs="Tahoma"/>
          <w:color w:val="000000"/>
          <w:szCs w:val="24"/>
          <w:lang w:eastAsia="es-CO"/>
        </w:rPr>
        <w:t>veintitrés</w:t>
      </w:r>
      <w:r w:rsidRPr="005D443C">
        <w:rPr>
          <w:rFonts w:eastAsia="Times New Roman" w:cs="Tahoma"/>
          <w:color w:val="000000"/>
          <w:szCs w:val="24"/>
          <w:lang w:eastAsia="es-CO"/>
        </w:rPr>
        <w:t xml:space="preserve"> (202</w:t>
      </w:r>
      <w:r w:rsidR="00C32477" w:rsidRPr="005D443C">
        <w:rPr>
          <w:rFonts w:eastAsia="Times New Roman" w:cs="Tahoma"/>
          <w:color w:val="000000"/>
          <w:szCs w:val="24"/>
          <w:lang w:eastAsia="es-CO"/>
        </w:rPr>
        <w:t>3</w:t>
      </w:r>
      <w:r w:rsidRPr="005D443C">
        <w:rPr>
          <w:rFonts w:eastAsia="Times New Roman" w:cs="Tahoma"/>
          <w:color w:val="000000"/>
          <w:szCs w:val="24"/>
          <w:lang w:eastAsia="es-CO"/>
        </w:rPr>
        <w:t>)   </w:t>
      </w:r>
    </w:p>
    <w:p w14:paraId="4C7A3B00" w14:textId="23ABFDAC" w:rsidR="00DC2B9A" w:rsidRPr="005D443C" w:rsidRDefault="00DC2B9A" w:rsidP="005D443C">
      <w:pPr>
        <w:spacing w:line="276" w:lineRule="auto"/>
        <w:jc w:val="center"/>
        <w:textAlignment w:val="baseline"/>
        <w:rPr>
          <w:rFonts w:eastAsia="Times New Roman" w:cs="Tahoma"/>
          <w:szCs w:val="24"/>
          <w:lang w:eastAsia="es-CO"/>
        </w:rPr>
      </w:pPr>
      <w:r w:rsidRPr="005D443C">
        <w:rPr>
          <w:rFonts w:eastAsia="Times New Roman" w:cs="Tahoma"/>
          <w:color w:val="000000" w:themeColor="text1"/>
          <w:szCs w:val="24"/>
          <w:lang w:eastAsia="es-CO"/>
        </w:rPr>
        <w:t> Acta No. </w:t>
      </w:r>
      <w:r w:rsidR="73804F4B" w:rsidRPr="005D443C">
        <w:rPr>
          <w:rFonts w:eastAsia="Times New Roman" w:cs="Tahoma"/>
          <w:color w:val="000000" w:themeColor="text1"/>
          <w:szCs w:val="24"/>
          <w:lang w:eastAsia="es-CO"/>
        </w:rPr>
        <w:t>91</w:t>
      </w:r>
      <w:r w:rsidRPr="005D443C">
        <w:rPr>
          <w:rFonts w:eastAsia="Times New Roman" w:cs="Tahoma"/>
          <w:color w:val="000000" w:themeColor="text1"/>
          <w:szCs w:val="24"/>
          <w:lang w:eastAsia="es-CO"/>
        </w:rPr>
        <w:t xml:space="preserve"> del </w:t>
      </w:r>
      <w:r w:rsidR="00C32477" w:rsidRPr="005D443C">
        <w:rPr>
          <w:rFonts w:eastAsia="Times New Roman" w:cs="Tahoma"/>
          <w:color w:val="000000" w:themeColor="text1"/>
          <w:szCs w:val="24"/>
          <w:lang w:eastAsia="es-CO"/>
        </w:rPr>
        <w:t>08</w:t>
      </w:r>
      <w:r w:rsidRPr="005D443C">
        <w:rPr>
          <w:rFonts w:eastAsia="Times New Roman" w:cs="Tahoma"/>
          <w:color w:val="000000" w:themeColor="text1"/>
          <w:szCs w:val="24"/>
          <w:lang w:eastAsia="es-CO"/>
        </w:rPr>
        <w:t xml:space="preserve"> de </w:t>
      </w:r>
      <w:r w:rsidR="00C32477" w:rsidRPr="005D443C">
        <w:rPr>
          <w:rFonts w:eastAsia="Times New Roman" w:cs="Tahoma"/>
          <w:color w:val="000000" w:themeColor="text1"/>
          <w:szCs w:val="24"/>
          <w:lang w:eastAsia="es-CO"/>
        </w:rPr>
        <w:t>junio</w:t>
      </w:r>
      <w:r w:rsidRPr="005D443C">
        <w:rPr>
          <w:rFonts w:eastAsia="Times New Roman" w:cs="Tahoma"/>
          <w:color w:val="000000" w:themeColor="text1"/>
          <w:szCs w:val="24"/>
          <w:lang w:eastAsia="es-CO"/>
        </w:rPr>
        <w:t xml:space="preserve"> de 202</w:t>
      </w:r>
      <w:r w:rsidR="00C32477" w:rsidRPr="005D443C">
        <w:rPr>
          <w:rFonts w:eastAsia="Times New Roman" w:cs="Tahoma"/>
          <w:color w:val="000000" w:themeColor="text1"/>
          <w:szCs w:val="24"/>
          <w:lang w:eastAsia="es-CO"/>
        </w:rPr>
        <w:t>3</w:t>
      </w:r>
      <w:r w:rsidRPr="005D443C">
        <w:rPr>
          <w:rFonts w:eastAsia="Times New Roman" w:cs="Tahoma"/>
          <w:color w:val="000000" w:themeColor="text1"/>
          <w:szCs w:val="24"/>
          <w:lang w:eastAsia="es-CO"/>
        </w:rPr>
        <w:t> </w:t>
      </w:r>
    </w:p>
    <w:p w14:paraId="32ADF1A1" w14:textId="77777777" w:rsidR="00B02A64" w:rsidRDefault="00B02A64" w:rsidP="005D443C">
      <w:pPr>
        <w:spacing w:line="276" w:lineRule="auto"/>
        <w:rPr>
          <w:rFonts w:cs="Tahoma"/>
          <w:b/>
          <w:szCs w:val="24"/>
        </w:rPr>
      </w:pPr>
    </w:p>
    <w:p w14:paraId="1378C16E" w14:textId="77777777" w:rsidR="008A2B33" w:rsidRPr="005D443C" w:rsidRDefault="008A2B33" w:rsidP="005D443C">
      <w:pPr>
        <w:spacing w:line="276" w:lineRule="auto"/>
        <w:rPr>
          <w:rFonts w:cs="Tahoma"/>
          <w:b/>
          <w:szCs w:val="24"/>
        </w:rPr>
      </w:pPr>
    </w:p>
    <w:p w14:paraId="6B625F63" w14:textId="77777777" w:rsidR="00446F3C" w:rsidRPr="005D443C" w:rsidRDefault="00B02A64" w:rsidP="005D443C">
      <w:pPr>
        <w:spacing w:line="276" w:lineRule="auto"/>
        <w:ind w:firstLine="709"/>
        <w:rPr>
          <w:rFonts w:cs="Tahoma"/>
          <w:b/>
          <w:szCs w:val="24"/>
        </w:rPr>
      </w:pPr>
      <w:r w:rsidRPr="005D443C">
        <w:rPr>
          <w:rFonts w:cs="Tahoma"/>
          <w:szCs w:val="24"/>
        </w:rPr>
        <w:t>Teniendo en cuenta que el artículo 1</w:t>
      </w:r>
      <w:r w:rsidR="006200A6" w:rsidRPr="005D443C">
        <w:rPr>
          <w:rFonts w:cs="Tahoma"/>
          <w:szCs w:val="24"/>
        </w:rPr>
        <w:t xml:space="preserve">3 de la Ley 2213 de 2022 </w:t>
      </w:r>
      <w:r w:rsidRPr="005D443C">
        <w:rPr>
          <w:rFonts w:cs="Tahoma"/>
          <w:szCs w:val="24"/>
        </w:rPr>
        <w:t>, estableció que en la</w:t>
      </w:r>
      <w:r w:rsidR="006200A6" w:rsidRPr="005D443C">
        <w:rPr>
          <w:rFonts w:cs="Tahoma"/>
          <w:szCs w:val="24"/>
        </w:rPr>
        <w:t xml:space="preserve"> </w:t>
      </w:r>
      <w:r w:rsidRPr="005D443C">
        <w:rPr>
          <w:rFonts w:cs="Tahoma"/>
          <w:szCs w:val="24"/>
        </w:rPr>
        <w:t>especialidad laboral se proferirán por escrito las providencias de segunda instancia</w:t>
      </w:r>
      <w:r w:rsidR="006200A6" w:rsidRPr="005D443C">
        <w:rPr>
          <w:rFonts w:cs="Tahoma"/>
          <w:szCs w:val="24"/>
        </w:rPr>
        <w:t xml:space="preserve"> </w:t>
      </w:r>
      <w:r w:rsidRPr="005D443C">
        <w:rPr>
          <w:rFonts w:cs="Tahoma"/>
          <w:szCs w:val="24"/>
        </w:rPr>
        <w:t>en las que se surta el grado jurisdiccional de consulta o se resuelva el recurso de</w:t>
      </w:r>
      <w:r w:rsidR="006200A6" w:rsidRPr="005D443C">
        <w:rPr>
          <w:rFonts w:cs="Tahoma"/>
          <w:szCs w:val="24"/>
        </w:rPr>
        <w:t xml:space="preserve"> </w:t>
      </w:r>
      <w:r w:rsidRPr="005D443C">
        <w:rPr>
          <w:rFonts w:cs="Tahoma"/>
          <w:szCs w:val="24"/>
        </w:rPr>
        <w:t xml:space="preserve">apelación de autos o sentencias, </w:t>
      </w:r>
      <w:r w:rsidR="006200A6" w:rsidRPr="005D443C">
        <w:rPr>
          <w:rFonts w:cs="Tahoma"/>
          <w:szCs w:val="24"/>
        </w:rPr>
        <w:t xml:space="preserve">la Sala de Decisión Laboral No. 1 del Tribunal Superior de Pereira, integrada por las Magistradas ANA LUCÍA CAICEDO CALDERÓN como Ponente, OLGA LUCÍA HOYOS SEPÚLVEDA y el Magistrado GERMÁN DARÍO GÓEZ VINASCO, procede a proferir </w:t>
      </w:r>
      <w:r w:rsidR="00446F3C" w:rsidRPr="005D443C">
        <w:rPr>
          <w:rFonts w:cs="Tahoma"/>
          <w:szCs w:val="24"/>
        </w:rPr>
        <w:t xml:space="preserve">el siguiente auto </w:t>
      </w:r>
      <w:r w:rsidR="006200A6" w:rsidRPr="005D443C">
        <w:rPr>
          <w:rFonts w:cs="Tahoma"/>
          <w:szCs w:val="24"/>
        </w:rPr>
        <w:t>escrit</w:t>
      </w:r>
      <w:r w:rsidR="00446F3C" w:rsidRPr="005D443C">
        <w:rPr>
          <w:rFonts w:cs="Tahoma"/>
          <w:szCs w:val="24"/>
        </w:rPr>
        <w:t>o</w:t>
      </w:r>
      <w:r w:rsidR="006200A6" w:rsidRPr="005D443C">
        <w:rPr>
          <w:rFonts w:cs="Tahoma"/>
          <w:szCs w:val="24"/>
        </w:rPr>
        <w:t xml:space="preserve"> dentro del proceso </w:t>
      </w:r>
      <w:r w:rsidR="006200A6" w:rsidRPr="00977454">
        <w:rPr>
          <w:rFonts w:cs="Tahoma"/>
          <w:b/>
          <w:szCs w:val="24"/>
        </w:rPr>
        <w:t>ordinario laboral</w:t>
      </w:r>
      <w:r w:rsidR="006200A6" w:rsidRPr="005D443C">
        <w:rPr>
          <w:rFonts w:cs="Tahoma"/>
          <w:szCs w:val="24"/>
        </w:rPr>
        <w:t xml:space="preserve"> instaurado por </w:t>
      </w:r>
      <w:r w:rsidR="00446F3C" w:rsidRPr="005D443C">
        <w:rPr>
          <w:rFonts w:cs="Tahoma"/>
          <w:b/>
          <w:szCs w:val="24"/>
        </w:rPr>
        <w:t>Carlos Octavio Gómez Ballesteros</w:t>
      </w:r>
    </w:p>
    <w:p w14:paraId="47E68BDA" w14:textId="4474E1A9" w:rsidR="00D6519D" w:rsidRDefault="006200A6" w:rsidP="005D443C">
      <w:pPr>
        <w:spacing w:line="276" w:lineRule="auto"/>
        <w:rPr>
          <w:rFonts w:cs="Tahoma"/>
          <w:b/>
          <w:szCs w:val="24"/>
        </w:rPr>
      </w:pPr>
      <w:r w:rsidRPr="005D443C">
        <w:rPr>
          <w:rFonts w:cs="Tahoma"/>
          <w:szCs w:val="24"/>
        </w:rPr>
        <w:lastRenderedPageBreak/>
        <w:t xml:space="preserve">en contra de </w:t>
      </w:r>
      <w:r w:rsidR="00183C1B" w:rsidRPr="005D443C">
        <w:rPr>
          <w:rFonts w:cs="Tahoma"/>
          <w:bCs/>
          <w:szCs w:val="24"/>
        </w:rPr>
        <w:t>la</w:t>
      </w:r>
      <w:r w:rsidR="00183C1B" w:rsidRPr="005D443C">
        <w:rPr>
          <w:rFonts w:cs="Tahoma"/>
          <w:b/>
          <w:bCs/>
          <w:szCs w:val="24"/>
        </w:rPr>
        <w:t xml:space="preserve"> Administradora </w:t>
      </w:r>
      <w:r w:rsidR="00541B6D" w:rsidRPr="005D443C">
        <w:rPr>
          <w:rFonts w:cs="Tahoma"/>
          <w:b/>
          <w:bCs/>
          <w:szCs w:val="24"/>
        </w:rPr>
        <w:t>Colombiana</w:t>
      </w:r>
      <w:r w:rsidR="00152A55" w:rsidRPr="005D443C">
        <w:rPr>
          <w:rFonts w:cs="Tahoma"/>
          <w:b/>
          <w:bCs/>
          <w:szCs w:val="24"/>
        </w:rPr>
        <w:t xml:space="preserve"> de Pensiones- Colpensiones</w:t>
      </w:r>
      <w:r w:rsidR="0090521B" w:rsidRPr="005D443C">
        <w:rPr>
          <w:rFonts w:cs="Tahoma"/>
          <w:b/>
          <w:bCs/>
          <w:szCs w:val="24"/>
        </w:rPr>
        <w:t>-</w:t>
      </w:r>
      <w:r w:rsidR="00152A55" w:rsidRPr="005D443C">
        <w:rPr>
          <w:rFonts w:cs="Tahoma"/>
          <w:b/>
          <w:bCs/>
          <w:szCs w:val="24"/>
        </w:rPr>
        <w:t xml:space="preserve"> </w:t>
      </w:r>
      <w:r w:rsidR="00152A55" w:rsidRPr="005D443C">
        <w:rPr>
          <w:rFonts w:cs="Tahoma"/>
          <w:bCs/>
          <w:szCs w:val="24"/>
        </w:rPr>
        <w:t xml:space="preserve">y </w:t>
      </w:r>
      <w:r w:rsidRPr="005D443C">
        <w:rPr>
          <w:rFonts w:cs="Tahoma"/>
          <w:b/>
          <w:szCs w:val="24"/>
        </w:rPr>
        <w:t>la</w:t>
      </w:r>
      <w:r w:rsidR="00152A55" w:rsidRPr="005D443C">
        <w:rPr>
          <w:rFonts w:cs="Tahoma"/>
          <w:b/>
          <w:szCs w:val="24"/>
        </w:rPr>
        <w:t>s</w:t>
      </w:r>
      <w:r w:rsidRPr="005D443C">
        <w:rPr>
          <w:rFonts w:cs="Tahoma"/>
          <w:b/>
          <w:szCs w:val="24"/>
        </w:rPr>
        <w:t xml:space="preserve"> Administradora</w:t>
      </w:r>
      <w:r w:rsidR="00152A55" w:rsidRPr="005D443C">
        <w:rPr>
          <w:rFonts w:cs="Tahoma"/>
          <w:b/>
          <w:szCs w:val="24"/>
        </w:rPr>
        <w:t>s</w:t>
      </w:r>
      <w:r w:rsidRPr="005D443C">
        <w:rPr>
          <w:rFonts w:cs="Tahoma"/>
          <w:b/>
          <w:szCs w:val="24"/>
        </w:rPr>
        <w:t xml:space="preserve"> de Fondos de Pensiones y Cesantías</w:t>
      </w:r>
      <w:r w:rsidR="00541B6D" w:rsidRPr="005D443C">
        <w:rPr>
          <w:rFonts w:cs="Tahoma"/>
          <w:b/>
          <w:szCs w:val="24"/>
        </w:rPr>
        <w:t xml:space="preserve"> </w:t>
      </w:r>
      <w:r w:rsidRPr="005D443C">
        <w:rPr>
          <w:rFonts w:cs="Tahoma"/>
          <w:b/>
          <w:szCs w:val="24"/>
        </w:rPr>
        <w:t>Protección S.A.</w:t>
      </w:r>
      <w:r w:rsidR="00977454">
        <w:rPr>
          <w:rFonts w:cs="Tahoma"/>
          <w:b/>
          <w:szCs w:val="24"/>
        </w:rPr>
        <w:t xml:space="preserve"> y Porvenir S.A.</w:t>
      </w:r>
    </w:p>
    <w:p w14:paraId="5301DE18" w14:textId="55578559" w:rsidR="00977454" w:rsidRDefault="00977454" w:rsidP="005D443C">
      <w:pPr>
        <w:spacing w:line="276" w:lineRule="auto"/>
        <w:rPr>
          <w:rFonts w:cs="Tahoma"/>
          <w:szCs w:val="24"/>
        </w:rPr>
      </w:pPr>
    </w:p>
    <w:p w14:paraId="19A37BDB" w14:textId="77777777" w:rsidR="00907C9D" w:rsidRPr="005D443C" w:rsidRDefault="00907C9D" w:rsidP="005D443C">
      <w:pPr>
        <w:spacing w:line="276" w:lineRule="auto"/>
        <w:rPr>
          <w:rFonts w:cs="Tahoma"/>
          <w:szCs w:val="24"/>
        </w:rPr>
      </w:pPr>
    </w:p>
    <w:p w14:paraId="77D04272" w14:textId="77777777" w:rsidR="00B02A64" w:rsidRPr="005D443C" w:rsidRDefault="00B02A64" w:rsidP="005D443C">
      <w:pPr>
        <w:pStyle w:val="paragraph"/>
        <w:spacing w:before="0" w:beforeAutospacing="0" w:after="0" w:afterAutospacing="0" w:line="276" w:lineRule="auto"/>
        <w:jc w:val="center"/>
        <w:textAlignment w:val="baseline"/>
        <w:rPr>
          <w:rStyle w:val="normaltextrun"/>
          <w:rFonts w:ascii="Tahoma" w:hAnsi="Tahoma" w:cs="Tahoma"/>
          <w:b/>
          <w:bCs/>
        </w:rPr>
      </w:pPr>
      <w:r w:rsidRPr="005D443C">
        <w:rPr>
          <w:rStyle w:val="normaltextrun"/>
          <w:rFonts w:ascii="Tahoma" w:hAnsi="Tahoma" w:cs="Tahoma"/>
          <w:b/>
          <w:bCs/>
        </w:rPr>
        <w:t>PUNTO A TRATAR</w:t>
      </w:r>
    </w:p>
    <w:p w14:paraId="0B9202BB" w14:textId="77777777" w:rsidR="00B02A64" w:rsidRPr="005D443C" w:rsidRDefault="00B02A64" w:rsidP="005D443C">
      <w:pPr>
        <w:pStyle w:val="paragraph"/>
        <w:spacing w:before="0" w:beforeAutospacing="0" w:after="0" w:afterAutospacing="0" w:line="276" w:lineRule="auto"/>
        <w:jc w:val="center"/>
        <w:textAlignment w:val="baseline"/>
        <w:rPr>
          <w:rFonts w:ascii="Tahoma" w:hAnsi="Tahoma" w:cs="Tahoma"/>
        </w:rPr>
      </w:pPr>
    </w:p>
    <w:p w14:paraId="2A7580DA" w14:textId="7AFB29E9" w:rsidR="00B02A64" w:rsidRPr="005D443C" w:rsidRDefault="00B02A64" w:rsidP="005D443C">
      <w:pPr>
        <w:spacing w:line="276" w:lineRule="auto"/>
        <w:ind w:firstLine="708"/>
        <w:rPr>
          <w:rStyle w:val="normaltextrun"/>
          <w:rFonts w:cs="Tahoma"/>
          <w:szCs w:val="24"/>
          <w:lang w:val="es-ES_tradnl"/>
        </w:rPr>
      </w:pPr>
      <w:r w:rsidRPr="005D443C">
        <w:rPr>
          <w:rStyle w:val="normaltextrun"/>
          <w:rFonts w:cs="Tahoma"/>
          <w:szCs w:val="24"/>
        </w:rPr>
        <w:t>Por medio de esta providencia</w:t>
      </w:r>
      <w:r w:rsidR="008D1ABA" w:rsidRPr="005D443C">
        <w:rPr>
          <w:rStyle w:val="normaltextrun"/>
          <w:rFonts w:cs="Tahoma"/>
          <w:szCs w:val="24"/>
        </w:rPr>
        <w:t xml:space="preserve"> </w:t>
      </w:r>
      <w:r w:rsidRPr="005D443C">
        <w:rPr>
          <w:rStyle w:val="normaltextrun"/>
          <w:rFonts w:cs="Tahoma"/>
          <w:szCs w:val="24"/>
        </w:rPr>
        <w:t>procede la Sala a</w:t>
      </w:r>
      <w:r w:rsidRPr="005D443C">
        <w:rPr>
          <w:rFonts w:cs="Tahoma"/>
          <w:szCs w:val="24"/>
        </w:rPr>
        <w:t xml:space="preserve"> resolver </w:t>
      </w:r>
      <w:r w:rsidR="002C3499" w:rsidRPr="005D443C">
        <w:rPr>
          <w:rFonts w:cs="Tahoma"/>
          <w:szCs w:val="24"/>
        </w:rPr>
        <w:t>el</w:t>
      </w:r>
      <w:r w:rsidRPr="005D443C">
        <w:rPr>
          <w:rFonts w:cs="Tahoma"/>
          <w:szCs w:val="24"/>
        </w:rPr>
        <w:t xml:space="preserve"> recurso de apelación interpuesto </w:t>
      </w:r>
      <w:r w:rsidR="00F60CC9" w:rsidRPr="005D443C">
        <w:rPr>
          <w:rFonts w:cs="Tahoma"/>
          <w:szCs w:val="24"/>
        </w:rPr>
        <w:t>por</w:t>
      </w:r>
      <w:r w:rsidR="0090521B" w:rsidRPr="005D443C">
        <w:rPr>
          <w:rFonts w:cs="Tahoma"/>
          <w:szCs w:val="24"/>
        </w:rPr>
        <w:t xml:space="preserve"> la AFP</w:t>
      </w:r>
      <w:r w:rsidR="00F60CC9" w:rsidRPr="005D443C">
        <w:rPr>
          <w:rFonts w:cs="Tahoma"/>
          <w:szCs w:val="24"/>
        </w:rPr>
        <w:t xml:space="preserve"> </w:t>
      </w:r>
      <w:r w:rsidR="00214C20" w:rsidRPr="005D443C">
        <w:rPr>
          <w:rFonts w:cs="Tahoma"/>
          <w:szCs w:val="24"/>
        </w:rPr>
        <w:t xml:space="preserve">Porvenir S.A. </w:t>
      </w:r>
      <w:r w:rsidR="00E22AE7" w:rsidRPr="005D443C">
        <w:rPr>
          <w:rFonts w:cs="Tahoma"/>
          <w:szCs w:val="24"/>
        </w:rPr>
        <w:t xml:space="preserve">contra el auto </w:t>
      </w:r>
      <w:r w:rsidR="00A15E51" w:rsidRPr="005D443C">
        <w:rPr>
          <w:rFonts w:cs="Tahoma"/>
          <w:szCs w:val="24"/>
        </w:rPr>
        <w:t xml:space="preserve">que </w:t>
      </w:r>
      <w:r w:rsidR="001364C9" w:rsidRPr="005D443C">
        <w:rPr>
          <w:rFonts w:cs="Tahoma"/>
          <w:szCs w:val="24"/>
        </w:rPr>
        <w:t>declaró impróspera</w:t>
      </w:r>
      <w:r w:rsidR="00A40E56" w:rsidRPr="005D443C">
        <w:rPr>
          <w:rFonts w:cs="Tahoma"/>
          <w:szCs w:val="24"/>
        </w:rPr>
        <w:t>s</w:t>
      </w:r>
      <w:r w:rsidR="001364C9" w:rsidRPr="005D443C">
        <w:rPr>
          <w:rFonts w:cs="Tahoma"/>
          <w:szCs w:val="24"/>
        </w:rPr>
        <w:t xml:space="preserve"> </w:t>
      </w:r>
      <w:r w:rsidR="00A40E56" w:rsidRPr="005D443C">
        <w:rPr>
          <w:rFonts w:cs="Tahoma"/>
          <w:szCs w:val="24"/>
        </w:rPr>
        <w:t>las excepciones</w:t>
      </w:r>
      <w:r w:rsidR="00A40E56" w:rsidRPr="005D443C">
        <w:rPr>
          <w:rFonts w:cs="Tahoma"/>
          <w:szCs w:val="24"/>
          <w:lang w:val="es-ES_tradnl"/>
        </w:rPr>
        <w:t xml:space="preserve"> de falta de integración del litisconsorcio necesario</w:t>
      </w:r>
      <w:r w:rsidR="00F903F0" w:rsidRPr="005D443C">
        <w:rPr>
          <w:rFonts w:cs="Tahoma"/>
          <w:szCs w:val="24"/>
          <w:lang w:val="es-ES_tradnl"/>
        </w:rPr>
        <w:t>,</w:t>
      </w:r>
      <w:r w:rsidR="00A40E56" w:rsidRPr="005D443C">
        <w:rPr>
          <w:rFonts w:cs="Tahoma"/>
          <w:szCs w:val="24"/>
          <w:lang w:val="es-ES_tradnl"/>
        </w:rPr>
        <w:t xml:space="preserve"> falta de competencia</w:t>
      </w:r>
      <w:r w:rsidR="00F903F0" w:rsidRPr="005D443C">
        <w:rPr>
          <w:rFonts w:cs="Tahoma"/>
          <w:szCs w:val="24"/>
          <w:lang w:val="es-ES_tradnl"/>
        </w:rPr>
        <w:t xml:space="preserve"> y</w:t>
      </w:r>
      <w:r w:rsidR="00A218C7" w:rsidRPr="005D443C">
        <w:rPr>
          <w:rFonts w:cs="Tahoma"/>
          <w:szCs w:val="24"/>
          <w:lang w:val="es-ES_tradnl"/>
        </w:rPr>
        <w:t xml:space="preserve"> habérsele dado a la demanda el trámite de un proceso diferente al que corresponde</w:t>
      </w:r>
      <w:r w:rsidR="00E309C6" w:rsidRPr="005D443C">
        <w:rPr>
          <w:rFonts w:cs="Tahoma"/>
          <w:szCs w:val="24"/>
          <w:lang w:val="es-ES_tradnl"/>
        </w:rPr>
        <w:t xml:space="preserve">, </w:t>
      </w:r>
      <w:r w:rsidR="00E22AE7" w:rsidRPr="005D443C">
        <w:rPr>
          <w:rFonts w:cs="Tahoma"/>
          <w:szCs w:val="24"/>
        </w:rPr>
        <w:t xml:space="preserve">proferido por el Juzgado </w:t>
      </w:r>
      <w:r w:rsidR="00E309C6" w:rsidRPr="005D443C">
        <w:rPr>
          <w:rFonts w:cs="Tahoma"/>
          <w:szCs w:val="24"/>
        </w:rPr>
        <w:t xml:space="preserve">Tercero </w:t>
      </w:r>
      <w:r w:rsidR="00E22AE7" w:rsidRPr="005D443C">
        <w:rPr>
          <w:rFonts w:cs="Tahoma"/>
          <w:szCs w:val="24"/>
        </w:rPr>
        <w:t>Laboral del Circuito de Pereira</w:t>
      </w:r>
      <w:r w:rsidR="00E26F40" w:rsidRPr="005D443C">
        <w:rPr>
          <w:rFonts w:cs="Tahoma"/>
          <w:szCs w:val="24"/>
        </w:rPr>
        <w:t xml:space="preserve"> el </w:t>
      </w:r>
      <w:r w:rsidR="00F60CC9" w:rsidRPr="005D443C">
        <w:rPr>
          <w:rFonts w:cs="Tahoma"/>
          <w:szCs w:val="24"/>
        </w:rPr>
        <w:t xml:space="preserve">23 de </w:t>
      </w:r>
      <w:r w:rsidR="00E309C6" w:rsidRPr="005D443C">
        <w:rPr>
          <w:rFonts w:cs="Tahoma"/>
          <w:szCs w:val="24"/>
        </w:rPr>
        <w:t xml:space="preserve">enero de </w:t>
      </w:r>
      <w:r w:rsidR="00F60CC9" w:rsidRPr="005D443C">
        <w:rPr>
          <w:rFonts w:cs="Tahoma"/>
          <w:szCs w:val="24"/>
        </w:rPr>
        <w:t>202</w:t>
      </w:r>
      <w:r w:rsidR="00E309C6" w:rsidRPr="005D443C">
        <w:rPr>
          <w:rFonts w:cs="Tahoma"/>
          <w:szCs w:val="24"/>
        </w:rPr>
        <w:t>3</w:t>
      </w:r>
      <w:r w:rsidR="00F60CC9" w:rsidRPr="005D443C">
        <w:rPr>
          <w:rFonts w:cs="Tahoma"/>
          <w:szCs w:val="24"/>
        </w:rPr>
        <w:t>. Para ello se tiene en cuenta lo siguiente:</w:t>
      </w:r>
    </w:p>
    <w:p w14:paraId="78DCFD2A" w14:textId="2FD32FD7" w:rsidR="004E7258" w:rsidRDefault="004E7258" w:rsidP="00907C9D">
      <w:pPr>
        <w:spacing w:line="276" w:lineRule="auto"/>
        <w:rPr>
          <w:rFonts w:cs="Tahoma"/>
          <w:szCs w:val="24"/>
        </w:rPr>
      </w:pPr>
    </w:p>
    <w:p w14:paraId="53DF162F" w14:textId="77777777" w:rsidR="00907C9D" w:rsidRPr="005D443C" w:rsidRDefault="00907C9D" w:rsidP="00907C9D">
      <w:pPr>
        <w:spacing w:line="276" w:lineRule="auto"/>
        <w:rPr>
          <w:rFonts w:cs="Tahoma"/>
          <w:szCs w:val="24"/>
        </w:rPr>
      </w:pPr>
    </w:p>
    <w:p w14:paraId="06F71854" w14:textId="27EB4C73" w:rsidR="00B67192" w:rsidRPr="005D443C" w:rsidRDefault="004B5F35" w:rsidP="005D443C">
      <w:pPr>
        <w:pStyle w:val="Prrafodelista"/>
        <w:numPr>
          <w:ilvl w:val="0"/>
          <w:numId w:val="9"/>
        </w:numPr>
        <w:spacing w:line="276" w:lineRule="auto"/>
        <w:ind w:left="0" w:firstLine="0"/>
        <w:jc w:val="center"/>
        <w:rPr>
          <w:rFonts w:eastAsia="Calibri" w:cs="Tahoma"/>
          <w:b/>
          <w:bCs/>
          <w:szCs w:val="24"/>
        </w:rPr>
      </w:pPr>
      <w:r w:rsidRPr="005D443C">
        <w:rPr>
          <w:rFonts w:eastAsia="Calibri" w:cs="Tahoma"/>
          <w:b/>
          <w:bCs/>
          <w:szCs w:val="24"/>
        </w:rPr>
        <w:t>ANTECEDENTES</w:t>
      </w:r>
    </w:p>
    <w:p w14:paraId="08E08D0E" w14:textId="299C7574" w:rsidR="006776AD" w:rsidRPr="005D443C" w:rsidRDefault="006776AD" w:rsidP="005D443C">
      <w:pPr>
        <w:spacing w:line="276" w:lineRule="auto"/>
        <w:jc w:val="center"/>
        <w:rPr>
          <w:rFonts w:eastAsia="Calibri" w:cs="Tahoma"/>
          <w:b/>
          <w:bCs/>
          <w:szCs w:val="24"/>
        </w:rPr>
      </w:pPr>
    </w:p>
    <w:p w14:paraId="753AD656" w14:textId="53D591B0" w:rsidR="00A53360" w:rsidRPr="005D443C" w:rsidRDefault="00130035" w:rsidP="005D443C">
      <w:pPr>
        <w:spacing w:line="276" w:lineRule="auto"/>
        <w:ind w:firstLine="708"/>
        <w:rPr>
          <w:rFonts w:eastAsia="Calibri" w:cs="Tahoma"/>
          <w:szCs w:val="24"/>
        </w:rPr>
      </w:pPr>
      <w:r w:rsidRPr="005D443C">
        <w:rPr>
          <w:rFonts w:eastAsia="Calibri" w:cs="Tahoma"/>
          <w:szCs w:val="24"/>
        </w:rPr>
        <w:t>En el caso objeto de estudio</w:t>
      </w:r>
      <w:r w:rsidR="0090521B" w:rsidRPr="005D443C">
        <w:rPr>
          <w:rFonts w:eastAsia="Calibri" w:cs="Tahoma"/>
          <w:szCs w:val="24"/>
        </w:rPr>
        <w:t>,</w:t>
      </w:r>
      <w:r w:rsidRPr="005D443C">
        <w:rPr>
          <w:rFonts w:eastAsia="Calibri" w:cs="Tahoma"/>
          <w:szCs w:val="24"/>
        </w:rPr>
        <w:t xml:space="preserve"> el promotor del litigio pretende que se declare que Porvenir S.A.</w:t>
      </w:r>
      <w:r w:rsidR="001B43E1" w:rsidRPr="005D443C">
        <w:rPr>
          <w:rFonts w:eastAsia="Calibri" w:cs="Tahoma"/>
          <w:szCs w:val="24"/>
        </w:rPr>
        <w:t xml:space="preserve"> y Protección S.A.</w:t>
      </w:r>
      <w:r w:rsidRPr="005D443C">
        <w:rPr>
          <w:rFonts w:eastAsia="Calibri" w:cs="Tahoma"/>
          <w:szCs w:val="24"/>
        </w:rPr>
        <w:t xml:space="preserve"> incumpli</w:t>
      </w:r>
      <w:r w:rsidR="001B43E1" w:rsidRPr="005D443C">
        <w:rPr>
          <w:rFonts w:eastAsia="Calibri" w:cs="Tahoma"/>
          <w:szCs w:val="24"/>
        </w:rPr>
        <w:t>eron</w:t>
      </w:r>
      <w:r w:rsidRPr="005D443C">
        <w:rPr>
          <w:rFonts w:eastAsia="Calibri" w:cs="Tahoma"/>
          <w:szCs w:val="24"/>
        </w:rPr>
        <w:t xml:space="preserve"> </w:t>
      </w:r>
      <w:r w:rsidR="008D442C" w:rsidRPr="005D443C">
        <w:rPr>
          <w:rFonts w:eastAsia="Calibri" w:cs="Tahoma"/>
          <w:szCs w:val="24"/>
        </w:rPr>
        <w:t xml:space="preserve">con su deber de información </w:t>
      </w:r>
      <w:r w:rsidR="00E27A2B" w:rsidRPr="005D443C">
        <w:rPr>
          <w:rFonts w:eastAsia="Calibri" w:cs="Tahoma"/>
          <w:szCs w:val="24"/>
        </w:rPr>
        <w:t xml:space="preserve">al momento de </w:t>
      </w:r>
      <w:r w:rsidR="001B43E1" w:rsidRPr="005D443C">
        <w:rPr>
          <w:rFonts w:eastAsia="Calibri" w:cs="Tahoma"/>
          <w:szCs w:val="24"/>
        </w:rPr>
        <w:t>la</w:t>
      </w:r>
      <w:r w:rsidR="00E27A2B" w:rsidRPr="005D443C">
        <w:rPr>
          <w:rFonts w:eastAsia="Calibri" w:cs="Tahoma"/>
          <w:szCs w:val="24"/>
        </w:rPr>
        <w:t xml:space="preserve"> afiliación al RAIS</w:t>
      </w:r>
      <w:r w:rsidR="006B2F67" w:rsidRPr="005D443C">
        <w:rPr>
          <w:rFonts w:eastAsia="Calibri" w:cs="Tahoma"/>
          <w:szCs w:val="24"/>
        </w:rPr>
        <w:t>, que le gener</w:t>
      </w:r>
      <w:r w:rsidR="0090521B" w:rsidRPr="005D443C">
        <w:rPr>
          <w:rFonts w:eastAsia="Calibri" w:cs="Tahoma"/>
          <w:szCs w:val="24"/>
        </w:rPr>
        <w:t>ó</w:t>
      </w:r>
      <w:r w:rsidR="006B2F67" w:rsidRPr="005D443C">
        <w:rPr>
          <w:rFonts w:eastAsia="Calibri" w:cs="Tahoma"/>
          <w:szCs w:val="24"/>
        </w:rPr>
        <w:t xml:space="preserve"> un perjuicio en la cuantía de la pensión</w:t>
      </w:r>
      <w:r w:rsidR="000635A5" w:rsidRPr="005D443C">
        <w:rPr>
          <w:rFonts w:eastAsia="Calibri" w:cs="Tahoma"/>
          <w:szCs w:val="24"/>
        </w:rPr>
        <w:t>; y</w:t>
      </w:r>
      <w:r w:rsidR="0090521B" w:rsidRPr="005D443C">
        <w:rPr>
          <w:rFonts w:eastAsia="Calibri" w:cs="Tahoma"/>
          <w:szCs w:val="24"/>
        </w:rPr>
        <w:t>,</w:t>
      </w:r>
      <w:r w:rsidR="000635A5" w:rsidRPr="005D443C">
        <w:rPr>
          <w:rFonts w:eastAsia="Calibri" w:cs="Tahoma"/>
          <w:szCs w:val="24"/>
        </w:rPr>
        <w:t xml:space="preserve"> en consecuencia</w:t>
      </w:r>
      <w:r w:rsidR="0090521B" w:rsidRPr="005D443C">
        <w:rPr>
          <w:rFonts w:eastAsia="Calibri" w:cs="Tahoma"/>
          <w:szCs w:val="24"/>
        </w:rPr>
        <w:t>,</w:t>
      </w:r>
      <w:r w:rsidR="000635A5" w:rsidRPr="005D443C">
        <w:rPr>
          <w:rFonts w:eastAsia="Calibri" w:cs="Tahoma"/>
          <w:szCs w:val="24"/>
        </w:rPr>
        <w:t xml:space="preserve"> se </w:t>
      </w:r>
      <w:r w:rsidR="003E7CBB" w:rsidRPr="005D443C">
        <w:rPr>
          <w:rFonts w:eastAsia="Calibri" w:cs="Tahoma"/>
          <w:szCs w:val="24"/>
        </w:rPr>
        <w:t>le</w:t>
      </w:r>
      <w:r w:rsidR="00C7349A" w:rsidRPr="005D443C">
        <w:rPr>
          <w:rFonts w:eastAsia="Calibri" w:cs="Tahoma"/>
          <w:szCs w:val="24"/>
        </w:rPr>
        <w:t>s</w:t>
      </w:r>
      <w:r w:rsidR="0090521B" w:rsidRPr="005D443C">
        <w:rPr>
          <w:rFonts w:eastAsia="Calibri" w:cs="Tahoma"/>
          <w:szCs w:val="24"/>
        </w:rPr>
        <w:t xml:space="preserve"> imponga como</w:t>
      </w:r>
      <w:r w:rsidR="000635A5" w:rsidRPr="005D443C">
        <w:rPr>
          <w:rFonts w:eastAsia="Calibri" w:cs="Tahoma"/>
          <w:szCs w:val="24"/>
        </w:rPr>
        <w:t xml:space="preserve"> conden</w:t>
      </w:r>
      <w:r w:rsidR="0090521B" w:rsidRPr="005D443C">
        <w:rPr>
          <w:rFonts w:eastAsia="Calibri" w:cs="Tahoma"/>
          <w:szCs w:val="24"/>
        </w:rPr>
        <w:t>a</w:t>
      </w:r>
      <w:r w:rsidR="000635A5" w:rsidRPr="005D443C">
        <w:rPr>
          <w:rFonts w:eastAsia="Calibri" w:cs="Tahoma"/>
          <w:szCs w:val="24"/>
        </w:rPr>
        <w:t xml:space="preserve"> </w:t>
      </w:r>
      <w:r w:rsidR="0090521B" w:rsidRPr="005D443C">
        <w:rPr>
          <w:rFonts w:eastAsia="Calibri" w:cs="Tahoma"/>
          <w:szCs w:val="24"/>
        </w:rPr>
        <w:t>e</w:t>
      </w:r>
      <w:r w:rsidR="000635A5" w:rsidRPr="005D443C">
        <w:rPr>
          <w:rFonts w:eastAsia="Calibri" w:cs="Tahoma"/>
          <w:szCs w:val="24"/>
        </w:rPr>
        <w:t>l pago de la indemnización total de perjuicios,</w:t>
      </w:r>
      <w:r w:rsidR="0090521B" w:rsidRPr="005D443C">
        <w:rPr>
          <w:rFonts w:eastAsia="Calibri" w:cs="Tahoma"/>
          <w:szCs w:val="24"/>
        </w:rPr>
        <w:t xml:space="preserve"> y se condene</w:t>
      </w:r>
      <w:r w:rsidR="000635A5" w:rsidRPr="005D443C">
        <w:rPr>
          <w:rFonts w:eastAsia="Calibri" w:cs="Tahoma"/>
          <w:szCs w:val="24"/>
        </w:rPr>
        <w:t xml:space="preserve"> a lo extra y ultra</w:t>
      </w:r>
      <w:r w:rsidR="0090521B" w:rsidRPr="005D443C">
        <w:rPr>
          <w:rFonts w:eastAsia="Calibri" w:cs="Tahoma"/>
          <w:szCs w:val="24"/>
        </w:rPr>
        <w:t xml:space="preserve"> petita, según lo</w:t>
      </w:r>
      <w:r w:rsidR="000635A5" w:rsidRPr="005D443C">
        <w:rPr>
          <w:rFonts w:eastAsia="Calibri" w:cs="Tahoma"/>
          <w:szCs w:val="24"/>
        </w:rPr>
        <w:t xml:space="preserve"> debatido y probado en el proceso </w:t>
      </w:r>
      <w:r w:rsidR="006A069F" w:rsidRPr="005D443C">
        <w:rPr>
          <w:rFonts w:eastAsia="Calibri" w:cs="Tahoma"/>
          <w:szCs w:val="24"/>
        </w:rPr>
        <w:t>y las costas procesales a su favor.</w:t>
      </w:r>
    </w:p>
    <w:p w14:paraId="5BEFF5DE" w14:textId="77777777" w:rsidR="00212F4F" w:rsidRPr="005D443C" w:rsidRDefault="00212F4F" w:rsidP="005D443C">
      <w:pPr>
        <w:spacing w:line="276" w:lineRule="auto"/>
        <w:ind w:firstLine="708"/>
        <w:rPr>
          <w:rFonts w:eastAsia="Calibri" w:cs="Tahoma"/>
          <w:szCs w:val="24"/>
        </w:rPr>
      </w:pPr>
    </w:p>
    <w:p w14:paraId="79C1805C" w14:textId="3DA9F5EE" w:rsidR="00212F4F" w:rsidRPr="005D443C" w:rsidRDefault="00212F4F" w:rsidP="005D443C">
      <w:pPr>
        <w:spacing w:line="276" w:lineRule="auto"/>
        <w:ind w:firstLine="708"/>
        <w:rPr>
          <w:rFonts w:eastAsia="Calibri" w:cs="Tahoma"/>
          <w:szCs w:val="24"/>
        </w:rPr>
      </w:pPr>
      <w:r w:rsidRPr="005D443C">
        <w:rPr>
          <w:rFonts w:eastAsia="Calibri" w:cs="Tahoma"/>
          <w:szCs w:val="24"/>
        </w:rPr>
        <w:t xml:space="preserve">Motiva la acción judicial indicando que </w:t>
      </w:r>
      <w:r w:rsidR="005440D0" w:rsidRPr="005D443C">
        <w:rPr>
          <w:rFonts w:eastAsia="Calibri" w:cs="Tahoma"/>
          <w:szCs w:val="24"/>
        </w:rPr>
        <w:t xml:space="preserve">nació el 4 de noviembre de 1956, que empezó su vida laboral en mayo de 1982 y se afilió al RPM, donde realizó cotizaciones hasta agosto de 1995, cuando </w:t>
      </w:r>
      <w:r w:rsidR="00A72DBD" w:rsidRPr="005D443C">
        <w:rPr>
          <w:rFonts w:eastAsia="Calibri" w:cs="Tahoma"/>
          <w:szCs w:val="24"/>
        </w:rPr>
        <w:t xml:space="preserve">suscribió formulario de afiliación a Porvenir S.A y se trasladó al RAIS, régimen donde se </w:t>
      </w:r>
      <w:r w:rsidR="3C4B8070" w:rsidRPr="005D443C">
        <w:rPr>
          <w:rFonts w:eastAsia="Calibri" w:cs="Tahoma"/>
          <w:szCs w:val="24"/>
        </w:rPr>
        <w:t>trasladó</w:t>
      </w:r>
      <w:r w:rsidR="00A72DBD" w:rsidRPr="005D443C">
        <w:rPr>
          <w:rFonts w:eastAsia="Calibri" w:cs="Tahoma"/>
          <w:szCs w:val="24"/>
        </w:rPr>
        <w:t xml:space="preserve"> nuevamente el 2 de diciembre de 2002 para la AFP Protección S.A.</w:t>
      </w:r>
    </w:p>
    <w:p w14:paraId="74894F0D" w14:textId="77777777" w:rsidR="00E34C56" w:rsidRPr="005D443C" w:rsidRDefault="00E34C56" w:rsidP="005D443C">
      <w:pPr>
        <w:spacing w:line="276" w:lineRule="auto"/>
        <w:ind w:firstLine="708"/>
        <w:rPr>
          <w:rFonts w:eastAsia="Calibri" w:cs="Tahoma"/>
          <w:szCs w:val="24"/>
        </w:rPr>
      </w:pPr>
    </w:p>
    <w:p w14:paraId="76B7F1E9" w14:textId="7A5FF0B5" w:rsidR="00E34C56" w:rsidRPr="005D443C" w:rsidRDefault="007C5FB1" w:rsidP="005D443C">
      <w:pPr>
        <w:spacing w:line="276" w:lineRule="auto"/>
        <w:ind w:firstLine="708"/>
        <w:rPr>
          <w:rFonts w:eastAsia="Calibri" w:cs="Tahoma"/>
          <w:szCs w:val="24"/>
        </w:rPr>
      </w:pPr>
      <w:r w:rsidRPr="005D443C">
        <w:rPr>
          <w:rFonts w:eastAsia="Calibri" w:cs="Tahoma"/>
          <w:szCs w:val="24"/>
        </w:rPr>
        <w:t xml:space="preserve">Esboza que dichas administradoras al momento de la afiliación no le </w:t>
      </w:r>
      <w:r w:rsidR="00F16FD2" w:rsidRPr="005D443C">
        <w:rPr>
          <w:rFonts w:eastAsia="Calibri" w:cs="Tahoma"/>
          <w:szCs w:val="24"/>
        </w:rPr>
        <w:t xml:space="preserve">informaron acerca de las condiciones, riesgos y consecuencias de su afiliación, </w:t>
      </w:r>
      <w:r w:rsidR="003E7CBB" w:rsidRPr="005D443C">
        <w:rPr>
          <w:rFonts w:eastAsia="Calibri" w:cs="Tahoma"/>
          <w:szCs w:val="24"/>
        </w:rPr>
        <w:t>por lo que no recibió una información, clara, cierta, compresible y oportuna</w:t>
      </w:r>
      <w:r w:rsidR="00583887" w:rsidRPr="005D443C">
        <w:rPr>
          <w:rFonts w:eastAsia="Calibri" w:cs="Tahoma"/>
          <w:szCs w:val="24"/>
        </w:rPr>
        <w:t xml:space="preserve">, lo </w:t>
      </w:r>
      <w:r w:rsidR="003E7CBB" w:rsidRPr="005D443C">
        <w:rPr>
          <w:rFonts w:eastAsia="Calibri" w:cs="Tahoma"/>
          <w:szCs w:val="24"/>
        </w:rPr>
        <w:t>que derivó en un perjuicio en la cuantía de su mesada pensional.</w:t>
      </w:r>
    </w:p>
    <w:p w14:paraId="5D9FB461" w14:textId="77777777" w:rsidR="003E7CBB" w:rsidRPr="005D443C" w:rsidRDefault="003E7CBB" w:rsidP="005D443C">
      <w:pPr>
        <w:spacing w:line="276" w:lineRule="auto"/>
        <w:ind w:firstLine="708"/>
        <w:rPr>
          <w:rFonts w:eastAsia="Calibri" w:cs="Tahoma"/>
          <w:szCs w:val="24"/>
        </w:rPr>
      </w:pPr>
    </w:p>
    <w:p w14:paraId="1BB0828E" w14:textId="1CA58DEC" w:rsidR="00C7349A" w:rsidRPr="005D443C" w:rsidRDefault="00C7349A" w:rsidP="005D443C">
      <w:pPr>
        <w:spacing w:line="276" w:lineRule="auto"/>
        <w:ind w:firstLine="708"/>
        <w:rPr>
          <w:rFonts w:eastAsia="Calibri" w:cs="Tahoma"/>
          <w:szCs w:val="24"/>
        </w:rPr>
      </w:pPr>
      <w:r w:rsidRPr="005D443C">
        <w:rPr>
          <w:rFonts w:eastAsia="Calibri" w:cs="Tahoma"/>
          <w:szCs w:val="24"/>
        </w:rPr>
        <w:t>En respuesta a la demanda</w:t>
      </w:r>
      <w:r w:rsidR="00583887" w:rsidRPr="005D443C">
        <w:rPr>
          <w:rFonts w:eastAsia="Calibri" w:cs="Tahoma"/>
          <w:szCs w:val="24"/>
        </w:rPr>
        <w:t>, la AFP</w:t>
      </w:r>
      <w:r w:rsidRPr="005D443C">
        <w:rPr>
          <w:rFonts w:eastAsia="Calibri" w:cs="Tahoma"/>
          <w:szCs w:val="24"/>
        </w:rPr>
        <w:t xml:space="preserve"> </w:t>
      </w:r>
      <w:r w:rsidRPr="005D443C">
        <w:rPr>
          <w:rFonts w:eastAsia="Calibri" w:cs="Tahoma"/>
          <w:b/>
          <w:bCs/>
          <w:szCs w:val="24"/>
        </w:rPr>
        <w:t>Porvenir S.A.</w:t>
      </w:r>
      <w:r w:rsidRPr="005D443C">
        <w:rPr>
          <w:rStyle w:val="Refdenotaalpie"/>
          <w:rFonts w:eastAsia="Calibri" w:cs="Tahoma"/>
          <w:b/>
          <w:bCs/>
          <w:szCs w:val="24"/>
        </w:rPr>
        <w:footnoteReference w:id="1"/>
      </w:r>
      <w:r w:rsidR="00E756BE" w:rsidRPr="005D443C">
        <w:rPr>
          <w:rFonts w:eastAsia="Calibri" w:cs="Tahoma"/>
          <w:b/>
          <w:bCs/>
          <w:szCs w:val="24"/>
        </w:rPr>
        <w:t xml:space="preserve"> </w:t>
      </w:r>
      <w:r w:rsidR="00E44DFC" w:rsidRPr="005D443C">
        <w:rPr>
          <w:rFonts w:eastAsia="Calibri" w:cs="Tahoma"/>
          <w:szCs w:val="24"/>
        </w:rPr>
        <w:t xml:space="preserve">propuso como excepciones previas: </w:t>
      </w:r>
      <w:r w:rsidR="00AA46D3" w:rsidRPr="005D443C">
        <w:rPr>
          <w:rFonts w:eastAsia="Calibri" w:cs="Tahoma"/>
          <w:i/>
          <w:iCs/>
          <w:szCs w:val="24"/>
        </w:rPr>
        <w:t>“falta de integración del litisconsorcio necesario”, “cosa juzgada”</w:t>
      </w:r>
      <w:r w:rsidR="00AA46D3" w:rsidRPr="005D443C">
        <w:rPr>
          <w:rFonts w:eastAsia="Calibri" w:cs="Tahoma"/>
          <w:szCs w:val="24"/>
        </w:rPr>
        <w:t xml:space="preserve"> y </w:t>
      </w:r>
      <w:r w:rsidR="00DA62D7" w:rsidRPr="005D443C">
        <w:rPr>
          <w:rFonts w:eastAsia="Calibri" w:cs="Tahoma"/>
          <w:i/>
          <w:iCs/>
          <w:szCs w:val="24"/>
        </w:rPr>
        <w:t>“falta de competencia y habérsele dado a la demanda el trámite de un proceso diferente al que corresponde”.</w:t>
      </w:r>
    </w:p>
    <w:p w14:paraId="4859DCD3" w14:textId="3062E310" w:rsidR="008D442C" w:rsidRDefault="008D442C" w:rsidP="005D443C">
      <w:pPr>
        <w:spacing w:line="276" w:lineRule="auto"/>
        <w:rPr>
          <w:rFonts w:eastAsia="Calibri" w:cs="Tahoma"/>
          <w:szCs w:val="24"/>
        </w:rPr>
      </w:pPr>
    </w:p>
    <w:p w14:paraId="5CADBC6B" w14:textId="77777777" w:rsidR="00907C9D" w:rsidRPr="005D443C" w:rsidRDefault="00907C9D" w:rsidP="005D443C">
      <w:pPr>
        <w:spacing w:line="276" w:lineRule="auto"/>
        <w:rPr>
          <w:rFonts w:eastAsia="Calibri" w:cs="Tahoma"/>
          <w:szCs w:val="24"/>
        </w:rPr>
      </w:pPr>
    </w:p>
    <w:p w14:paraId="02343077" w14:textId="0B528714" w:rsidR="00362E6F" w:rsidRPr="005D443C" w:rsidRDefault="004B5F35" w:rsidP="005D443C">
      <w:pPr>
        <w:pStyle w:val="Prrafodelista"/>
        <w:numPr>
          <w:ilvl w:val="0"/>
          <w:numId w:val="9"/>
        </w:numPr>
        <w:spacing w:line="276" w:lineRule="auto"/>
        <w:jc w:val="center"/>
        <w:rPr>
          <w:rFonts w:cs="Tahoma"/>
          <w:b/>
          <w:szCs w:val="24"/>
          <w:lang w:val="es-CO"/>
        </w:rPr>
      </w:pPr>
      <w:r w:rsidRPr="005D443C">
        <w:rPr>
          <w:rFonts w:cs="Tahoma"/>
          <w:b/>
          <w:szCs w:val="24"/>
          <w:lang w:val="es-CO"/>
        </w:rPr>
        <w:t>AUTO APELADO</w:t>
      </w:r>
    </w:p>
    <w:p w14:paraId="59C6491C" w14:textId="77777777" w:rsidR="00F04658" w:rsidRPr="005D443C" w:rsidRDefault="00F04658" w:rsidP="005D443C">
      <w:pPr>
        <w:spacing w:line="276" w:lineRule="auto"/>
        <w:rPr>
          <w:rFonts w:cs="Tahoma"/>
          <w:szCs w:val="24"/>
        </w:rPr>
      </w:pPr>
    </w:p>
    <w:p w14:paraId="37BC4119" w14:textId="47643CF7" w:rsidR="00315E00" w:rsidRPr="005D443C" w:rsidRDefault="00B83B4E" w:rsidP="005D443C">
      <w:pPr>
        <w:spacing w:line="276" w:lineRule="auto"/>
        <w:ind w:firstLine="708"/>
        <w:rPr>
          <w:rFonts w:cs="Tahoma"/>
          <w:szCs w:val="24"/>
          <w:lang w:val="es-ES_tradnl"/>
        </w:rPr>
      </w:pPr>
      <w:r w:rsidRPr="005D443C">
        <w:rPr>
          <w:rFonts w:cs="Tahoma"/>
          <w:szCs w:val="24"/>
          <w:lang w:val="es-ES_tradnl"/>
        </w:rPr>
        <w:t>En</w:t>
      </w:r>
      <w:r w:rsidR="00583887" w:rsidRPr="005D443C">
        <w:rPr>
          <w:rFonts w:cs="Tahoma"/>
          <w:szCs w:val="24"/>
          <w:lang w:val="es-ES_tradnl"/>
        </w:rPr>
        <w:t xml:space="preserve"> el</w:t>
      </w:r>
      <w:r w:rsidRPr="005D443C">
        <w:rPr>
          <w:rFonts w:cs="Tahoma"/>
          <w:szCs w:val="24"/>
          <w:lang w:val="es-ES_tradnl"/>
        </w:rPr>
        <w:t xml:space="preserve"> curso de la etapa de decisión de excepciones previas, prevista en la audiencia consagrada en el artículo 77 del </w:t>
      </w:r>
      <w:r w:rsidR="000B265E" w:rsidRPr="005D443C">
        <w:rPr>
          <w:rFonts w:cs="Tahoma"/>
          <w:szCs w:val="24"/>
          <w:lang w:val="es-ES_tradnl"/>
        </w:rPr>
        <w:t xml:space="preserve">C.P.T </w:t>
      </w:r>
      <w:r w:rsidRPr="005D443C">
        <w:rPr>
          <w:rFonts w:cs="Tahoma"/>
          <w:szCs w:val="24"/>
          <w:lang w:val="es-ES_tradnl"/>
        </w:rPr>
        <w:t xml:space="preserve">y la </w:t>
      </w:r>
      <w:r w:rsidR="000B265E" w:rsidRPr="005D443C">
        <w:rPr>
          <w:rFonts w:cs="Tahoma"/>
          <w:szCs w:val="24"/>
          <w:lang w:val="es-ES_tradnl"/>
        </w:rPr>
        <w:t>S.S</w:t>
      </w:r>
      <w:r w:rsidRPr="005D443C">
        <w:rPr>
          <w:rFonts w:cs="Tahoma"/>
          <w:szCs w:val="24"/>
          <w:lang w:val="es-ES_tradnl"/>
        </w:rPr>
        <w:t xml:space="preserve">., la Jueza de conocimiento </w:t>
      </w:r>
      <w:r w:rsidRPr="005D443C">
        <w:rPr>
          <w:rFonts w:cs="Tahoma"/>
          <w:szCs w:val="24"/>
          <w:lang w:val="es-ES_tradnl"/>
        </w:rPr>
        <w:lastRenderedPageBreak/>
        <w:t xml:space="preserve">declaró </w:t>
      </w:r>
      <w:r w:rsidR="00370355" w:rsidRPr="005D443C">
        <w:rPr>
          <w:rFonts w:cs="Tahoma"/>
          <w:szCs w:val="24"/>
          <w:lang w:val="es-ES_tradnl"/>
        </w:rPr>
        <w:t xml:space="preserve">probada la excepción previa denominada cosa juzgada respecto de las pretensiones subsidiarias de la demanda, y no probadas la de </w:t>
      </w:r>
      <w:r w:rsidR="00F903F0" w:rsidRPr="005D443C">
        <w:rPr>
          <w:rFonts w:cs="Tahoma"/>
          <w:szCs w:val="24"/>
          <w:lang w:val="es-ES_tradnl"/>
        </w:rPr>
        <w:t>“</w:t>
      </w:r>
      <w:r w:rsidR="00370355" w:rsidRPr="005D443C">
        <w:rPr>
          <w:rFonts w:cs="Tahoma"/>
          <w:szCs w:val="24"/>
          <w:lang w:val="es-ES_tradnl"/>
        </w:rPr>
        <w:t>falta de integración del litisconsorcio necesario</w:t>
      </w:r>
      <w:r w:rsidR="00A16EEA" w:rsidRPr="005D443C">
        <w:rPr>
          <w:rFonts w:cs="Tahoma"/>
          <w:szCs w:val="24"/>
          <w:lang w:val="es-ES_tradnl"/>
        </w:rPr>
        <w:t>”</w:t>
      </w:r>
      <w:r w:rsidR="00370355" w:rsidRPr="005D443C">
        <w:rPr>
          <w:rFonts w:cs="Tahoma"/>
          <w:szCs w:val="24"/>
          <w:lang w:val="es-ES_tradnl"/>
        </w:rPr>
        <w:t xml:space="preserve"> y </w:t>
      </w:r>
      <w:r w:rsidR="00A16EEA" w:rsidRPr="005D443C">
        <w:rPr>
          <w:rFonts w:cs="Tahoma"/>
          <w:szCs w:val="24"/>
          <w:lang w:val="es-ES_tradnl"/>
        </w:rPr>
        <w:t>“</w:t>
      </w:r>
      <w:r w:rsidR="00370355" w:rsidRPr="005D443C">
        <w:rPr>
          <w:rFonts w:cs="Tahoma"/>
          <w:szCs w:val="24"/>
          <w:lang w:val="es-ES_tradnl"/>
        </w:rPr>
        <w:t>falta de competencia</w:t>
      </w:r>
      <w:r w:rsidR="00A16EEA" w:rsidRPr="005D443C">
        <w:rPr>
          <w:rFonts w:cs="Tahoma"/>
          <w:szCs w:val="24"/>
          <w:lang w:val="es-ES_tradnl"/>
        </w:rPr>
        <w:t xml:space="preserve"> y </w:t>
      </w:r>
      <w:r w:rsidR="00370355" w:rsidRPr="005D443C">
        <w:rPr>
          <w:rFonts w:cs="Tahoma"/>
          <w:szCs w:val="24"/>
          <w:lang w:val="es-ES_tradnl"/>
        </w:rPr>
        <w:t>habérsele dado a la demanda el trámite de un proceso diferente al que corresponde</w:t>
      </w:r>
      <w:r w:rsidR="00A16EEA" w:rsidRPr="005D443C">
        <w:rPr>
          <w:rFonts w:cs="Tahoma"/>
          <w:szCs w:val="24"/>
          <w:lang w:val="es-ES_tradnl"/>
        </w:rPr>
        <w:t xml:space="preserve">” </w:t>
      </w:r>
      <w:r w:rsidR="00523040" w:rsidRPr="005D443C">
        <w:rPr>
          <w:rFonts w:cs="Tahoma"/>
          <w:szCs w:val="24"/>
          <w:lang w:val="es-ES_tradnl"/>
        </w:rPr>
        <w:t>todas propuestas por Porvenir S.A.</w:t>
      </w:r>
    </w:p>
    <w:p w14:paraId="0D2D35E2" w14:textId="77777777" w:rsidR="00D57131" w:rsidRPr="005D443C" w:rsidRDefault="00D57131" w:rsidP="005D443C">
      <w:pPr>
        <w:spacing w:line="276" w:lineRule="auto"/>
        <w:ind w:firstLine="708"/>
        <w:rPr>
          <w:rFonts w:cs="Tahoma"/>
          <w:szCs w:val="24"/>
          <w:lang w:val="es-ES_tradnl"/>
        </w:rPr>
      </w:pPr>
    </w:p>
    <w:p w14:paraId="28BA635C" w14:textId="0871A077" w:rsidR="00D57131" w:rsidRPr="005D443C" w:rsidRDefault="00D57131" w:rsidP="005D443C">
      <w:pPr>
        <w:spacing w:line="276" w:lineRule="auto"/>
        <w:ind w:firstLine="708"/>
        <w:rPr>
          <w:rFonts w:cs="Tahoma"/>
          <w:szCs w:val="24"/>
          <w:lang w:val="es-ES_tradnl"/>
        </w:rPr>
      </w:pPr>
      <w:r w:rsidRPr="005D443C">
        <w:rPr>
          <w:rFonts w:cs="Tahoma"/>
          <w:szCs w:val="24"/>
          <w:lang w:val="es-ES_tradnl"/>
        </w:rPr>
        <w:t>Para</w:t>
      </w:r>
      <w:r w:rsidR="00583887" w:rsidRPr="005D443C">
        <w:rPr>
          <w:rFonts w:cs="Tahoma"/>
          <w:szCs w:val="24"/>
          <w:lang w:val="es-ES_tradnl"/>
        </w:rPr>
        <w:t xml:space="preserve"> arribar a dicha decisión,</w:t>
      </w:r>
      <w:r w:rsidR="00550BD3" w:rsidRPr="005D443C">
        <w:rPr>
          <w:rFonts w:cs="Tahoma"/>
          <w:szCs w:val="24"/>
          <w:lang w:val="es-ES_tradnl"/>
        </w:rPr>
        <w:t xml:space="preserve"> la jueza precisó que en el presente trámite el demandante peticiona </w:t>
      </w:r>
      <w:r w:rsidR="001E5FB7" w:rsidRPr="005D443C">
        <w:rPr>
          <w:rFonts w:cs="Tahoma"/>
          <w:szCs w:val="24"/>
          <w:lang w:val="es-ES_tradnl"/>
        </w:rPr>
        <w:t xml:space="preserve">la indemnización de los perjuicios causados por la permanencia en el RAIS representados en la diferencia de la mesada pensional </w:t>
      </w:r>
      <w:r w:rsidR="00C26754" w:rsidRPr="005D443C">
        <w:rPr>
          <w:rFonts w:cs="Tahoma"/>
          <w:szCs w:val="24"/>
          <w:lang w:val="es-ES_tradnl"/>
        </w:rPr>
        <w:t xml:space="preserve">que hubiera percibido en el </w:t>
      </w:r>
      <w:r w:rsidR="00B86C8D" w:rsidRPr="005D443C">
        <w:rPr>
          <w:rFonts w:cs="Tahoma"/>
          <w:szCs w:val="24"/>
          <w:lang w:val="es-ES_tradnl"/>
        </w:rPr>
        <w:t>RPM</w:t>
      </w:r>
      <w:r w:rsidR="00583887" w:rsidRPr="005D443C">
        <w:rPr>
          <w:rFonts w:cs="Tahoma"/>
          <w:szCs w:val="24"/>
          <w:lang w:val="es-ES_tradnl"/>
        </w:rPr>
        <w:t>; d</w:t>
      </w:r>
      <w:r w:rsidR="00B86C8D" w:rsidRPr="005D443C">
        <w:rPr>
          <w:rFonts w:cs="Tahoma"/>
          <w:szCs w:val="24"/>
          <w:lang w:val="es-ES_tradnl"/>
        </w:rPr>
        <w:t>eterminó que</w:t>
      </w:r>
      <w:r w:rsidR="00926AB1" w:rsidRPr="005D443C">
        <w:rPr>
          <w:rFonts w:cs="Tahoma"/>
          <w:szCs w:val="24"/>
          <w:lang w:val="es-ES_tradnl"/>
        </w:rPr>
        <w:t xml:space="preserve"> la indemnización de los perjuicios fue una situación contemplada en el literal b, inciso final, artículo 13</w:t>
      </w:r>
      <w:r w:rsidR="00252964" w:rsidRPr="005D443C">
        <w:rPr>
          <w:rFonts w:cs="Tahoma"/>
          <w:szCs w:val="24"/>
          <w:lang w:val="es-ES_tradnl"/>
        </w:rPr>
        <w:t xml:space="preserve"> y en los artículos</w:t>
      </w:r>
      <w:r w:rsidR="00926AB1" w:rsidRPr="005D443C">
        <w:rPr>
          <w:rFonts w:cs="Tahoma"/>
          <w:szCs w:val="24"/>
          <w:lang w:val="es-ES_tradnl"/>
        </w:rPr>
        <w:t xml:space="preserve"> 270 y 271</w:t>
      </w:r>
      <w:r w:rsidR="00252964" w:rsidRPr="005D443C">
        <w:rPr>
          <w:rFonts w:cs="Tahoma"/>
          <w:szCs w:val="24"/>
          <w:lang w:val="es-ES_tradnl"/>
        </w:rPr>
        <w:t xml:space="preserve"> de la Ley 100 de 1993</w:t>
      </w:r>
      <w:r w:rsidR="00636A4E" w:rsidRPr="005D443C">
        <w:rPr>
          <w:rFonts w:cs="Tahoma"/>
          <w:szCs w:val="24"/>
          <w:lang w:val="es-ES_tradnl"/>
        </w:rPr>
        <w:t xml:space="preserve">, sin que dicho reconocimiento afecte el reconocimiento pensional, ni la composición de la misma. </w:t>
      </w:r>
    </w:p>
    <w:p w14:paraId="454A4796" w14:textId="77777777" w:rsidR="00CC606A" w:rsidRPr="005D443C" w:rsidRDefault="00CC606A" w:rsidP="005D443C">
      <w:pPr>
        <w:spacing w:line="276" w:lineRule="auto"/>
        <w:ind w:firstLine="708"/>
        <w:rPr>
          <w:rFonts w:cs="Tahoma"/>
          <w:szCs w:val="24"/>
          <w:lang w:val="es-ES_tradnl"/>
        </w:rPr>
      </w:pPr>
    </w:p>
    <w:p w14:paraId="6DAABFF6" w14:textId="2BF9FCCE" w:rsidR="00CC606A" w:rsidRPr="005D443C" w:rsidRDefault="00CC606A" w:rsidP="005D443C">
      <w:pPr>
        <w:spacing w:line="276" w:lineRule="auto"/>
        <w:ind w:firstLine="708"/>
        <w:rPr>
          <w:rFonts w:cs="Tahoma"/>
          <w:szCs w:val="24"/>
          <w:lang w:val="es-ES_tradnl"/>
        </w:rPr>
      </w:pPr>
      <w:r w:rsidRPr="005D443C">
        <w:rPr>
          <w:rFonts w:cs="Tahoma"/>
          <w:szCs w:val="24"/>
          <w:lang w:val="es-ES_tradnl"/>
        </w:rPr>
        <w:t>Advirtió el juzgado que el posible resarcimiento de perjuicios era una erogación ajena a</w:t>
      </w:r>
      <w:r w:rsidR="00643B3B" w:rsidRPr="005D443C">
        <w:rPr>
          <w:rFonts w:cs="Tahoma"/>
          <w:szCs w:val="24"/>
          <w:lang w:val="es-ES_tradnl"/>
        </w:rPr>
        <w:t xml:space="preserve"> la Nación</w:t>
      </w:r>
      <w:r w:rsidR="009C0D48">
        <w:rPr>
          <w:rFonts w:cs="Tahoma"/>
          <w:szCs w:val="24"/>
          <w:lang w:val="es-ES_tradnl"/>
        </w:rPr>
        <w:t xml:space="preserve"> –</w:t>
      </w:r>
      <w:r w:rsidR="00643B3B" w:rsidRPr="005D443C">
        <w:rPr>
          <w:rFonts w:cs="Tahoma"/>
          <w:szCs w:val="24"/>
          <w:lang w:val="es-ES_tradnl"/>
        </w:rPr>
        <w:t xml:space="preserve"> </w:t>
      </w:r>
      <w:r w:rsidRPr="005D443C">
        <w:rPr>
          <w:rFonts w:cs="Tahoma"/>
          <w:szCs w:val="24"/>
          <w:lang w:val="es-ES_tradnl"/>
        </w:rPr>
        <w:t>Ministerio de Hacienda y Crédito Público, pues de configurarse solo estaría</w:t>
      </w:r>
      <w:r w:rsidR="008D76BE" w:rsidRPr="005D443C">
        <w:rPr>
          <w:rFonts w:cs="Tahoma"/>
          <w:szCs w:val="24"/>
          <w:lang w:val="es-ES_tradnl"/>
        </w:rPr>
        <w:t xml:space="preserve"> llamada a responder la AFP</w:t>
      </w:r>
      <w:r w:rsidR="00DC22CA" w:rsidRPr="005D443C">
        <w:rPr>
          <w:rFonts w:cs="Tahoma"/>
          <w:szCs w:val="24"/>
          <w:lang w:val="es-ES_tradnl"/>
        </w:rPr>
        <w:t xml:space="preserve">, por lo </w:t>
      </w:r>
      <w:r w:rsidR="00CB7F3B" w:rsidRPr="005D443C">
        <w:rPr>
          <w:rFonts w:cs="Tahoma"/>
          <w:szCs w:val="24"/>
          <w:lang w:val="es-ES_tradnl"/>
        </w:rPr>
        <w:t xml:space="preserve">que </w:t>
      </w:r>
      <w:r w:rsidR="00DC22CA" w:rsidRPr="005D443C">
        <w:rPr>
          <w:rFonts w:cs="Tahoma"/>
          <w:szCs w:val="24"/>
          <w:lang w:val="es-ES_tradnl"/>
        </w:rPr>
        <w:t xml:space="preserve">desestimó la petición </w:t>
      </w:r>
      <w:r w:rsidR="00A95689" w:rsidRPr="005D443C">
        <w:rPr>
          <w:rFonts w:cs="Tahoma"/>
          <w:szCs w:val="24"/>
          <w:lang w:val="es-ES_tradnl"/>
        </w:rPr>
        <w:t>de integración</w:t>
      </w:r>
      <w:r w:rsidR="00DC22CA" w:rsidRPr="005D443C">
        <w:rPr>
          <w:rFonts w:cs="Tahoma"/>
          <w:szCs w:val="24"/>
          <w:lang w:val="es-ES_tradnl"/>
        </w:rPr>
        <w:t xml:space="preserve"> del contradictorio </w:t>
      </w:r>
      <w:r w:rsidR="00CB7F3B" w:rsidRPr="005D443C">
        <w:rPr>
          <w:rFonts w:cs="Tahoma"/>
          <w:szCs w:val="24"/>
          <w:lang w:val="es-ES_tradnl"/>
        </w:rPr>
        <w:t>con dicha cartera ministerial.</w:t>
      </w:r>
    </w:p>
    <w:p w14:paraId="200B49CE" w14:textId="77777777" w:rsidR="00E756BE" w:rsidRPr="005D443C" w:rsidRDefault="00E756BE" w:rsidP="005D443C">
      <w:pPr>
        <w:spacing w:line="276" w:lineRule="auto"/>
        <w:ind w:firstLine="708"/>
        <w:rPr>
          <w:rFonts w:cs="Tahoma"/>
          <w:szCs w:val="24"/>
          <w:lang w:val="es-ES_tradnl"/>
        </w:rPr>
      </w:pPr>
    </w:p>
    <w:p w14:paraId="26ACB4E1" w14:textId="10C29D00" w:rsidR="00A95689" w:rsidRPr="005D443C" w:rsidRDefault="00A95689" w:rsidP="005D443C">
      <w:pPr>
        <w:spacing w:line="276" w:lineRule="auto"/>
        <w:ind w:firstLine="708"/>
        <w:rPr>
          <w:rFonts w:cs="Tahoma"/>
          <w:szCs w:val="24"/>
        </w:rPr>
      </w:pPr>
      <w:r w:rsidRPr="005D443C">
        <w:rPr>
          <w:rFonts w:cs="Tahoma"/>
          <w:szCs w:val="24"/>
          <w:lang w:val="es-ES_tradnl"/>
        </w:rPr>
        <w:t xml:space="preserve">En cuanto a la excepción de </w:t>
      </w:r>
      <w:bookmarkStart w:id="2" w:name="_Hlk136372864"/>
      <w:r w:rsidRPr="005D443C">
        <w:rPr>
          <w:rFonts w:cs="Tahoma"/>
          <w:szCs w:val="24"/>
          <w:lang w:val="es-ES_tradnl"/>
        </w:rPr>
        <w:t>falta de competencia y habérsele dado a la demanda el trámite de un proceso diferente al que corresponde</w:t>
      </w:r>
      <w:bookmarkEnd w:id="2"/>
      <w:r w:rsidRPr="005D443C">
        <w:rPr>
          <w:rFonts w:cs="Tahoma"/>
          <w:szCs w:val="24"/>
          <w:lang w:val="es-ES_tradnl"/>
        </w:rPr>
        <w:t>, expuso que la jurisdicción ordinaria laboral</w:t>
      </w:r>
      <w:r w:rsidR="00583887" w:rsidRPr="005D443C">
        <w:rPr>
          <w:rFonts w:cs="Tahoma"/>
          <w:szCs w:val="24"/>
          <w:lang w:val="es-ES_tradnl"/>
        </w:rPr>
        <w:t>,</w:t>
      </w:r>
      <w:r w:rsidRPr="005D443C">
        <w:rPr>
          <w:rFonts w:cs="Tahoma"/>
          <w:szCs w:val="24"/>
          <w:lang w:val="es-ES_tradnl"/>
        </w:rPr>
        <w:t xml:space="preserve"> según voces del artículo 2 numeral 4</w:t>
      </w:r>
      <w:r w:rsidR="00583887" w:rsidRPr="005D443C">
        <w:rPr>
          <w:rFonts w:cs="Tahoma"/>
          <w:szCs w:val="24"/>
          <w:lang w:val="es-ES_tradnl"/>
        </w:rPr>
        <w:t>,</w:t>
      </w:r>
      <w:r w:rsidR="00622630" w:rsidRPr="005D443C">
        <w:rPr>
          <w:rFonts w:cs="Tahoma"/>
          <w:szCs w:val="24"/>
          <w:lang w:val="es-ES_tradnl"/>
        </w:rPr>
        <w:t xml:space="preserve"> </w:t>
      </w:r>
      <w:r w:rsidR="005F1361" w:rsidRPr="005D443C">
        <w:rPr>
          <w:rFonts w:cs="Tahoma"/>
          <w:szCs w:val="24"/>
          <w:lang w:val="es-ES_tradnl"/>
        </w:rPr>
        <w:t xml:space="preserve">era competente para conocer </w:t>
      </w:r>
      <w:r w:rsidR="00525850" w:rsidRPr="005D443C">
        <w:rPr>
          <w:rFonts w:cs="Tahoma"/>
          <w:szCs w:val="24"/>
          <w:lang w:val="es-ES_tradnl"/>
        </w:rPr>
        <w:t xml:space="preserve">de las controversias </w:t>
      </w:r>
      <w:r w:rsidR="00525850" w:rsidRPr="005D443C">
        <w:rPr>
          <w:rFonts w:cs="Tahoma"/>
          <w:szCs w:val="24"/>
        </w:rPr>
        <w:t>de la seguridad social que se susciten entre los afiliados, beneficiarios o usuarios, los empleadores y las entidades administradoras o prestadoras</w:t>
      </w:r>
      <w:r w:rsidR="002C4FC4" w:rsidRPr="005D443C">
        <w:rPr>
          <w:rFonts w:cs="Tahoma"/>
          <w:szCs w:val="24"/>
        </w:rPr>
        <w:t>, máxime cuando el actor peticiona un perjuicio contemplado en la Ley 100 de 1993</w:t>
      </w:r>
      <w:r w:rsidR="00B754A0" w:rsidRPr="005D443C">
        <w:rPr>
          <w:rFonts w:cs="Tahoma"/>
          <w:szCs w:val="24"/>
        </w:rPr>
        <w:t xml:space="preserve"> </w:t>
      </w:r>
      <w:r w:rsidR="008D5B37" w:rsidRPr="005D443C">
        <w:rPr>
          <w:rFonts w:cs="Tahoma"/>
          <w:szCs w:val="24"/>
        </w:rPr>
        <w:t>y que</w:t>
      </w:r>
      <w:r w:rsidR="00D312CE">
        <w:rPr>
          <w:rFonts w:cs="Tahoma"/>
          <w:szCs w:val="24"/>
        </w:rPr>
        <w:t>,</w:t>
      </w:r>
      <w:r w:rsidR="008D5B37" w:rsidRPr="005D443C">
        <w:rPr>
          <w:rFonts w:cs="Tahoma"/>
          <w:szCs w:val="24"/>
        </w:rPr>
        <w:t xml:space="preserve"> según la </w:t>
      </w:r>
      <w:r w:rsidR="00B754A0" w:rsidRPr="005D443C">
        <w:rPr>
          <w:rFonts w:cs="Tahoma"/>
          <w:szCs w:val="24"/>
        </w:rPr>
        <w:t>jurisprudencia de la Sala Laboral</w:t>
      </w:r>
      <w:r w:rsidR="00583887" w:rsidRPr="005D443C">
        <w:rPr>
          <w:rFonts w:cs="Tahoma"/>
          <w:szCs w:val="24"/>
        </w:rPr>
        <w:t>,</w:t>
      </w:r>
      <w:r w:rsidR="00B754A0" w:rsidRPr="005D443C">
        <w:rPr>
          <w:rFonts w:cs="Tahoma"/>
          <w:szCs w:val="24"/>
        </w:rPr>
        <w:t xml:space="preserve"> </w:t>
      </w:r>
      <w:r w:rsidR="000319B9" w:rsidRPr="005D443C">
        <w:rPr>
          <w:rFonts w:cs="Tahoma"/>
          <w:szCs w:val="24"/>
        </w:rPr>
        <w:t>es del resorte de esta especialidad.</w:t>
      </w:r>
    </w:p>
    <w:p w14:paraId="43C08D35" w14:textId="77777777" w:rsidR="00531104" w:rsidRPr="005D443C" w:rsidRDefault="00531104" w:rsidP="005D443C">
      <w:pPr>
        <w:spacing w:line="276" w:lineRule="auto"/>
        <w:ind w:firstLine="708"/>
        <w:rPr>
          <w:rFonts w:cs="Tahoma"/>
          <w:szCs w:val="24"/>
        </w:rPr>
      </w:pPr>
    </w:p>
    <w:p w14:paraId="053E10C5" w14:textId="0EE57BD4" w:rsidR="00CB7E46" w:rsidRPr="00977454" w:rsidRDefault="00531104" w:rsidP="00977454">
      <w:pPr>
        <w:spacing w:line="276" w:lineRule="auto"/>
        <w:ind w:firstLine="708"/>
        <w:rPr>
          <w:rFonts w:cs="Tahoma"/>
          <w:szCs w:val="24"/>
        </w:rPr>
      </w:pPr>
      <w:r w:rsidRPr="005D443C">
        <w:rPr>
          <w:rFonts w:cs="Tahoma"/>
          <w:szCs w:val="24"/>
        </w:rPr>
        <w:t xml:space="preserve">Finalmente, respecto de la excepción de cosa juzgada, narró que las pretensiones subsidiarias planteadas en el presente litigio, fueron evaluadas por su Homologo el Juzgado Quinto en proceso </w:t>
      </w:r>
      <w:r w:rsidR="00074326" w:rsidRPr="005D443C">
        <w:rPr>
          <w:rFonts w:cs="Tahoma"/>
          <w:szCs w:val="24"/>
        </w:rPr>
        <w:t>66001</w:t>
      </w:r>
      <w:r w:rsidR="00D312CE">
        <w:rPr>
          <w:rFonts w:cs="Tahoma"/>
          <w:szCs w:val="24"/>
        </w:rPr>
        <w:t>-</w:t>
      </w:r>
      <w:r w:rsidR="00074326" w:rsidRPr="005D443C">
        <w:rPr>
          <w:rFonts w:cs="Tahoma"/>
          <w:szCs w:val="24"/>
        </w:rPr>
        <w:t>31</w:t>
      </w:r>
      <w:r w:rsidR="00D312CE">
        <w:rPr>
          <w:rFonts w:cs="Tahoma"/>
          <w:szCs w:val="24"/>
        </w:rPr>
        <w:t>-</w:t>
      </w:r>
      <w:r w:rsidR="00074326" w:rsidRPr="005D443C">
        <w:rPr>
          <w:rFonts w:cs="Tahoma"/>
          <w:szCs w:val="24"/>
        </w:rPr>
        <w:t>05</w:t>
      </w:r>
      <w:r w:rsidR="00D312CE">
        <w:rPr>
          <w:rFonts w:cs="Tahoma"/>
          <w:szCs w:val="24"/>
        </w:rPr>
        <w:t>-</w:t>
      </w:r>
      <w:r w:rsidR="00074326" w:rsidRPr="005D443C">
        <w:rPr>
          <w:rFonts w:cs="Tahoma"/>
          <w:szCs w:val="24"/>
        </w:rPr>
        <w:t>005</w:t>
      </w:r>
      <w:r w:rsidR="00D312CE">
        <w:rPr>
          <w:rFonts w:cs="Tahoma"/>
          <w:szCs w:val="24"/>
        </w:rPr>
        <w:t>-</w:t>
      </w:r>
      <w:r w:rsidR="00074326" w:rsidRPr="005D443C">
        <w:rPr>
          <w:rFonts w:cs="Tahoma"/>
          <w:szCs w:val="24"/>
        </w:rPr>
        <w:t>2018</w:t>
      </w:r>
      <w:r w:rsidR="00D312CE">
        <w:rPr>
          <w:rFonts w:cs="Tahoma"/>
          <w:szCs w:val="24"/>
        </w:rPr>
        <w:t>-</w:t>
      </w:r>
      <w:r w:rsidR="00074326" w:rsidRPr="005D443C">
        <w:rPr>
          <w:rFonts w:cs="Tahoma"/>
          <w:szCs w:val="24"/>
        </w:rPr>
        <w:t>00495</w:t>
      </w:r>
      <w:r w:rsidR="00D312CE">
        <w:rPr>
          <w:rFonts w:cs="Tahoma"/>
          <w:szCs w:val="24"/>
        </w:rPr>
        <w:t>-</w:t>
      </w:r>
      <w:r w:rsidR="00074326" w:rsidRPr="005D443C">
        <w:rPr>
          <w:rFonts w:cs="Tahoma"/>
          <w:szCs w:val="24"/>
        </w:rPr>
        <w:t>00</w:t>
      </w:r>
      <w:r w:rsidR="00D62351" w:rsidRPr="005D443C">
        <w:rPr>
          <w:rFonts w:cs="Tahoma"/>
          <w:szCs w:val="24"/>
        </w:rPr>
        <w:t xml:space="preserve">, que terminó por </w:t>
      </w:r>
      <w:r w:rsidR="00643B3B" w:rsidRPr="005D443C">
        <w:rPr>
          <w:rFonts w:cs="Tahoma"/>
          <w:szCs w:val="24"/>
        </w:rPr>
        <w:t>desistimiento.</w:t>
      </w:r>
    </w:p>
    <w:p w14:paraId="0CDFC012" w14:textId="10224C63" w:rsidR="00B86C8D" w:rsidRDefault="00B86C8D" w:rsidP="005D443C">
      <w:pPr>
        <w:tabs>
          <w:tab w:val="left" w:pos="6737"/>
        </w:tabs>
        <w:spacing w:line="276" w:lineRule="auto"/>
        <w:rPr>
          <w:rFonts w:cs="Tahoma"/>
          <w:szCs w:val="24"/>
        </w:rPr>
      </w:pPr>
    </w:p>
    <w:p w14:paraId="0ED91A94" w14:textId="77777777" w:rsidR="00907C9D" w:rsidRPr="00977454" w:rsidRDefault="00907C9D" w:rsidP="005D443C">
      <w:pPr>
        <w:tabs>
          <w:tab w:val="left" w:pos="6737"/>
        </w:tabs>
        <w:spacing w:line="276" w:lineRule="auto"/>
        <w:rPr>
          <w:rFonts w:cs="Tahoma"/>
          <w:szCs w:val="24"/>
        </w:rPr>
      </w:pPr>
    </w:p>
    <w:p w14:paraId="7C54CB10" w14:textId="010E5F7B" w:rsidR="005D3995" w:rsidRPr="005D443C" w:rsidRDefault="00B83B4E" w:rsidP="005D443C">
      <w:pPr>
        <w:pStyle w:val="Prrafodelista"/>
        <w:numPr>
          <w:ilvl w:val="0"/>
          <w:numId w:val="9"/>
        </w:numPr>
        <w:tabs>
          <w:tab w:val="left" w:pos="284"/>
        </w:tabs>
        <w:spacing w:line="276" w:lineRule="auto"/>
        <w:jc w:val="center"/>
        <w:rPr>
          <w:rFonts w:cs="Tahoma"/>
          <w:b/>
          <w:szCs w:val="24"/>
        </w:rPr>
      </w:pPr>
      <w:r w:rsidRPr="005D443C">
        <w:rPr>
          <w:rFonts w:cs="Tahoma"/>
          <w:b/>
          <w:szCs w:val="24"/>
        </w:rPr>
        <w:t>FUNDAMENTOS DE LA APELACIÓN</w:t>
      </w:r>
      <w:bookmarkStart w:id="3" w:name="_Hlk97041943"/>
    </w:p>
    <w:p w14:paraId="1F719E1E" w14:textId="77777777" w:rsidR="0023223A" w:rsidRPr="005D443C" w:rsidRDefault="0023223A" w:rsidP="005D443C">
      <w:pPr>
        <w:pStyle w:val="Prrafodelista"/>
        <w:tabs>
          <w:tab w:val="left" w:pos="284"/>
        </w:tabs>
        <w:spacing w:line="276" w:lineRule="auto"/>
        <w:ind w:left="1068"/>
        <w:rPr>
          <w:rFonts w:cs="Tahoma"/>
          <w:b/>
          <w:szCs w:val="24"/>
        </w:rPr>
      </w:pPr>
    </w:p>
    <w:p w14:paraId="0D6A3689" w14:textId="4A972641" w:rsidR="002A3F95" w:rsidRPr="005D443C" w:rsidRDefault="00574504" w:rsidP="005D443C">
      <w:pPr>
        <w:spacing w:line="276" w:lineRule="auto"/>
        <w:ind w:firstLine="708"/>
        <w:rPr>
          <w:rFonts w:cs="Tahoma"/>
          <w:szCs w:val="24"/>
          <w:lang w:val="es-ES_tradnl"/>
        </w:rPr>
      </w:pPr>
      <w:r w:rsidRPr="005D443C">
        <w:rPr>
          <w:rFonts w:cs="Tahoma"/>
          <w:szCs w:val="24"/>
          <w:lang w:val="es-419"/>
        </w:rPr>
        <w:t>L</w:t>
      </w:r>
      <w:r w:rsidR="00884F96" w:rsidRPr="005D443C">
        <w:rPr>
          <w:rFonts w:cs="Tahoma"/>
          <w:szCs w:val="24"/>
          <w:lang w:val="es-419"/>
        </w:rPr>
        <w:t>a parte demanda</w:t>
      </w:r>
      <w:r w:rsidRPr="005D443C">
        <w:rPr>
          <w:rFonts w:cs="Tahoma"/>
          <w:szCs w:val="24"/>
          <w:lang w:val="es-419"/>
        </w:rPr>
        <w:t>da</w:t>
      </w:r>
      <w:r w:rsidR="00884F96" w:rsidRPr="005D443C">
        <w:rPr>
          <w:rFonts w:cs="Tahoma"/>
          <w:szCs w:val="24"/>
          <w:lang w:val="es-419"/>
        </w:rPr>
        <w:t xml:space="preserve"> </w:t>
      </w:r>
      <w:r w:rsidRPr="005D443C">
        <w:rPr>
          <w:rFonts w:cs="Tahoma"/>
          <w:szCs w:val="24"/>
          <w:lang w:val="es-419"/>
        </w:rPr>
        <w:t xml:space="preserve">en el recurso de alzada </w:t>
      </w:r>
      <w:r w:rsidR="002A3F95" w:rsidRPr="005D443C">
        <w:rPr>
          <w:rFonts w:cs="Tahoma"/>
          <w:szCs w:val="24"/>
          <w:lang w:val="es-419"/>
        </w:rPr>
        <w:t xml:space="preserve">solicita que se declaren probadas las excepciones previas de </w:t>
      </w:r>
      <w:r w:rsidR="00A16EEA" w:rsidRPr="005D443C">
        <w:rPr>
          <w:rFonts w:cs="Tahoma"/>
          <w:szCs w:val="24"/>
          <w:lang w:val="es-419"/>
        </w:rPr>
        <w:t>“</w:t>
      </w:r>
      <w:r w:rsidR="002A3F95" w:rsidRPr="005D443C">
        <w:rPr>
          <w:rFonts w:cs="Tahoma"/>
          <w:szCs w:val="24"/>
          <w:lang w:val="es-419"/>
        </w:rPr>
        <w:t xml:space="preserve">falta de integración del </w:t>
      </w:r>
      <w:r w:rsidR="00A3565F" w:rsidRPr="005D443C">
        <w:rPr>
          <w:rFonts w:cs="Tahoma"/>
          <w:szCs w:val="24"/>
          <w:lang w:val="es-419"/>
        </w:rPr>
        <w:t>litis consorcio necesario</w:t>
      </w:r>
      <w:r w:rsidR="00A16EEA" w:rsidRPr="005D443C">
        <w:rPr>
          <w:rFonts w:cs="Tahoma"/>
          <w:szCs w:val="24"/>
          <w:lang w:val="es-419"/>
        </w:rPr>
        <w:t>”</w:t>
      </w:r>
      <w:r w:rsidR="00A3565F" w:rsidRPr="005D443C">
        <w:rPr>
          <w:rFonts w:cs="Tahoma"/>
          <w:szCs w:val="24"/>
          <w:lang w:val="es-419"/>
        </w:rPr>
        <w:t xml:space="preserve"> </w:t>
      </w:r>
      <w:r w:rsidR="001E54D6" w:rsidRPr="005D443C">
        <w:rPr>
          <w:rFonts w:cs="Tahoma"/>
          <w:szCs w:val="24"/>
          <w:lang w:val="es-419"/>
        </w:rPr>
        <w:t xml:space="preserve">y </w:t>
      </w:r>
      <w:r w:rsidR="00A16EEA" w:rsidRPr="005D443C">
        <w:rPr>
          <w:rFonts w:cs="Tahoma"/>
          <w:szCs w:val="24"/>
          <w:lang w:val="es-419"/>
        </w:rPr>
        <w:t>“</w:t>
      </w:r>
      <w:r w:rsidR="001E54D6" w:rsidRPr="005D443C">
        <w:rPr>
          <w:rFonts w:cs="Tahoma"/>
          <w:szCs w:val="24"/>
          <w:lang w:val="es-419"/>
        </w:rPr>
        <w:t>falta</w:t>
      </w:r>
      <w:r w:rsidR="00A3565F" w:rsidRPr="005D443C">
        <w:rPr>
          <w:rFonts w:cs="Tahoma"/>
          <w:szCs w:val="24"/>
          <w:lang w:val="es-ES_tradnl"/>
        </w:rPr>
        <w:t xml:space="preserve"> de competencia</w:t>
      </w:r>
      <w:r w:rsidR="00A16EEA" w:rsidRPr="005D443C">
        <w:rPr>
          <w:rFonts w:cs="Tahoma"/>
          <w:szCs w:val="24"/>
          <w:lang w:val="es-ES_tradnl"/>
        </w:rPr>
        <w:t xml:space="preserve"> y </w:t>
      </w:r>
      <w:r w:rsidR="00A3565F" w:rsidRPr="005D443C">
        <w:rPr>
          <w:rFonts w:cs="Tahoma"/>
          <w:szCs w:val="24"/>
          <w:lang w:val="es-ES_tradnl"/>
        </w:rPr>
        <w:t>habérsele dado a la demanda el trámite de un proceso diferente al que corresponde</w:t>
      </w:r>
      <w:r w:rsidR="00A16EEA" w:rsidRPr="005D443C">
        <w:rPr>
          <w:rFonts w:cs="Tahoma"/>
          <w:szCs w:val="24"/>
          <w:lang w:val="es-ES_tradnl"/>
        </w:rPr>
        <w:t>”</w:t>
      </w:r>
      <w:r w:rsidR="00A3565F" w:rsidRPr="005D443C">
        <w:rPr>
          <w:rFonts w:cs="Tahoma"/>
          <w:szCs w:val="24"/>
          <w:lang w:val="es-ES_tradnl"/>
        </w:rPr>
        <w:t>, las que suste</w:t>
      </w:r>
      <w:r w:rsidR="007401D8" w:rsidRPr="005D443C">
        <w:rPr>
          <w:rFonts w:cs="Tahoma"/>
          <w:szCs w:val="24"/>
          <w:lang w:val="es-ES_tradnl"/>
        </w:rPr>
        <w:t>ntó en los siguientes términos:</w:t>
      </w:r>
    </w:p>
    <w:p w14:paraId="0D7BB6E3" w14:textId="77777777" w:rsidR="007401D8" w:rsidRPr="005D443C" w:rsidRDefault="007401D8" w:rsidP="005D443C">
      <w:pPr>
        <w:spacing w:line="276" w:lineRule="auto"/>
        <w:ind w:firstLine="708"/>
        <w:rPr>
          <w:rFonts w:cs="Tahoma"/>
          <w:szCs w:val="24"/>
          <w:lang w:val="es-ES_tradnl"/>
        </w:rPr>
      </w:pPr>
    </w:p>
    <w:p w14:paraId="24B3BA74" w14:textId="04D1784B" w:rsidR="002A3F95" w:rsidRPr="005D443C" w:rsidRDefault="007401D8" w:rsidP="005D443C">
      <w:pPr>
        <w:spacing w:line="276" w:lineRule="auto"/>
        <w:ind w:firstLine="708"/>
        <w:rPr>
          <w:rFonts w:cs="Tahoma"/>
          <w:szCs w:val="24"/>
        </w:rPr>
      </w:pPr>
      <w:r w:rsidRPr="005D443C">
        <w:rPr>
          <w:rFonts w:cs="Tahoma"/>
          <w:szCs w:val="24"/>
        </w:rPr>
        <w:t>Respecto de la primera, argumentó que la comparecencia de la Nación</w:t>
      </w:r>
      <w:r w:rsidR="00026400">
        <w:rPr>
          <w:rFonts w:cs="Tahoma"/>
          <w:szCs w:val="24"/>
        </w:rPr>
        <w:t xml:space="preserve"> –</w:t>
      </w:r>
      <w:r w:rsidRPr="005D443C">
        <w:rPr>
          <w:rFonts w:cs="Tahoma"/>
          <w:szCs w:val="24"/>
        </w:rPr>
        <w:t xml:space="preserve"> </w:t>
      </w:r>
      <w:r w:rsidR="00761092" w:rsidRPr="005D443C">
        <w:rPr>
          <w:rFonts w:cs="Tahoma"/>
          <w:szCs w:val="24"/>
        </w:rPr>
        <w:t xml:space="preserve">Ministerio de Hacienda y </w:t>
      </w:r>
      <w:r w:rsidR="000E434E" w:rsidRPr="005D443C">
        <w:rPr>
          <w:rFonts w:cs="Tahoma"/>
          <w:szCs w:val="24"/>
        </w:rPr>
        <w:t>C</w:t>
      </w:r>
      <w:r w:rsidR="00761092" w:rsidRPr="005D443C">
        <w:rPr>
          <w:rFonts w:cs="Tahoma"/>
          <w:szCs w:val="24"/>
        </w:rPr>
        <w:t xml:space="preserve">rédito Público </w:t>
      </w:r>
      <w:r w:rsidR="000E434E" w:rsidRPr="005D443C">
        <w:rPr>
          <w:rFonts w:cs="Tahoma"/>
          <w:szCs w:val="24"/>
        </w:rPr>
        <w:t>era necesaria porque dicha entidad emitió un bono pensional en</w:t>
      </w:r>
      <w:r w:rsidR="5B2EDBCF" w:rsidRPr="005D443C">
        <w:rPr>
          <w:rFonts w:cs="Tahoma"/>
          <w:szCs w:val="24"/>
        </w:rPr>
        <w:t xml:space="preserve"> la</w:t>
      </w:r>
      <w:r w:rsidR="000E434E" w:rsidRPr="005D443C">
        <w:rPr>
          <w:rFonts w:cs="Tahoma"/>
          <w:szCs w:val="24"/>
        </w:rPr>
        <w:t xml:space="preserve"> suma de $252.</w:t>
      </w:r>
      <w:r w:rsidR="00942949" w:rsidRPr="005D443C">
        <w:rPr>
          <w:rFonts w:cs="Tahoma"/>
          <w:szCs w:val="24"/>
        </w:rPr>
        <w:t>100.000, afirma</w:t>
      </w:r>
      <w:r w:rsidR="0CE4BEB0" w:rsidRPr="005D443C">
        <w:rPr>
          <w:rFonts w:cs="Tahoma"/>
          <w:szCs w:val="24"/>
        </w:rPr>
        <w:t>ndo</w:t>
      </w:r>
      <w:r w:rsidR="00942949" w:rsidRPr="005D443C">
        <w:rPr>
          <w:rFonts w:cs="Tahoma"/>
          <w:szCs w:val="24"/>
        </w:rPr>
        <w:t xml:space="preserve"> que </w:t>
      </w:r>
      <w:r w:rsidR="00070944" w:rsidRPr="005D443C">
        <w:rPr>
          <w:rFonts w:cs="Tahoma"/>
          <w:szCs w:val="24"/>
        </w:rPr>
        <w:t>el despacho</w:t>
      </w:r>
      <w:r w:rsidR="00583887" w:rsidRPr="005D443C">
        <w:rPr>
          <w:rFonts w:cs="Tahoma"/>
          <w:szCs w:val="24"/>
        </w:rPr>
        <w:t>,</w:t>
      </w:r>
      <w:r w:rsidR="00070944" w:rsidRPr="005D443C">
        <w:rPr>
          <w:rFonts w:cs="Tahoma"/>
          <w:szCs w:val="24"/>
        </w:rPr>
        <w:t xml:space="preserve"> respecto a la ineficacia del bono pensional emitido y a</w:t>
      </w:r>
      <w:r w:rsidR="008D4755" w:rsidRPr="005D443C">
        <w:rPr>
          <w:rFonts w:cs="Tahoma"/>
          <w:szCs w:val="24"/>
        </w:rPr>
        <w:t xml:space="preserve"> la orden de</w:t>
      </w:r>
      <w:r w:rsidR="00070944" w:rsidRPr="005D443C">
        <w:rPr>
          <w:rFonts w:cs="Tahoma"/>
          <w:szCs w:val="24"/>
        </w:rPr>
        <w:t xml:space="preserve"> reintegro de los valores emitid</w:t>
      </w:r>
      <w:r w:rsidR="008D4755" w:rsidRPr="005D443C">
        <w:rPr>
          <w:rFonts w:cs="Tahoma"/>
          <w:szCs w:val="24"/>
        </w:rPr>
        <w:t xml:space="preserve">os con cargo a los recursos de Porvenir S.A., generaría un </w:t>
      </w:r>
      <w:r w:rsidR="008D4755" w:rsidRPr="005D443C">
        <w:rPr>
          <w:rFonts w:cs="Tahoma"/>
          <w:szCs w:val="24"/>
        </w:rPr>
        <w:lastRenderedPageBreak/>
        <w:t xml:space="preserve">enriquecimiento sin justa causa en favor del demandante y </w:t>
      </w:r>
      <w:r w:rsidR="00CE5C2B" w:rsidRPr="005D443C">
        <w:rPr>
          <w:rFonts w:cs="Tahoma"/>
          <w:szCs w:val="24"/>
        </w:rPr>
        <w:t xml:space="preserve">en detrimento del patrimonio del </w:t>
      </w:r>
      <w:r w:rsidR="000D350C" w:rsidRPr="005D443C">
        <w:rPr>
          <w:rFonts w:cs="Tahoma"/>
          <w:szCs w:val="24"/>
        </w:rPr>
        <w:t>Estado</w:t>
      </w:r>
      <w:r w:rsidR="00CE5C2B" w:rsidRPr="005D443C">
        <w:rPr>
          <w:rFonts w:cs="Tahoma"/>
          <w:szCs w:val="24"/>
        </w:rPr>
        <w:t xml:space="preserve">, lo que representaría que el actor percibiera dos erogaciones del patrimonio público, </w:t>
      </w:r>
      <w:r w:rsidR="00583887" w:rsidRPr="005D443C">
        <w:rPr>
          <w:rFonts w:cs="Tahoma"/>
          <w:szCs w:val="24"/>
        </w:rPr>
        <w:t>lo cual está expresamente prohibido en la constitución</w:t>
      </w:r>
      <w:r w:rsidR="00CE5C2B" w:rsidRPr="005D443C">
        <w:rPr>
          <w:rFonts w:cs="Tahoma"/>
          <w:szCs w:val="24"/>
        </w:rPr>
        <w:t>.</w:t>
      </w:r>
    </w:p>
    <w:p w14:paraId="13825D1E" w14:textId="77777777" w:rsidR="00CE5C2B" w:rsidRPr="005D443C" w:rsidRDefault="00CE5C2B" w:rsidP="005D443C">
      <w:pPr>
        <w:spacing w:line="276" w:lineRule="auto"/>
        <w:ind w:firstLine="708"/>
        <w:rPr>
          <w:rFonts w:cs="Tahoma"/>
          <w:szCs w:val="24"/>
          <w:lang w:val="es-ES_tradnl"/>
        </w:rPr>
      </w:pPr>
    </w:p>
    <w:p w14:paraId="2269A558" w14:textId="77998F6B" w:rsidR="001E71F9" w:rsidRPr="005D443C" w:rsidRDefault="001E71F9" w:rsidP="005D443C">
      <w:pPr>
        <w:spacing w:line="276" w:lineRule="auto"/>
        <w:ind w:firstLine="708"/>
        <w:rPr>
          <w:rFonts w:cs="Tahoma"/>
          <w:szCs w:val="24"/>
          <w:lang w:val="es-ES_tradnl"/>
        </w:rPr>
      </w:pPr>
      <w:r w:rsidRPr="005D443C">
        <w:rPr>
          <w:rFonts w:cs="Tahoma"/>
          <w:szCs w:val="24"/>
          <w:lang w:val="es-419"/>
        </w:rPr>
        <w:t>En cuanto, a la excepción de falta</w:t>
      </w:r>
      <w:r w:rsidRPr="005D443C">
        <w:rPr>
          <w:rFonts w:cs="Tahoma"/>
          <w:szCs w:val="24"/>
          <w:lang w:val="es-ES_tradnl"/>
        </w:rPr>
        <w:t xml:space="preserve"> de competencia</w:t>
      </w:r>
      <w:r w:rsidR="008B4B45" w:rsidRPr="005D443C">
        <w:rPr>
          <w:rFonts w:cs="Tahoma"/>
          <w:szCs w:val="24"/>
          <w:lang w:val="es-ES_tradnl"/>
        </w:rPr>
        <w:t xml:space="preserve"> y</w:t>
      </w:r>
      <w:r w:rsidRPr="005D443C">
        <w:rPr>
          <w:rFonts w:cs="Tahoma"/>
          <w:szCs w:val="24"/>
          <w:lang w:val="es-ES_tradnl"/>
        </w:rPr>
        <w:t xml:space="preserve"> habérsele dado a la demanda el trámite de un proceso diferente al que corresponde, argumenta que el presente litigio debe ser resuelto como un proceso verbal sumario por la jurisdicción civil, toda vez que el formulario de afiliación hace las veces de </w:t>
      </w:r>
      <w:r w:rsidR="00B50576" w:rsidRPr="005D443C">
        <w:rPr>
          <w:rFonts w:cs="Tahoma"/>
          <w:szCs w:val="24"/>
          <w:lang w:val="es-ES_tradnl"/>
        </w:rPr>
        <w:t>un contrato como tal, por lo que existe una falta de competencia por parte del despacho</w:t>
      </w:r>
      <w:r w:rsidR="00583887" w:rsidRPr="005D443C">
        <w:rPr>
          <w:rFonts w:cs="Tahoma"/>
          <w:szCs w:val="24"/>
          <w:lang w:val="es-ES_tradnl"/>
        </w:rPr>
        <w:t>, que impide que se</w:t>
      </w:r>
      <w:r w:rsidR="00B50576" w:rsidRPr="005D443C">
        <w:rPr>
          <w:rFonts w:cs="Tahoma"/>
          <w:szCs w:val="24"/>
          <w:lang w:val="es-ES_tradnl"/>
        </w:rPr>
        <w:t xml:space="preserve"> pronunci</w:t>
      </w:r>
      <w:r w:rsidR="00583887" w:rsidRPr="005D443C">
        <w:rPr>
          <w:rFonts w:cs="Tahoma"/>
          <w:szCs w:val="24"/>
          <w:lang w:val="es-ES_tradnl"/>
        </w:rPr>
        <w:t>e</w:t>
      </w:r>
      <w:r w:rsidR="00B50576" w:rsidRPr="005D443C">
        <w:rPr>
          <w:rFonts w:cs="Tahoma"/>
          <w:szCs w:val="24"/>
          <w:lang w:val="es-ES_tradnl"/>
        </w:rPr>
        <w:t xml:space="preserve"> sobre los perjuicios deprecados teniendo en cuenta que obedecen a lo surgido de una obligación </w:t>
      </w:r>
      <w:r w:rsidR="00362C58" w:rsidRPr="005D443C">
        <w:rPr>
          <w:rFonts w:cs="Tahoma"/>
          <w:szCs w:val="24"/>
          <w:lang w:val="es-ES_tradnl"/>
        </w:rPr>
        <w:t>contractual conforme lo dispone el artículo 10 del Decreto 720 de 1994,</w:t>
      </w:r>
      <w:r w:rsidR="009B0B7D" w:rsidRPr="005D443C">
        <w:rPr>
          <w:rFonts w:cs="Tahoma"/>
          <w:szCs w:val="24"/>
          <w:lang w:val="es-ES_tradnl"/>
        </w:rPr>
        <w:t xml:space="preserve"> de modo que</w:t>
      </w:r>
      <w:r w:rsidR="00362C58" w:rsidRPr="005D443C">
        <w:rPr>
          <w:rFonts w:cs="Tahoma"/>
          <w:szCs w:val="24"/>
          <w:lang w:val="es-ES_tradnl"/>
        </w:rPr>
        <w:t xml:space="preserve"> la herramienta idónea para reclamar estos perjuicios </w:t>
      </w:r>
      <w:r w:rsidR="00F76A8C" w:rsidRPr="005D443C">
        <w:rPr>
          <w:rFonts w:cs="Tahoma"/>
          <w:szCs w:val="24"/>
          <w:lang w:val="es-ES_tradnl"/>
        </w:rPr>
        <w:t xml:space="preserve">es un proceso </w:t>
      </w:r>
      <w:r w:rsidR="00167273" w:rsidRPr="005D443C">
        <w:rPr>
          <w:rFonts w:cs="Tahoma"/>
          <w:szCs w:val="24"/>
          <w:lang w:val="es-ES_tradnl"/>
        </w:rPr>
        <w:t>verbal de</w:t>
      </w:r>
      <w:r w:rsidR="00F76A8C" w:rsidRPr="005D443C">
        <w:rPr>
          <w:rFonts w:cs="Tahoma"/>
          <w:szCs w:val="24"/>
          <w:lang w:val="es-ES_tradnl"/>
        </w:rPr>
        <w:t xml:space="preserve"> responsabilidad civil contractual</w:t>
      </w:r>
      <w:r w:rsidR="00167273" w:rsidRPr="005D443C">
        <w:rPr>
          <w:rFonts w:cs="Tahoma"/>
          <w:szCs w:val="24"/>
          <w:lang w:val="es-ES_tradnl"/>
        </w:rPr>
        <w:t>, y por la naturaleza contractual se encuentra excluido de</w:t>
      </w:r>
      <w:r w:rsidR="00136D41" w:rsidRPr="005D443C">
        <w:rPr>
          <w:rFonts w:cs="Tahoma"/>
          <w:szCs w:val="24"/>
          <w:lang w:val="es-ES_tradnl"/>
        </w:rPr>
        <w:t xml:space="preserve"> la jurisdicción </w:t>
      </w:r>
      <w:r w:rsidR="00771BC8" w:rsidRPr="005D443C">
        <w:rPr>
          <w:rFonts w:cs="Tahoma"/>
          <w:szCs w:val="24"/>
          <w:lang w:val="es-ES_tradnl"/>
        </w:rPr>
        <w:t>ordinaria laboral, conforme estípula el numeral 4 del artículo 2 CPTSS.</w:t>
      </w:r>
    </w:p>
    <w:p w14:paraId="44BC2EE8" w14:textId="77777777" w:rsidR="00884F96" w:rsidRPr="005D443C" w:rsidRDefault="00884F96" w:rsidP="005D443C">
      <w:pPr>
        <w:spacing w:line="276" w:lineRule="auto"/>
        <w:rPr>
          <w:rFonts w:cs="Tahoma"/>
          <w:szCs w:val="24"/>
          <w:lang w:val="es-419"/>
        </w:rPr>
      </w:pPr>
    </w:p>
    <w:bookmarkEnd w:id="3"/>
    <w:p w14:paraId="5845EFEB" w14:textId="4F6939FC" w:rsidR="00975E71" w:rsidRPr="005D443C" w:rsidRDefault="00975E71" w:rsidP="005D443C">
      <w:pPr>
        <w:spacing w:line="276" w:lineRule="auto"/>
        <w:rPr>
          <w:rFonts w:cs="Tahoma"/>
          <w:szCs w:val="24"/>
        </w:rPr>
      </w:pPr>
    </w:p>
    <w:p w14:paraId="179DA56E" w14:textId="3C7BF6D9" w:rsidR="003B0567" w:rsidRPr="005D443C" w:rsidRDefault="003B0567" w:rsidP="005D443C">
      <w:pPr>
        <w:pStyle w:val="Prrafodelista"/>
        <w:widowControl w:val="0"/>
        <w:numPr>
          <w:ilvl w:val="0"/>
          <w:numId w:val="9"/>
        </w:numPr>
        <w:autoSpaceDE w:val="0"/>
        <w:autoSpaceDN w:val="0"/>
        <w:adjustRightInd w:val="0"/>
        <w:spacing w:line="276" w:lineRule="auto"/>
        <w:jc w:val="center"/>
        <w:rPr>
          <w:rFonts w:cs="Tahoma"/>
          <w:b/>
          <w:bCs/>
          <w:szCs w:val="24"/>
          <w:lang w:val="es-CO"/>
        </w:rPr>
      </w:pPr>
      <w:r w:rsidRPr="005D443C">
        <w:rPr>
          <w:rFonts w:cs="Tahoma"/>
          <w:b/>
          <w:bCs/>
          <w:szCs w:val="24"/>
          <w:lang w:val="es-CO"/>
        </w:rPr>
        <w:t>ALEGATOS DE CONCLUSIÓN/ CONCEPTO DEL MINISTERIO PÚBLICO</w:t>
      </w:r>
    </w:p>
    <w:p w14:paraId="262668D9" w14:textId="77777777" w:rsidR="002C1636" w:rsidRPr="005D443C" w:rsidRDefault="002C1636" w:rsidP="005D443C">
      <w:pPr>
        <w:spacing w:line="276" w:lineRule="auto"/>
        <w:rPr>
          <w:rFonts w:cs="Tahoma"/>
          <w:color w:val="000000"/>
          <w:szCs w:val="24"/>
          <w:lang w:val="es-CO"/>
        </w:rPr>
      </w:pPr>
    </w:p>
    <w:p w14:paraId="52866966" w14:textId="336E60FF" w:rsidR="00E70811" w:rsidRPr="005D443C" w:rsidRDefault="00E70811" w:rsidP="005D443C">
      <w:pPr>
        <w:spacing w:line="276" w:lineRule="auto"/>
        <w:ind w:firstLine="708"/>
        <w:rPr>
          <w:rFonts w:eastAsia="Tahoma" w:cs="Tahoma"/>
          <w:szCs w:val="24"/>
        </w:rPr>
      </w:pPr>
      <w:r w:rsidRPr="005D443C">
        <w:rPr>
          <w:rFonts w:eastAsia="Tahoma" w:cs="Tahoma"/>
          <w:szCs w:val="24"/>
        </w:rPr>
        <w:t xml:space="preserve">Analizados los alegatos presentados por Porvenir S.A.,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su parte, el Ministerio Público no emitió concepto en el presente asunto. </w:t>
      </w:r>
    </w:p>
    <w:p w14:paraId="059C0093" w14:textId="39DD647A" w:rsidR="00D53498" w:rsidRDefault="00D53498" w:rsidP="00907C9D">
      <w:pPr>
        <w:spacing w:line="276" w:lineRule="auto"/>
        <w:rPr>
          <w:rStyle w:val="normaltextrun"/>
          <w:rFonts w:cs="Tahoma"/>
          <w:color w:val="000000"/>
          <w:szCs w:val="24"/>
        </w:rPr>
      </w:pPr>
    </w:p>
    <w:p w14:paraId="7D646572" w14:textId="77777777" w:rsidR="00907C9D" w:rsidRPr="005D443C" w:rsidRDefault="00907C9D" w:rsidP="00907C9D">
      <w:pPr>
        <w:spacing w:line="276" w:lineRule="auto"/>
        <w:rPr>
          <w:rStyle w:val="normaltextrun"/>
          <w:rFonts w:cs="Tahoma"/>
          <w:color w:val="000000"/>
          <w:szCs w:val="24"/>
        </w:rPr>
      </w:pPr>
    </w:p>
    <w:p w14:paraId="40DA9429" w14:textId="6E7F24C7" w:rsidR="003E457A" w:rsidRPr="005D443C" w:rsidRDefault="00890E99" w:rsidP="005D443C">
      <w:pPr>
        <w:pStyle w:val="Prrafodelista"/>
        <w:numPr>
          <w:ilvl w:val="0"/>
          <w:numId w:val="9"/>
        </w:numPr>
        <w:spacing w:line="276" w:lineRule="auto"/>
        <w:jc w:val="center"/>
        <w:rPr>
          <w:rFonts w:cs="Tahoma"/>
          <w:b/>
          <w:color w:val="000000"/>
          <w:szCs w:val="24"/>
        </w:rPr>
      </w:pPr>
      <w:r w:rsidRPr="005D443C">
        <w:rPr>
          <w:rFonts w:cs="Tahoma"/>
          <w:b/>
          <w:color w:val="000000"/>
          <w:szCs w:val="24"/>
        </w:rPr>
        <w:t>PROBLEMA JURÍDICO POR RESOLVER</w:t>
      </w:r>
    </w:p>
    <w:p w14:paraId="485FD3FB" w14:textId="045D8AA0" w:rsidR="00CE1A4A" w:rsidRPr="005D443C" w:rsidRDefault="00CE1A4A" w:rsidP="005D443C">
      <w:pPr>
        <w:spacing w:line="276" w:lineRule="auto"/>
        <w:rPr>
          <w:rStyle w:val="normaltextrun"/>
          <w:rFonts w:cs="Tahoma"/>
          <w:color w:val="000000"/>
          <w:szCs w:val="24"/>
        </w:rPr>
      </w:pPr>
    </w:p>
    <w:p w14:paraId="05B3C8A2" w14:textId="77777777" w:rsidR="009F45D0" w:rsidRPr="005D443C" w:rsidRDefault="009B0B7D" w:rsidP="005D443C">
      <w:pPr>
        <w:spacing w:line="276" w:lineRule="auto"/>
        <w:ind w:firstLine="708"/>
        <w:rPr>
          <w:rStyle w:val="normaltextrun"/>
          <w:rFonts w:cs="Tahoma"/>
          <w:color w:val="000000"/>
          <w:szCs w:val="24"/>
        </w:rPr>
      </w:pPr>
      <w:r w:rsidRPr="005D443C">
        <w:rPr>
          <w:rStyle w:val="normaltextrun"/>
          <w:rFonts w:cs="Tahoma"/>
          <w:color w:val="000000"/>
          <w:szCs w:val="24"/>
        </w:rPr>
        <w:t>El problema jurídico en este caso se circunscribe a determinar si la jurisdicción ordinaria en su especialidad laboral e</w:t>
      </w:r>
      <w:r w:rsidR="009F45D0" w:rsidRPr="005D443C">
        <w:rPr>
          <w:rStyle w:val="normaltextrun"/>
          <w:rFonts w:cs="Tahoma"/>
          <w:color w:val="000000"/>
          <w:szCs w:val="24"/>
        </w:rPr>
        <w:t>s</w:t>
      </w:r>
      <w:r w:rsidRPr="005D443C">
        <w:rPr>
          <w:rStyle w:val="normaltextrun"/>
          <w:rFonts w:cs="Tahoma"/>
          <w:color w:val="000000"/>
          <w:szCs w:val="24"/>
        </w:rPr>
        <w:t xml:space="preserve"> competente para conocer asuntos encaminados al resarcimiento de perjuicios derivados del incumplimiento del deber de información y buen consejo</w:t>
      </w:r>
      <w:r w:rsidR="009F45D0" w:rsidRPr="005D443C">
        <w:rPr>
          <w:rStyle w:val="normaltextrun"/>
          <w:rFonts w:cs="Tahoma"/>
          <w:color w:val="000000"/>
          <w:szCs w:val="24"/>
        </w:rPr>
        <w:t xml:space="preserve"> en cabeza de las Administradoras de Fondos de Pensiones</w:t>
      </w:r>
      <w:r w:rsidRPr="005D443C">
        <w:rPr>
          <w:rStyle w:val="normaltextrun"/>
          <w:rFonts w:cs="Tahoma"/>
          <w:color w:val="000000"/>
          <w:szCs w:val="24"/>
        </w:rPr>
        <w:t xml:space="preserve"> </w:t>
      </w:r>
      <w:r w:rsidR="009F45D0" w:rsidRPr="005D443C">
        <w:rPr>
          <w:rStyle w:val="normaltextrun"/>
          <w:rFonts w:cs="Tahoma"/>
          <w:color w:val="000000"/>
          <w:szCs w:val="24"/>
        </w:rPr>
        <w:t xml:space="preserve">a la hora de obtener o gestionar el traslado de régimen pensional de un afiliado. </w:t>
      </w:r>
    </w:p>
    <w:p w14:paraId="639F093A" w14:textId="77777777" w:rsidR="009F45D0" w:rsidRPr="005D443C" w:rsidRDefault="009F45D0" w:rsidP="005D443C">
      <w:pPr>
        <w:spacing w:line="276" w:lineRule="auto"/>
        <w:rPr>
          <w:rStyle w:val="normaltextrun"/>
          <w:rFonts w:cs="Tahoma"/>
          <w:color w:val="000000"/>
          <w:szCs w:val="24"/>
        </w:rPr>
      </w:pPr>
    </w:p>
    <w:p w14:paraId="139BD24D" w14:textId="51751217" w:rsidR="009B0B7D" w:rsidRPr="005D443C" w:rsidRDefault="009F45D0" w:rsidP="005D443C">
      <w:pPr>
        <w:spacing w:line="276" w:lineRule="auto"/>
        <w:ind w:firstLine="708"/>
        <w:rPr>
          <w:rStyle w:val="normaltextrun"/>
          <w:rFonts w:cs="Tahoma"/>
          <w:color w:val="000000"/>
          <w:szCs w:val="24"/>
        </w:rPr>
      </w:pPr>
      <w:r w:rsidRPr="005D443C">
        <w:rPr>
          <w:rStyle w:val="normaltextrun"/>
          <w:rFonts w:cs="Tahoma"/>
          <w:color w:val="000000"/>
          <w:szCs w:val="24"/>
        </w:rPr>
        <w:t xml:space="preserve">De reafirmarse la competencia de la especialidad laboral en estos casos, es necesario establecer si los emisores o pagadores de bonos pensionales están llamados a integrar el contradictorio del lado del extremo pasivo de la relación jurídico procesal, como lo pretende la AFP </w:t>
      </w:r>
      <w:proofErr w:type="spellStart"/>
      <w:r w:rsidRPr="005D443C">
        <w:rPr>
          <w:rStyle w:val="normaltextrun"/>
          <w:rFonts w:cs="Tahoma"/>
          <w:color w:val="000000"/>
          <w:szCs w:val="24"/>
        </w:rPr>
        <w:t>excepcionante</w:t>
      </w:r>
      <w:proofErr w:type="spellEnd"/>
      <w:r w:rsidRPr="005D443C">
        <w:rPr>
          <w:rStyle w:val="normaltextrun"/>
          <w:rFonts w:cs="Tahoma"/>
          <w:color w:val="000000"/>
          <w:szCs w:val="24"/>
        </w:rPr>
        <w:t xml:space="preserve">.  </w:t>
      </w:r>
    </w:p>
    <w:p w14:paraId="1A224F56" w14:textId="0F94D169" w:rsidR="00D53498" w:rsidRDefault="00D53498" w:rsidP="00907C9D">
      <w:pPr>
        <w:spacing w:line="276" w:lineRule="auto"/>
        <w:rPr>
          <w:rStyle w:val="normaltextrun"/>
          <w:rFonts w:cs="Tahoma"/>
          <w:color w:val="000000"/>
          <w:szCs w:val="24"/>
        </w:rPr>
      </w:pPr>
    </w:p>
    <w:p w14:paraId="5B325A85" w14:textId="77777777" w:rsidR="00907C9D" w:rsidRPr="005D443C" w:rsidRDefault="00907C9D" w:rsidP="00907C9D">
      <w:pPr>
        <w:spacing w:line="276" w:lineRule="auto"/>
        <w:rPr>
          <w:rStyle w:val="normaltextrun"/>
          <w:rFonts w:cs="Tahoma"/>
          <w:color w:val="000000"/>
          <w:szCs w:val="24"/>
        </w:rPr>
      </w:pPr>
    </w:p>
    <w:p w14:paraId="0ADBED18" w14:textId="42021FC1" w:rsidR="003221C2" w:rsidRPr="005D443C" w:rsidRDefault="003221C2" w:rsidP="005D443C">
      <w:pPr>
        <w:pStyle w:val="Prrafodelista"/>
        <w:numPr>
          <w:ilvl w:val="0"/>
          <w:numId w:val="9"/>
        </w:numPr>
        <w:spacing w:line="276" w:lineRule="auto"/>
        <w:jc w:val="center"/>
        <w:rPr>
          <w:rStyle w:val="normaltextrun"/>
          <w:rFonts w:cs="Tahoma"/>
          <w:b/>
          <w:bCs/>
          <w:color w:val="000000"/>
          <w:szCs w:val="24"/>
        </w:rPr>
      </w:pPr>
      <w:r w:rsidRPr="005D443C">
        <w:rPr>
          <w:rStyle w:val="normaltextrun"/>
          <w:rFonts w:cs="Tahoma"/>
          <w:b/>
          <w:bCs/>
          <w:color w:val="000000" w:themeColor="text1"/>
          <w:szCs w:val="24"/>
        </w:rPr>
        <w:t>CONSIDERACIONES</w:t>
      </w:r>
    </w:p>
    <w:p w14:paraId="7FB54327" w14:textId="2F3444BB" w:rsidR="45BD1307" w:rsidRPr="005D443C" w:rsidRDefault="45BD1307" w:rsidP="005D443C">
      <w:pPr>
        <w:spacing w:line="276" w:lineRule="auto"/>
        <w:jc w:val="center"/>
        <w:rPr>
          <w:rStyle w:val="normaltextrun"/>
          <w:rFonts w:eastAsia="Calibri" w:cs="Tahoma"/>
          <w:b/>
          <w:bCs/>
          <w:color w:val="000000" w:themeColor="text1"/>
          <w:szCs w:val="24"/>
        </w:rPr>
      </w:pPr>
    </w:p>
    <w:p w14:paraId="2ABF81E2" w14:textId="72765D24" w:rsidR="009F45D0" w:rsidRPr="005D443C" w:rsidRDefault="009F45D0" w:rsidP="005D443C">
      <w:pPr>
        <w:spacing w:line="276" w:lineRule="auto"/>
        <w:rPr>
          <w:rFonts w:cs="Tahoma"/>
          <w:b/>
          <w:bCs/>
          <w:szCs w:val="24"/>
        </w:rPr>
      </w:pPr>
      <w:r w:rsidRPr="005D443C">
        <w:rPr>
          <w:rFonts w:cs="Tahoma"/>
          <w:b/>
          <w:bCs/>
          <w:szCs w:val="24"/>
        </w:rPr>
        <w:lastRenderedPageBreak/>
        <w:t>6.1. Competencia funcional para conocer del recurso de apelación contra el auto que niega una excepción previa</w:t>
      </w:r>
      <w:r w:rsidR="7FBA3249" w:rsidRPr="005D443C">
        <w:rPr>
          <w:rFonts w:cs="Tahoma"/>
          <w:b/>
          <w:bCs/>
          <w:szCs w:val="24"/>
        </w:rPr>
        <w:t>.</w:t>
      </w:r>
    </w:p>
    <w:p w14:paraId="40F9C8E1" w14:textId="499C395A" w:rsidR="009F45D0" w:rsidRPr="005D443C" w:rsidRDefault="009F45D0" w:rsidP="005D443C">
      <w:pPr>
        <w:spacing w:line="276" w:lineRule="auto"/>
        <w:rPr>
          <w:rFonts w:cs="Tahoma"/>
          <w:bCs/>
          <w:szCs w:val="24"/>
        </w:rPr>
      </w:pPr>
    </w:p>
    <w:p w14:paraId="0D9746F3" w14:textId="5AB30859" w:rsidR="009F45D0" w:rsidRPr="005D443C" w:rsidRDefault="00ED085F" w:rsidP="005D443C">
      <w:pPr>
        <w:spacing w:line="276" w:lineRule="auto"/>
        <w:ind w:firstLine="708"/>
        <w:rPr>
          <w:rFonts w:cs="Tahoma"/>
          <w:bCs/>
          <w:szCs w:val="24"/>
        </w:rPr>
      </w:pPr>
      <w:r w:rsidRPr="005D443C">
        <w:rPr>
          <w:rFonts w:cs="Tahoma"/>
          <w:bCs/>
          <w:szCs w:val="24"/>
        </w:rPr>
        <w:t xml:space="preserve">El numeral 3 del artículo 65 del C.P.T. y de la S.S., modificado por el artículo 29 de la Ley 712 de 2001, señala expresamente que será susceptible de apelación el auto que decida sobre excepciones previas. </w:t>
      </w:r>
    </w:p>
    <w:p w14:paraId="21542B81" w14:textId="3515C04B" w:rsidR="00ED085F" w:rsidRPr="005D443C" w:rsidRDefault="00ED085F" w:rsidP="005D443C">
      <w:pPr>
        <w:spacing w:line="276" w:lineRule="auto"/>
        <w:rPr>
          <w:rFonts w:cs="Tahoma"/>
          <w:bCs/>
          <w:szCs w:val="24"/>
        </w:rPr>
      </w:pPr>
    </w:p>
    <w:p w14:paraId="17174386" w14:textId="77777777" w:rsidR="0018259A" w:rsidRPr="005D443C" w:rsidRDefault="00ED085F" w:rsidP="005D443C">
      <w:pPr>
        <w:spacing w:line="276" w:lineRule="auto"/>
        <w:ind w:firstLine="708"/>
        <w:rPr>
          <w:rFonts w:cs="Tahoma"/>
          <w:bCs/>
          <w:szCs w:val="24"/>
        </w:rPr>
      </w:pPr>
      <w:r w:rsidRPr="005D443C">
        <w:rPr>
          <w:rFonts w:cs="Tahoma"/>
          <w:szCs w:val="24"/>
        </w:rPr>
        <w:t>A su vez, el numeral 1º del artículo 100 del C.G.P., aplicable al procedimiento laboral en virtud de la remisión analógica prevista en el artículo 145 del C.P.T. y de la S.S., señala dentro de las excepciones previas la denominada “falta de jurisdicción o competencia”, con fundamento en la cual la parte pasiva de la litis puede controvertir la competencia del juez de conocimiento pidiéndole que se separe del proceso y lo remita al juez que corresponda, caso en el cual lo actuado hasta ese momento conservará validez, según se tiene previsto en el numeral 2, artículo 101 del ídem.</w:t>
      </w:r>
    </w:p>
    <w:p w14:paraId="20F575B8" w14:textId="77777777" w:rsidR="0018259A" w:rsidRPr="005D443C" w:rsidRDefault="0018259A" w:rsidP="005D443C">
      <w:pPr>
        <w:spacing w:line="276" w:lineRule="auto"/>
        <w:rPr>
          <w:rFonts w:cs="Tahoma"/>
          <w:bCs/>
          <w:szCs w:val="24"/>
        </w:rPr>
      </w:pPr>
    </w:p>
    <w:p w14:paraId="1E7EBB37" w14:textId="63714346" w:rsidR="00ED085F" w:rsidRPr="005D443C" w:rsidRDefault="0018259A" w:rsidP="005D443C">
      <w:pPr>
        <w:spacing w:line="276" w:lineRule="auto"/>
        <w:rPr>
          <w:rFonts w:cs="Tahoma"/>
          <w:b/>
          <w:bCs/>
          <w:szCs w:val="24"/>
        </w:rPr>
      </w:pPr>
      <w:r w:rsidRPr="005D443C">
        <w:rPr>
          <w:rFonts w:cs="Tahoma"/>
          <w:b/>
          <w:bCs/>
          <w:szCs w:val="24"/>
        </w:rPr>
        <w:t>6.2. Cláusula general de competencia y competencia residual en asuntos relacionados con la seguridad social</w:t>
      </w:r>
      <w:r w:rsidR="00ED085F" w:rsidRPr="005D443C">
        <w:rPr>
          <w:rFonts w:cs="Tahoma"/>
          <w:b/>
          <w:bCs/>
          <w:szCs w:val="24"/>
        </w:rPr>
        <w:t xml:space="preserve"> </w:t>
      </w:r>
      <w:r w:rsidR="008F708D" w:rsidRPr="005D443C">
        <w:rPr>
          <w:rFonts w:cs="Tahoma"/>
          <w:b/>
          <w:bCs/>
          <w:szCs w:val="24"/>
        </w:rPr>
        <w:t>integral</w:t>
      </w:r>
      <w:r w:rsidR="569D61F7" w:rsidRPr="005D443C">
        <w:rPr>
          <w:rFonts w:cs="Tahoma"/>
          <w:b/>
          <w:bCs/>
          <w:szCs w:val="24"/>
        </w:rPr>
        <w:t>.</w:t>
      </w:r>
    </w:p>
    <w:p w14:paraId="5DF957CC" w14:textId="32AD21D9" w:rsidR="009F45D0" w:rsidRPr="005D443C" w:rsidRDefault="009F45D0" w:rsidP="005D443C">
      <w:pPr>
        <w:spacing w:line="276" w:lineRule="auto"/>
        <w:rPr>
          <w:rFonts w:cs="Tahoma"/>
          <w:bCs/>
          <w:szCs w:val="24"/>
        </w:rPr>
      </w:pPr>
    </w:p>
    <w:p w14:paraId="36F8633D" w14:textId="5C61BA0F" w:rsidR="0018259A" w:rsidRPr="005D443C" w:rsidRDefault="0018259A" w:rsidP="005D443C">
      <w:pPr>
        <w:spacing w:line="276" w:lineRule="auto"/>
        <w:ind w:firstLine="708"/>
        <w:rPr>
          <w:rFonts w:cs="Tahoma"/>
          <w:iCs/>
          <w:szCs w:val="24"/>
          <w:shd w:val="clear" w:color="auto" w:fill="FFFFFF"/>
        </w:rPr>
      </w:pPr>
      <w:bookmarkStart w:id="4" w:name="_Hlk141951699"/>
      <w:r w:rsidRPr="005D443C">
        <w:rPr>
          <w:rFonts w:cs="Tahoma"/>
          <w:iCs/>
          <w:szCs w:val="24"/>
          <w:shd w:val="clear" w:color="auto" w:fill="FFFFFF"/>
        </w:rPr>
        <w:t xml:space="preserve">En cuanto a las reglas de competencia de la jurisdicción ordinaria en sus especialidades laboral y de seguridad social, </w:t>
      </w:r>
      <w:r w:rsidR="008F708D" w:rsidRPr="005D443C">
        <w:rPr>
          <w:rFonts w:cs="Tahoma"/>
          <w:iCs/>
          <w:szCs w:val="24"/>
          <w:shd w:val="clear" w:color="auto" w:fill="FFFFFF"/>
        </w:rPr>
        <w:t>se encuentra</w:t>
      </w:r>
      <w:r w:rsidRPr="005D443C">
        <w:rPr>
          <w:rFonts w:cs="Tahoma"/>
          <w:iCs/>
          <w:szCs w:val="24"/>
          <w:shd w:val="clear" w:color="auto" w:fill="FFFFFF"/>
        </w:rPr>
        <w:t xml:space="preserve"> que el artículo 2º del Código Procesal del Trabajo y de la Seguridad Social, modificado por el artículo 2.º de la Ley 712 y el artículo 622 de la Ley 1564 de 2012 o CGP, precisa que</w:t>
      </w:r>
      <w:r w:rsidR="008F708D" w:rsidRPr="005D443C">
        <w:rPr>
          <w:rFonts w:cs="Tahoma"/>
          <w:iCs/>
          <w:szCs w:val="24"/>
          <w:shd w:val="clear" w:color="auto" w:fill="FFFFFF"/>
        </w:rPr>
        <w:t xml:space="preserve"> será competencia de la jurisdicción ordinaria, en sus especialidades laboral y de la seguridad social,</w:t>
      </w:r>
      <w:r w:rsidRPr="005D443C">
        <w:rPr>
          <w:rFonts w:cs="Tahoma"/>
          <w:iCs/>
          <w:szCs w:val="24"/>
          <w:shd w:val="clear" w:color="auto" w:fill="FFFFFF"/>
        </w:rPr>
        <w:t xml:space="preserve"> </w:t>
      </w:r>
      <w:r w:rsidR="008F708D" w:rsidRPr="005D443C">
        <w:rPr>
          <w:rFonts w:cs="Tahoma"/>
          <w:i/>
          <w:iCs/>
          <w:szCs w:val="24"/>
          <w:shd w:val="clear" w:color="auto" w:fill="FFFFFF"/>
        </w:rPr>
        <w:t>“</w:t>
      </w:r>
      <w:r w:rsidRPr="0038478B">
        <w:rPr>
          <w:rFonts w:cs="Tahoma"/>
          <w:i/>
          <w:iCs/>
          <w:sz w:val="22"/>
          <w:szCs w:val="24"/>
          <w:shd w:val="clear" w:color="auto" w:fill="FFFFFF"/>
        </w:rPr>
        <w:t>las controversias</w:t>
      </w:r>
      <w:r w:rsidR="008F708D" w:rsidRPr="0038478B">
        <w:rPr>
          <w:rFonts w:cs="Tahoma"/>
          <w:i/>
          <w:iCs/>
          <w:sz w:val="22"/>
          <w:szCs w:val="24"/>
          <w:shd w:val="clear" w:color="auto" w:fill="FFFFFF"/>
        </w:rPr>
        <w:t xml:space="preserve"> relativas a la prestación de los servicios de la seguridad social que se</w:t>
      </w:r>
      <w:r w:rsidRPr="0038478B">
        <w:rPr>
          <w:rFonts w:cs="Tahoma"/>
          <w:i/>
          <w:iCs/>
          <w:sz w:val="22"/>
          <w:szCs w:val="24"/>
          <w:shd w:val="clear" w:color="auto" w:fill="FFFFFF"/>
        </w:rPr>
        <w:t xml:space="preserve"> susciten entre los afiliados</w:t>
      </w:r>
      <w:r w:rsidR="008F708D" w:rsidRPr="0038478B">
        <w:rPr>
          <w:rFonts w:cs="Tahoma"/>
          <w:i/>
          <w:iCs/>
          <w:sz w:val="22"/>
          <w:szCs w:val="24"/>
          <w:shd w:val="clear" w:color="auto" w:fill="FFFFFF"/>
        </w:rPr>
        <w:t xml:space="preserve"> o usuarios, los empleadores y las entidades administradoras o prestadoras</w:t>
      </w:r>
      <w:r w:rsidRPr="0038478B">
        <w:rPr>
          <w:rFonts w:cs="Tahoma"/>
          <w:i/>
          <w:iCs/>
          <w:sz w:val="22"/>
          <w:szCs w:val="24"/>
          <w:shd w:val="clear" w:color="auto" w:fill="FFFFFF"/>
        </w:rPr>
        <w:t xml:space="preserve"> y beneficiarios con las entidades administradoras y prestadoras de los servicios de seguridad social,</w:t>
      </w:r>
      <w:r w:rsidR="008F708D" w:rsidRPr="0038478B">
        <w:rPr>
          <w:rFonts w:cs="Tahoma"/>
          <w:i/>
          <w:iCs/>
          <w:sz w:val="22"/>
          <w:szCs w:val="24"/>
          <w:shd w:val="clear" w:color="auto" w:fill="FFFFFF"/>
        </w:rPr>
        <w:t xml:space="preserve"> salvo los de responsabilidad médica y los relacionados con contratos</w:t>
      </w:r>
      <w:r w:rsidR="008F708D" w:rsidRPr="005D443C">
        <w:rPr>
          <w:rFonts w:cs="Tahoma"/>
          <w:i/>
          <w:iCs/>
          <w:szCs w:val="24"/>
          <w:shd w:val="clear" w:color="auto" w:fill="FFFFFF"/>
        </w:rPr>
        <w:t>”.</w:t>
      </w:r>
    </w:p>
    <w:p w14:paraId="78473C7A" w14:textId="6234B2D5" w:rsidR="0018259A" w:rsidRPr="005D443C" w:rsidRDefault="0018259A" w:rsidP="005D443C">
      <w:pPr>
        <w:spacing w:line="276" w:lineRule="auto"/>
        <w:rPr>
          <w:rFonts w:cs="Tahoma"/>
          <w:bCs/>
          <w:szCs w:val="24"/>
        </w:rPr>
      </w:pPr>
    </w:p>
    <w:p w14:paraId="67566600" w14:textId="7970A40F" w:rsidR="008F708D" w:rsidRPr="005D443C" w:rsidRDefault="008F708D" w:rsidP="005D443C">
      <w:pPr>
        <w:spacing w:line="276" w:lineRule="auto"/>
        <w:ind w:firstLine="708"/>
        <w:rPr>
          <w:rFonts w:cs="Tahoma"/>
          <w:szCs w:val="24"/>
        </w:rPr>
      </w:pPr>
      <w:r w:rsidRPr="005D443C">
        <w:rPr>
          <w:rFonts w:cs="Tahoma"/>
          <w:szCs w:val="24"/>
        </w:rPr>
        <w:t>Este precepto ha sido interpretado por los distintos órganos de cierre jurisdiccional como una cláusula general de competencia</w:t>
      </w:r>
      <w:r w:rsidRPr="005D443C">
        <w:rPr>
          <w:rStyle w:val="Refdenotaalpie"/>
          <w:rFonts w:cs="Tahoma"/>
          <w:szCs w:val="24"/>
        </w:rPr>
        <w:footnoteReference w:id="2"/>
      </w:r>
      <w:r w:rsidRPr="005D443C">
        <w:rPr>
          <w:rFonts w:cs="Tahoma"/>
          <w:szCs w:val="24"/>
        </w:rPr>
        <w:t xml:space="preserve">, con arreglo </w:t>
      </w:r>
      <w:r w:rsidR="008D7F67" w:rsidRPr="005D443C">
        <w:rPr>
          <w:rFonts w:cs="Tahoma"/>
          <w:szCs w:val="24"/>
        </w:rPr>
        <w:t>a</w:t>
      </w:r>
      <w:r w:rsidRPr="005D443C">
        <w:rPr>
          <w:rFonts w:cs="Tahoma"/>
          <w:szCs w:val="24"/>
        </w:rPr>
        <w:t xml:space="preserve"> la cual la </w:t>
      </w:r>
      <w:r w:rsidRPr="005D443C">
        <w:rPr>
          <w:rFonts w:cs="Tahoma"/>
          <w:szCs w:val="24"/>
          <w:shd w:val="clear" w:color="auto" w:fill="FFFFFF"/>
        </w:rPr>
        <w:t>jurisdicción ordinaria, en su especialidad laboral y de la seguridad social, tiene la competencia preferente y residual para conocer las controversias que versen sobre asuntos de derecho laboral o referentes al sistema de seguridad social, en razón de lo cual, la especialidad civil de la jurisdicción ordinaria y la jurisdicción de lo contencioso administrativo sólo son competentes para conocer controversias que versen sobre estas materias si existe una regla o </w:t>
      </w:r>
      <w:r w:rsidRPr="005D443C">
        <w:rPr>
          <w:rFonts w:cs="Tahoma"/>
          <w:i/>
          <w:iCs/>
          <w:szCs w:val="24"/>
          <w:shd w:val="clear" w:color="auto" w:fill="FFFFFF"/>
        </w:rPr>
        <w:t>cláusula especial de competencia</w:t>
      </w:r>
      <w:r w:rsidRPr="005D443C">
        <w:rPr>
          <w:rFonts w:cs="Tahoma"/>
          <w:szCs w:val="24"/>
          <w:shd w:val="clear" w:color="auto" w:fill="FFFFFF"/>
        </w:rPr>
        <w:t> que les asigne el conocimiento de determinado tipo de conflictos.</w:t>
      </w:r>
    </w:p>
    <w:bookmarkEnd w:id="4"/>
    <w:p w14:paraId="75ADC7EA" w14:textId="41EAC243" w:rsidR="45BD1307" w:rsidRPr="005D443C" w:rsidRDefault="45BD1307" w:rsidP="005D443C">
      <w:pPr>
        <w:spacing w:line="276" w:lineRule="auto"/>
        <w:ind w:firstLine="708"/>
        <w:rPr>
          <w:rFonts w:cs="Tahoma"/>
          <w:szCs w:val="24"/>
        </w:rPr>
      </w:pPr>
    </w:p>
    <w:p w14:paraId="43D1C9BA" w14:textId="19AAF763" w:rsidR="008F708D" w:rsidRPr="005D443C" w:rsidRDefault="00F62BA5" w:rsidP="005D443C">
      <w:pPr>
        <w:spacing w:line="276" w:lineRule="auto"/>
        <w:ind w:firstLine="567"/>
        <w:rPr>
          <w:rFonts w:cs="Tahoma"/>
          <w:bCs/>
          <w:szCs w:val="24"/>
        </w:rPr>
      </w:pPr>
      <w:r w:rsidRPr="005D443C">
        <w:rPr>
          <w:rFonts w:cs="Tahoma"/>
          <w:bCs/>
          <w:szCs w:val="24"/>
        </w:rPr>
        <w:t xml:space="preserve">En relación a la materia, la Sala Plena de la Corte Suprema de Justicia, al resolver un conflicto de competencia suscitado alrededor del cobro de unas facturas por la prestación de servicios de salud, explicó: </w:t>
      </w:r>
    </w:p>
    <w:p w14:paraId="4B94F547" w14:textId="77777777" w:rsidR="00F62BA5" w:rsidRPr="005D443C" w:rsidRDefault="00F62BA5" w:rsidP="005D443C">
      <w:pPr>
        <w:spacing w:line="276" w:lineRule="auto"/>
        <w:rPr>
          <w:rFonts w:cs="Tahoma"/>
          <w:bCs/>
          <w:szCs w:val="24"/>
        </w:rPr>
      </w:pPr>
    </w:p>
    <w:p w14:paraId="62B089B9" w14:textId="232190A1" w:rsidR="0018259A" w:rsidRPr="0038478B" w:rsidRDefault="0018259A" w:rsidP="0038478B">
      <w:pPr>
        <w:spacing w:line="240" w:lineRule="auto"/>
        <w:ind w:left="426" w:right="420"/>
        <w:rPr>
          <w:rFonts w:cs="Tahoma"/>
          <w:i/>
          <w:sz w:val="22"/>
          <w:szCs w:val="24"/>
        </w:rPr>
      </w:pPr>
      <w:r w:rsidRPr="0038478B">
        <w:rPr>
          <w:rFonts w:cs="Tahoma"/>
          <w:i/>
          <w:sz w:val="22"/>
          <w:szCs w:val="24"/>
        </w:rPr>
        <w:lastRenderedPageBreak/>
        <w:t>Es cierto que uno de los principales logros de la Ley 100 de 1993 fue el de unificar en un solo estatuto el sistema de seguridad social integral, al tiempo que la Ley 712 de 2001 le asignó a la jurisdicción ordinaria en su especialidad laboral y de seguridad social, el conocimiento de las controversias surgidas en razón del funcionamiento de tal sistema, como así lo prevé el artículo 2º, numeral 4º (…)</w:t>
      </w:r>
    </w:p>
    <w:p w14:paraId="59B63592" w14:textId="3E320E03" w:rsidR="0018259A" w:rsidRPr="0038478B" w:rsidRDefault="0018259A" w:rsidP="0038478B">
      <w:pPr>
        <w:spacing w:line="240" w:lineRule="auto"/>
        <w:ind w:left="426" w:right="420"/>
        <w:rPr>
          <w:rFonts w:cs="Tahoma"/>
          <w:bCs/>
          <w:i/>
          <w:sz w:val="22"/>
          <w:szCs w:val="24"/>
        </w:rPr>
      </w:pPr>
    </w:p>
    <w:p w14:paraId="09704077" w14:textId="77777777" w:rsidR="00F62BA5" w:rsidRPr="0038478B" w:rsidRDefault="0018259A" w:rsidP="0038478B">
      <w:pPr>
        <w:spacing w:line="240" w:lineRule="auto"/>
        <w:ind w:left="426" w:right="420"/>
        <w:rPr>
          <w:rFonts w:cs="Tahoma"/>
          <w:i/>
          <w:sz w:val="22"/>
          <w:szCs w:val="24"/>
        </w:rPr>
      </w:pPr>
      <w:r w:rsidRPr="0038478B">
        <w:rPr>
          <w:rFonts w:cs="Tahoma"/>
          <w:i/>
          <w:sz w:val="22"/>
          <w:szCs w:val="24"/>
        </w:rPr>
        <w:t xml:space="preserve">Ocurre sin embargo que dicho sistema puede dar lugar a varios tipos de relaciones jurídicas, autónomas e independientes, aunque conectadas entre sí. </w:t>
      </w:r>
    </w:p>
    <w:p w14:paraId="084CDCD9" w14:textId="77777777" w:rsidR="00F62BA5" w:rsidRPr="0038478B" w:rsidRDefault="00F62BA5" w:rsidP="0038478B">
      <w:pPr>
        <w:spacing w:line="240" w:lineRule="auto"/>
        <w:ind w:left="426" w:right="420"/>
        <w:rPr>
          <w:rFonts w:cs="Tahoma"/>
          <w:i/>
          <w:sz w:val="22"/>
          <w:szCs w:val="24"/>
        </w:rPr>
      </w:pPr>
    </w:p>
    <w:p w14:paraId="1907CBF3" w14:textId="77777777" w:rsidR="00F62BA5" w:rsidRPr="0038478B" w:rsidRDefault="0018259A" w:rsidP="0038478B">
      <w:pPr>
        <w:spacing w:line="240" w:lineRule="auto"/>
        <w:ind w:left="426" w:right="420"/>
        <w:rPr>
          <w:rFonts w:cs="Tahoma"/>
          <w:i/>
          <w:sz w:val="22"/>
          <w:szCs w:val="24"/>
        </w:rPr>
      </w:pPr>
      <w:r w:rsidRPr="0038478B">
        <w:rPr>
          <w:rFonts w:cs="Tahoma"/>
          <w:i/>
          <w:sz w:val="22"/>
          <w:szCs w:val="24"/>
        </w:rPr>
        <w:t xml:space="preserve">La primera, estrictamente de seguridad social, entre los afiliados o beneficiarios del sistema y las entidades administradoras o prestadoras (EPS, IPS, ARL), en lo que tiene que ver con la asistencia y atención en salud que aquellos requieran. </w:t>
      </w:r>
    </w:p>
    <w:p w14:paraId="254972E5" w14:textId="77777777" w:rsidR="00F62BA5" w:rsidRPr="0038478B" w:rsidRDefault="00F62BA5" w:rsidP="0038478B">
      <w:pPr>
        <w:spacing w:line="240" w:lineRule="auto"/>
        <w:ind w:left="426" w:right="420"/>
        <w:rPr>
          <w:rFonts w:cs="Tahoma"/>
          <w:i/>
          <w:sz w:val="22"/>
          <w:szCs w:val="24"/>
        </w:rPr>
      </w:pPr>
    </w:p>
    <w:p w14:paraId="2150591E" w14:textId="5B27EA04" w:rsidR="0018259A" w:rsidRPr="0038478B" w:rsidRDefault="0018259A" w:rsidP="0038478B">
      <w:pPr>
        <w:spacing w:line="240" w:lineRule="auto"/>
        <w:ind w:left="426" w:right="420"/>
        <w:rPr>
          <w:rFonts w:cs="Tahoma"/>
          <w:bCs/>
          <w:i/>
          <w:sz w:val="22"/>
          <w:szCs w:val="24"/>
        </w:rPr>
      </w:pPr>
      <w:r w:rsidRPr="0038478B">
        <w:rPr>
          <w:rFonts w:cs="Tahoma"/>
          <w:i/>
          <w:sz w:val="22"/>
          <w:szCs w:val="24"/>
        </w:rPr>
        <w:t>La segunda, de raigambre netamente civil o comercial, producto de la forma contractual o extracontractual como dichas entidades se obligan a prestar el servicio a los afiliados o beneficiarios del sistema, en virtud de lo cual se utilizan instrumentos garantes de la satisfacción de esas obligaciones, tales como facturas o cualquier otro título valor de contenido crediticio, el cual valdrá como pago de aquellas en orden a lo dispuesto en el artículo 882 del Código de Comercio.</w:t>
      </w:r>
    </w:p>
    <w:p w14:paraId="3460585D" w14:textId="77777777" w:rsidR="009F45D0" w:rsidRPr="005D443C" w:rsidRDefault="009F45D0" w:rsidP="005D443C">
      <w:pPr>
        <w:spacing w:line="276" w:lineRule="auto"/>
        <w:rPr>
          <w:rFonts w:cs="Tahoma"/>
          <w:bCs/>
          <w:szCs w:val="24"/>
        </w:rPr>
      </w:pPr>
    </w:p>
    <w:p w14:paraId="0941C743" w14:textId="198BF141" w:rsidR="00F62BA5" w:rsidRPr="005D443C" w:rsidRDefault="00F62BA5" w:rsidP="005D443C">
      <w:pPr>
        <w:spacing w:line="276" w:lineRule="auto"/>
        <w:ind w:firstLine="567"/>
        <w:rPr>
          <w:rFonts w:cs="Tahoma"/>
          <w:bCs/>
          <w:szCs w:val="24"/>
          <w:lang w:val="es-ES_tradnl"/>
        </w:rPr>
      </w:pPr>
      <w:r w:rsidRPr="005D443C">
        <w:rPr>
          <w:rFonts w:cs="Tahoma"/>
          <w:bCs/>
          <w:szCs w:val="24"/>
          <w:lang w:val="es-ES_tradnl"/>
        </w:rPr>
        <w:t>Cabe resaltar que antes de la modificación que introdujo el artículo 622 de la Ley 1564 de 2012 (CGP) al numeral 4 del citado artículo 2 del C.P.T. y de la S.S., la norma no excluía del conocimiento de la especialidad laboral ningún conflicto suscitado en el marco del sistema de seguridad social integral; sin embargo, a partir de la entrada en vigencia de la</w:t>
      </w:r>
      <w:r w:rsidR="00537809" w:rsidRPr="005D443C">
        <w:rPr>
          <w:rFonts w:cs="Tahoma"/>
          <w:bCs/>
          <w:szCs w:val="24"/>
          <w:lang w:val="es-ES_tradnl"/>
        </w:rPr>
        <w:t xml:space="preserve"> citada</w:t>
      </w:r>
      <w:r w:rsidRPr="005D443C">
        <w:rPr>
          <w:rFonts w:cs="Tahoma"/>
          <w:bCs/>
          <w:szCs w:val="24"/>
          <w:lang w:val="es-ES_tradnl"/>
        </w:rPr>
        <w:t xml:space="preserve"> Ley 1564 de 2012</w:t>
      </w:r>
      <w:r w:rsidR="00537809" w:rsidRPr="005D443C">
        <w:rPr>
          <w:rFonts w:cs="Tahoma"/>
          <w:bCs/>
          <w:szCs w:val="24"/>
          <w:lang w:val="es-ES_tradnl"/>
        </w:rPr>
        <w:t xml:space="preserve">, se eliminó del precepto legal en estudio la frase </w:t>
      </w:r>
      <w:r w:rsidR="00537809" w:rsidRPr="005D443C">
        <w:rPr>
          <w:rFonts w:cs="Tahoma"/>
          <w:bCs/>
          <w:i/>
          <w:szCs w:val="24"/>
          <w:lang w:val="es-ES_tradnl"/>
        </w:rPr>
        <w:t>“</w:t>
      </w:r>
      <w:r w:rsidR="00537809" w:rsidRPr="0038478B">
        <w:rPr>
          <w:rFonts w:cs="Tahoma"/>
          <w:bCs/>
          <w:i/>
          <w:sz w:val="22"/>
          <w:szCs w:val="24"/>
          <w:lang w:val="es-ES_tradnl"/>
        </w:rPr>
        <w:t>cualquiera que sea la naturaleza de la relación jurídica y de los actos jurídicos que se controviertan</w:t>
      </w:r>
      <w:r w:rsidR="00537809" w:rsidRPr="005D443C">
        <w:rPr>
          <w:rFonts w:cs="Tahoma"/>
          <w:bCs/>
          <w:i/>
          <w:szCs w:val="24"/>
          <w:lang w:val="es-ES_tradnl"/>
        </w:rPr>
        <w:t xml:space="preserve">” </w:t>
      </w:r>
      <w:r w:rsidR="00537809" w:rsidRPr="005D443C">
        <w:rPr>
          <w:rFonts w:cs="Tahoma"/>
          <w:bCs/>
          <w:szCs w:val="24"/>
          <w:lang w:val="es-ES_tradnl"/>
        </w:rPr>
        <w:t xml:space="preserve">y se reemplazó con el enunciado: </w:t>
      </w:r>
      <w:r w:rsidR="00537809" w:rsidRPr="005D443C">
        <w:rPr>
          <w:rFonts w:cs="Tahoma"/>
          <w:bCs/>
          <w:i/>
          <w:szCs w:val="24"/>
          <w:lang w:val="es-ES_tradnl"/>
        </w:rPr>
        <w:t>“</w:t>
      </w:r>
      <w:r w:rsidR="00537809" w:rsidRPr="0038478B">
        <w:rPr>
          <w:rFonts w:cs="Tahoma"/>
          <w:bCs/>
          <w:i/>
          <w:sz w:val="22"/>
          <w:szCs w:val="24"/>
          <w:lang w:val="es-ES_tradnl"/>
        </w:rPr>
        <w:t>salvo los de responsabilidad médica y los relacionados con contratos</w:t>
      </w:r>
      <w:r w:rsidR="00537809" w:rsidRPr="005D443C">
        <w:rPr>
          <w:rFonts w:cs="Tahoma"/>
          <w:bCs/>
          <w:i/>
          <w:szCs w:val="24"/>
          <w:lang w:val="es-ES_tradnl"/>
        </w:rPr>
        <w:t>”</w:t>
      </w:r>
      <w:r w:rsidR="00537809" w:rsidRPr="005D443C">
        <w:rPr>
          <w:rFonts w:cs="Tahoma"/>
          <w:bCs/>
          <w:szCs w:val="24"/>
          <w:lang w:val="es-ES_tradnl"/>
        </w:rPr>
        <w:t xml:space="preserve"> . Ello así, la especialidad laboral dejó de conocer asuntos relacionados con “</w:t>
      </w:r>
      <w:r w:rsidR="00537809" w:rsidRPr="0038478B">
        <w:rPr>
          <w:rFonts w:cs="Tahoma"/>
          <w:bCs/>
          <w:i/>
          <w:sz w:val="22"/>
          <w:szCs w:val="24"/>
          <w:lang w:val="es-ES_tradnl"/>
        </w:rPr>
        <w:t>responsabilidad médica”</w:t>
      </w:r>
      <w:r w:rsidR="00537809" w:rsidRPr="0038478B">
        <w:rPr>
          <w:rFonts w:cs="Tahoma"/>
          <w:bCs/>
          <w:sz w:val="22"/>
          <w:szCs w:val="24"/>
          <w:lang w:val="es-ES_tradnl"/>
        </w:rPr>
        <w:t xml:space="preserve"> </w:t>
      </w:r>
      <w:r w:rsidR="00537809" w:rsidRPr="005D443C">
        <w:rPr>
          <w:rFonts w:cs="Tahoma"/>
          <w:bCs/>
          <w:szCs w:val="24"/>
          <w:lang w:val="es-ES_tradnl"/>
        </w:rPr>
        <w:t>y “</w:t>
      </w:r>
      <w:r w:rsidR="00537809" w:rsidRPr="0038478B">
        <w:rPr>
          <w:rFonts w:cs="Tahoma"/>
          <w:bCs/>
          <w:sz w:val="22"/>
          <w:szCs w:val="24"/>
          <w:lang w:val="es-ES_tradnl"/>
        </w:rPr>
        <w:t>contratos</w:t>
      </w:r>
      <w:r w:rsidR="00537809" w:rsidRPr="005D443C">
        <w:rPr>
          <w:rFonts w:cs="Tahoma"/>
          <w:bCs/>
          <w:szCs w:val="24"/>
          <w:lang w:val="es-ES_tradnl"/>
        </w:rPr>
        <w:t xml:space="preserve">” en el marco de la seguridad social integral. </w:t>
      </w:r>
    </w:p>
    <w:p w14:paraId="1B6D4EAE" w14:textId="4B7028F9" w:rsidR="00537809" w:rsidRPr="005D443C" w:rsidRDefault="00537809" w:rsidP="005D443C">
      <w:pPr>
        <w:spacing w:line="276" w:lineRule="auto"/>
        <w:rPr>
          <w:rFonts w:cs="Tahoma"/>
          <w:b/>
          <w:bCs/>
          <w:szCs w:val="24"/>
          <w:lang w:val="es-ES_tradnl"/>
        </w:rPr>
      </w:pPr>
    </w:p>
    <w:p w14:paraId="33B787E8" w14:textId="61C8E92B" w:rsidR="000B508D" w:rsidRPr="005D443C" w:rsidRDefault="00537809" w:rsidP="005D443C">
      <w:pPr>
        <w:spacing w:line="276" w:lineRule="auto"/>
        <w:ind w:firstLine="567"/>
        <w:rPr>
          <w:rFonts w:cs="Tahoma"/>
          <w:szCs w:val="24"/>
        </w:rPr>
      </w:pPr>
      <w:r w:rsidRPr="005D443C">
        <w:rPr>
          <w:rFonts w:cs="Tahoma"/>
          <w:szCs w:val="24"/>
        </w:rPr>
        <w:t xml:space="preserve">Ahora bien, </w:t>
      </w:r>
      <w:r w:rsidR="046DFA5A" w:rsidRPr="005D443C">
        <w:rPr>
          <w:rFonts w:cs="Tahoma"/>
          <w:szCs w:val="24"/>
        </w:rPr>
        <w:t xml:space="preserve">en principio podría decirse que </w:t>
      </w:r>
      <w:r w:rsidR="00BA44CD" w:rsidRPr="005D443C">
        <w:rPr>
          <w:rFonts w:cs="Tahoma"/>
          <w:szCs w:val="24"/>
        </w:rPr>
        <w:t>con el mencionado cambio legislativo</w:t>
      </w:r>
      <w:r w:rsidRPr="005D443C">
        <w:rPr>
          <w:rFonts w:cs="Tahoma"/>
          <w:szCs w:val="24"/>
        </w:rPr>
        <w:t xml:space="preserve"> la especialidad laboral</w:t>
      </w:r>
      <w:r w:rsidR="00972E4D" w:rsidRPr="005D443C">
        <w:rPr>
          <w:rFonts w:cs="Tahoma"/>
          <w:szCs w:val="24"/>
        </w:rPr>
        <w:t xml:space="preserve"> </w:t>
      </w:r>
      <w:r w:rsidR="1B648FD0" w:rsidRPr="005D443C">
        <w:rPr>
          <w:rFonts w:cs="Tahoma"/>
          <w:szCs w:val="24"/>
        </w:rPr>
        <w:t>quedó</w:t>
      </w:r>
      <w:r w:rsidRPr="005D443C">
        <w:rPr>
          <w:rFonts w:cs="Tahoma"/>
          <w:szCs w:val="24"/>
        </w:rPr>
        <w:t xml:space="preserve"> excluida del conocimiento de</w:t>
      </w:r>
      <w:r w:rsidR="00972E4D" w:rsidRPr="005D443C">
        <w:rPr>
          <w:rFonts w:cs="Tahoma"/>
          <w:szCs w:val="24"/>
        </w:rPr>
        <w:t xml:space="preserve"> conflictos relacionados con</w:t>
      </w:r>
      <w:r w:rsidRPr="005D443C">
        <w:rPr>
          <w:rFonts w:cs="Tahoma"/>
          <w:szCs w:val="24"/>
        </w:rPr>
        <w:t xml:space="preserve"> “</w:t>
      </w:r>
      <w:r w:rsidRPr="0038478B">
        <w:rPr>
          <w:rFonts w:cs="Tahoma"/>
          <w:sz w:val="22"/>
          <w:szCs w:val="24"/>
        </w:rPr>
        <w:t>contratos</w:t>
      </w:r>
      <w:r w:rsidRPr="005D443C">
        <w:rPr>
          <w:rFonts w:cs="Tahoma"/>
          <w:szCs w:val="24"/>
        </w:rPr>
        <w:t>”</w:t>
      </w:r>
      <w:r w:rsidR="00972E4D" w:rsidRPr="005D443C">
        <w:rPr>
          <w:rFonts w:cs="Tahoma"/>
          <w:szCs w:val="24"/>
        </w:rPr>
        <w:t xml:space="preserve"> en el marco de la seguridad social, </w:t>
      </w:r>
      <w:r w:rsidR="6200B67F" w:rsidRPr="005D443C">
        <w:rPr>
          <w:rFonts w:cs="Tahoma"/>
          <w:szCs w:val="24"/>
        </w:rPr>
        <w:t xml:space="preserve">bajo el argumento de </w:t>
      </w:r>
      <w:r w:rsidR="00972E4D" w:rsidRPr="005D443C">
        <w:rPr>
          <w:rFonts w:cs="Tahoma"/>
          <w:szCs w:val="24"/>
        </w:rPr>
        <w:t>que la intención del legislador fue liberar a la especialidad laboral de la competencia sobre asuntos que resultan más afines a la especialidad civil o comercial, tales como acciones cambiarias o recobros por la prestación de servicios médicos de IPS a usuarios de EPS, pero no puede interpretarse en un sentido amplio, pues pensar que todo tipo de acto o contrato queda excluido del conocimiento de la especialidad laboral, incluidos los celebrados entre afiliados y Administradoras de Fondos de Pensiones</w:t>
      </w:r>
      <w:r w:rsidR="000B508D" w:rsidRPr="005D443C">
        <w:rPr>
          <w:rFonts w:cs="Tahoma"/>
          <w:szCs w:val="24"/>
        </w:rPr>
        <w:t>, dejaría sin efectos la cláusula general de competencia aludida líneas atrás, pues en la práctica todos los conflictos de la seguridad social se derivan del acto o contrato de afiliación o vinculación al sistema.</w:t>
      </w:r>
    </w:p>
    <w:p w14:paraId="603114F3" w14:textId="77777777" w:rsidR="000B508D" w:rsidRPr="005D443C" w:rsidRDefault="000B508D" w:rsidP="005D443C">
      <w:pPr>
        <w:spacing w:line="276" w:lineRule="auto"/>
        <w:rPr>
          <w:rFonts w:cs="Tahoma"/>
          <w:bCs/>
          <w:szCs w:val="24"/>
          <w:lang w:val="es-ES_tradnl"/>
        </w:rPr>
      </w:pPr>
    </w:p>
    <w:p w14:paraId="4F8B4163" w14:textId="77777777" w:rsidR="008D7F67" w:rsidRPr="005D443C" w:rsidRDefault="000B508D" w:rsidP="005D443C">
      <w:pPr>
        <w:spacing w:line="276" w:lineRule="auto"/>
        <w:ind w:firstLine="567"/>
        <w:rPr>
          <w:rFonts w:cs="Tahoma"/>
          <w:bCs/>
          <w:szCs w:val="24"/>
          <w:lang w:val="es-ES_tradnl"/>
        </w:rPr>
      </w:pPr>
      <w:r w:rsidRPr="005D443C">
        <w:rPr>
          <w:rFonts w:cs="Tahoma"/>
          <w:bCs/>
          <w:szCs w:val="24"/>
          <w:lang w:val="es-ES_tradnl"/>
        </w:rPr>
        <w:t>En estos mismos términos ya se ha pronunciado esta Corporación, con ponencia de la Magistrada Olga Lucía Hoyos Sepúlveda, en la que se indicó:</w:t>
      </w:r>
    </w:p>
    <w:p w14:paraId="517ED868" w14:textId="77777777" w:rsidR="008D7F67" w:rsidRPr="005D443C" w:rsidRDefault="008D7F67" w:rsidP="005D443C">
      <w:pPr>
        <w:spacing w:line="276" w:lineRule="auto"/>
        <w:rPr>
          <w:rFonts w:cs="Tahoma"/>
          <w:szCs w:val="24"/>
          <w:lang w:val="es-ES_tradnl"/>
        </w:rPr>
      </w:pPr>
    </w:p>
    <w:p w14:paraId="1526B1F8" w14:textId="77777777" w:rsidR="008D7F67" w:rsidRPr="0038478B" w:rsidRDefault="008D7F67" w:rsidP="0038478B">
      <w:pPr>
        <w:spacing w:line="240" w:lineRule="auto"/>
        <w:ind w:left="426" w:right="420"/>
        <w:rPr>
          <w:rFonts w:cs="Tahoma"/>
          <w:i/>
          <w:sz w:val="22"/>
          <w:szCs w:val="24"/>
        </w:rPr>
      </w:pPr>
      <w:r w:rsidRPr="0038478B">
        <w:rPr>
          <w:rFonts w:cs="Tahoma"/>
          <w:i/>
          <w:sz w:val="22"/>
          <w:szCs w:val="24"/>
        </w:rPr>
        <w:t xml:space="preserve">Ahora bien, en cuanto a la interpretación de la exclusión contenida en el citado numeral, esto es, frente a las controversias suscitadas por los contratos, la doctrina ha dilucidado que dicha excepción fue introducida con el propósito de excluir del conocimiento de la especialidad ordinaria laboral las controversias que ocurren entre </w:t>
      </w:r>
      <w:r w:rsidRPr="0038478B">
        <w:rPr>
          <w:rFonts w:cs="Tahoma"/>
          <w:i/>
          <w:sz w:val="22"/>
          <w:szCs w:val="24"/>
        </w:rPr>
        <w:lastRenderedPageBreak/>
        <w:t xml:space="preserve">administradoras pensionales u otras personas en torno a los contratos que estas pactan para prestar los servicios de la seguridad social, puesto que admitir una interpretación diferente, como fuera incluir en tal relación contractual al afiliado o beneficiario de la seguridad social, sería tanto como anular el conocimiento de la especialidad laboral de todos los conflictos derivados del derecho a la seguridad social, pues todos y cada uno de ellos están precedidos por un contrato, es decir, la afiliación de la persona natural al sistema, o el contrato de trabajo entre la administradora pensional y sus trabajadores. </w:t>
      </w:r>
    </w:p>
    <w:p w14:paraId="209CF7E0" w14:textId="77777777" w:rsidR="008D7F67" w:rsidRPr="0038478B" w:rsidRDefault="008D7F67" w:rsidP="0038478B">
      <w:pPr>
        <w:spacing w:line="240" w:lineRule="auto"/>
        <w:ind w:left="426" w:right="420"/>
        <w:rPr>
          <w:rFonts w:cs="Tahoma"/>
          <w:sz w:val="22"/>
          <w:szCs w:val="24"/>
        </w:rPr>
      </w:pPr>
    </w:p>
    <w:p w14:paraId="2259692E" w14:textId="77777777" w:rsidR="008D7F67" w:rsidRPr="0038478B" w:rsidRDefault="008D7F67" w:rsidP="0038478B">
      <w:pPr>
        <w:spacing w:line="240" w:lineRule="auto"/>
        <w:ind w:left="426" w:right="420"/>
        <w:rPr>
          <w:rFonts w:cs="Tahoma"/>
          <w:i/>
          <w:sz w:val="22"/>
          <w:szCs w:val="24"/>
        </w:rPr>
      </w:pPr>
      <w:r w:rsidRPr="0038478B">
        <w:rPr>
          <w:rFonts w:cs="Tahoma"/>
          <w:i/>
          <w:sz w:val="22"/>
          <w:szCs w:val="24"/>
        </w:rPr>
        <w:t>En efecto, la doctrina en voces del ahora Magistrado de la Sala Laboral de la Corte Suprema de Justicia Gerardo Botero Zuluaga en la obra “</w:t>
      </w:r>
      <w:r w:rsidRPr="0038478B">
        <w:rPr>
          <w:rFonts w:cs="Tahoma"/>
          <w:i/>
          <w:iCs/>
          <w:sz w:val="22"/>
          <w:szCs w:val="24"/>
        </w:rPr>
        <w:t xml:space="preserve">Guía Teórica y Práctica del Derecho Procesal del Trabajo y de la Seguridad Social” </w:t>
      </w:r>
      <w:r w:rsidRPr="0038478B">
        <w:rPr>
          <w:rFonts w:cs="Tahoma"/>
          <w:i/>
          <w:sz w:val="22"/>
          <w:szCs w:val="24"/>
        </w:rPr>
        <w:t xml:space="preserve">– 6ª edición – 2019, pp.133, explicó que: </w:t>
      </w:r>
    </w:p>
    <w:p w14:paraId="307132F3" w14:textId="77777777" w:rsidR="008D7F67" w:rsidRPr="0038478B" w:rsidRDefault="008D7F67" w:rsidP="0038478B">
      <w:pPr>
        <w:spacing w:line="240" w:lineRule="auto"/>
        <w:ind w:left="426" w:right="420"/>
        <w:rPr>
          <w:rFonts w:cs="Tahoma"/>
          <w:i/>
          <w:iCs/>
          <w:sz w:val="22"/>
          <w:szCs w:val="24"/>
        </w:rPr>
      </w:pPr>
    </w:p>
    <w:p w14:paraId="261AB1E2" w14:textId="64A5EBC4" w:rsidR="008D7F67" w:rsidRPr="0038478B" w:rsidRDefault="008D7F67" w:rsidP="0038478B">
      <w:pPr>
        <w:spacing w:line="240" w:lineRule="auto"/>
        <w:ind w:left="426" w:right="420"/>
        <w:rPr>
          <w:rFonts w:cs="Tahoma"/>
          <w:bCs/>
          <w:sz w:val="22"/>
          <w:szCs w:val="24"/>
          <w:lang w:val="es-ES_tradnl"/>
        </w:rPr>
      </w:pPr>
      <w:r w:rsidRPr="0038478B">
        <w:rPr>
          <w:rFonts w:cs="Tahoma"/>
          <w:i/>
          <w:iCs/>
          <w:sz w:val="22"/>
          <w:szCs w:val="24"/>
        </w:rPr>
        <w:t>“(…) los contratos que estarían excluidos del conocimiento de la jurisdicción ordinaria laboral, interpretando la norma objeto de estudio, serían aquellos que celebran las entidades que administran el sistema entre sí, o que acuerda con terceras personas para cumplir con su objeto social, de carácter civil, comercial o administrativo, en tanto que por virtud de su naturaleza corresponde a otras autoridades distintas del juez laboral, ya que nada tienen que ver con el contrato de trabajo o el sistema de seguridad social integral”.</w:t>
      </w:r>
      <w:r w:rsidR="00BA44CD" w:rsidRPr="0038478B">
        <w:rPr>
          <w:rStyle w:val="Refdenotaalpie"/>
          <w:rFonts w:cs="Tahoma"/>
          <w:i/>
          <w:iCs/>
          <w:sz w:val="22"/>
          <w:szCs w:val="24"/>
        </w:rPr>
        <w:footnoteReference w:id="3"/>
      </w:r>
    </w:p>
    <w:p w14:paraId="3C784FD0" w14:textId="2124525A" w:rsidR="00F62BA5" w:rsidRPr="005D443C" w:rsidRDefault="00F62BA5" w:rsidP="005D443C">
      <w:pPr>
        <w:spacing w:line="276" w:lineRule="auto"/>
        <w:rPr>
          <w:rFonts w:cs="Tahoma"/>
          <w:b/>
          <w:bCs/>
          <w:szCs w:val="24"/>
          <w:lang w:val="es-ES_tradnl"/>
        </w:rPr>
      </w:pPr>
    </w:p>
    <w:p w14:paraId="09780B2F" w14:textId="3B0C8D3F" w:rsidR="00BA44CD" w:rsidRPr="005D443C" w:rsidRDefault="00BA44CD" w:rsidP="005D443C">
      <w:pPr>
        <w:spacing w:line="276" w:lineRule="auto"/>
        <w:ind w:firstLine="567"/>
        <w:rPr>
          <w:rFonts w:cs="Tahoma"/>
          <w:szCs w:val="24"/>
        </w:rPr>
      </w:pPr>
      <w:r w:rsidRPr="005D443C">
        <w:rPr>
          <w:rFonts w:cs="Tahoma"/>
          <w:szCs w:val="24"/>
        </w:rPr>
        <w:t xml:space="preserve">De lo que viene de decirse, es evidente que este asunto </w:t>
      </w:r>
      <w:r w:rsidR="00C32477" w:rsidRPr="005D443C">
        <w:rPr>
          <w:rFonts w:cs="Tahoma"/>
          <w:szCs w:val="24"/>
        </w:rPr>
        <w:t>donde se pretende</w:t>
      </w:r>
      <w:r w:rsidRPr="005D443C">
        <w:rPr>
          <w:rFonts w:cs="Tahoma"/>
          <w:szCs w:val="24"/>
        </w:rPr>
        <w:t>, de forma principal, el reconocimiento de los perjuicios derivados del supuesto incumplimiento del deber de información y buen consejo</w:t>
      </w:r>
      <w:r w:rsidR="00C32477" w:rsidRPr="005D443C">
        <w:rPr>
          <w:rFonts w:cs="Tahoma"/>
          <w:szCs w:val="24"/>
        </w:rPr>
        <w:t xml:space="preserve"> que se atribuye a la AFP demandada</w:t>
      </w:r>
      <w:r w:rsidRPr="005D443C">
        <w:rPr>
          <w:rFonts w:cs="Tahoma"/>
          <w:szCs w:val="24"/>
        </w:rPr>
        <w:t xml:space="preserve">, corresponde al conocimiento de la </w:t>
      </w:r>
      <w:r w:rsidR="00C32477" w:rsidRPr="005D443C">
        <w:rPr>
          <w:rFonts w:cs="Tahoma"/>
          <w:szCs w:val="24"/>
        </w:rPr>
        <w:t xml:space="preserve">jurisdicción laboral en su especialidad laboral, pues como ya lo ha dicho esta </w:t>
      </w:r>
      <w:r w:rsidR="4FD55797" w:rsidRPr="005D443C">
        <w:rPr>
          <w:rFonts w:cs="Tahoma"/>
          <w:szCs w:val="24"/>
        </w:rPr>
        <w:t>S</w:t>
      </w:r>
      <w:r w:rsidR="00C32477" w:rsidRPr="005D443C">
        <w:rPr>
          <w:rFonts w:cs="Tahoma"/>
          <w:szCs w:val="24"/>
        </w:rPr>
        <w:t>ala, el mismo emerge de una relación entre el afiliado y la entidad administradora de los servicios de la seguridad social. De esta manera también queda resuelta la excepción de “</w:t>
      </w:r>
      <w:r w:rsidR="00C32477" w:rsidRPr="0038478B">
        <w:rPr>
          <w:rFonts w:eastAsia="Calibri" w:cs="Tahoma"/>
          <w:i/>
          <w:iCs/>
          <w:sz w:val="22"/>
          <w:szCs w:val="24"/>
        </w:rPr>
        <w:t>habérsele dado a la demanda el trámite de un proceso diferente al que corresponde</w:t>
      </w:r>
      <w:r w:rsidR="00C32477" w:rsidRPr="005D443C">
        <w:rPr>
          <w:rFonts w:eastAsia="Calibri" w:cs="Tahoma"/>
          <w:i/>
          <w:iCs/>
          <w:szCs w:val="24"/>
        </w:rPr>
        <w:t xml:space="preserve">”, </w:t>
      </w:r>
      <w:r w:rsidR="00C32477" w:rsidRPr="005D443C">
        <w:rPr>
          <w:rFonts w:eastAsia="Calibri" w:cs="Tahoma"/>
          <w:szCs w:val="24"/>
        </w:rPr>
        <w:t xml:space="preserve">dado que la misma estaba </w:t>
      </w:r>
      <w:r w:rsidR="00963E6F" w:rsidRPr="005D443C">
        <w:rPr>
          <w:rFonts w:eastAsia="Calibri" w:cs="Tahoma"/>
          <w:szCs w:val="24"/>
        </w:rPr>
        <w:t xml:space="preserve">dirigida a que el asunto fuera remitido a la especialidad civil para que fuera tramitado bajo el hilo de un proceso verbal de responsabilidad civil </w:t>
      </w:r>
      <w:proofErr w:type="spellStart"/>
      <w:r w:rsidR="00963E6F" w:rsidRPr="005D443C">
        <w:rPr>
          <w:rFonts w:eastAsia="Calibri" w:cs="Tahoma"/>
          <w:szCs w:val="24"/>
        </w:rPr>
        <w:t>extracontratual</w:t>
      </w:r>
      <w:proofErr w:type="spellEnd"/>
      <w:r w:rsidR="00963E6F" w:rsidRPr="005D443C">
        <w:rPr>
          <w:rFonts w:eastAsia="Calibri" w:cs="Tahoma"/>
          <w:szCs w:val="24"/>
        </w:rPr>
        <w:t xml:space="preserve">, empero, como se acaba de decidir, es la especialidad laboral, a través de un proceso ordinario laboral, la llamada a resolver de fondo el litigio. </w:t>
      </w:r>
      <w:r w:rsidR="00C32477" w:rsidRPr="005D443C">
        <w:rPr>
          <w:rFonts w:cs="Tahoma"/>
          <w:szCs w:val="24"/>
        </w:rPr>
        <w:t xml:space="preserve"> </w:t>
      </w:r>
    </w:p>
    <w:p w14:paraId="0DC99D74" w14:textId="3053D243" w:rsidR="45BD1307" w:rsidRPr="005D443C" w:rsidRDefault="45BD1307" w:rsidP="005D443C">
      <w:pPr>
        <w:spacing w:line="276" w:lineRule="auto"/>
        <w:rPr>
          <w:rFonts w:cs="Tahoma"/>
          <w:b/>
          <w:bCs/>
          <w:szCs w:val="24"/>
        </w:rPr>
      </w:pPr>
    </w:p>
    <w:p w14:paraId="6B236556" w14:textId="6D47ACAE" w:rsidR="004375FD" w:rsidRPr="005D443C" w:rsidRDefault="004375FD" w:rsidP="005D443C">
      <w:pPr>
        <w:spacing w:line="276" w:lineRule="auto"/>
        <w:rPr>
          <w:rFonts w:cs="Tahoma"/>
          <w:b/>
          <w:bCs/>
          <w:caps/>
          <w:szCs w:val="24"/>
        </w:rPr>
      </w:pPr>
      <w:r w:rsidRPr="005D443C">
        <w:rPr>
          <w:rFonts w:cs="Tahoma"/>
          <w:b/>
          <w:bCs/>
          <w:caps/>
          <w:szCs w:val="24"/>
        </w:rPr>
        <w:t>6.</w:t>
      </w:r>
      <w:r w:rsidR="3B70C4D6" w:rsidRPr="005D443C">
        <w:rPr>
          <w:rFonts w:cs="Tahoma"/>
          <w:b/>
          <w:bCs/>
          <w:caps/>
          <w:szCs w:val="24"/>
        </w:rPr>
        <w:t>3</w:t>
      </w:r>
      <w:r w:rsidRPr="005D443C">
        <w:rPr>
          <w:rFonts w:cs="Tahoma"/>
          <w:b/>
          <w:bCs/>
          <w:caps/>
          <w:szCs w:val="24"/>
        </w:rPr>
        <w:t>. f</w:t>
      </w:r>
      <w:r w:rsidRPr="005D443C">
        <w:rPr>
          <w:rFonts w:cs="Tahoma"/>
          <w:b/>
          <w:bCs/>
          <w:szCs w:val="24"/>
        </w:rPr>
        <w:t>alta de integración del litisconsorcio necesario.</w:t>
      </w:r>
    </w:p>
    <w:p w14:paraId="3FC1EFAA" w14:textId="77777777" w:rsidR="004F5FEB" w:rsidRPr="005D443C" w:rsidRDefault="004F5FEB" w:rsidP="005D443C">
      <w:pPr>
        <w:spacing w:line="276" w:lineRule="auto"/>
        <w:rPr>
          <w:rFonts w:cs="Tahoma"/>
          <w:b/>
          <w:bCs/>
          <w:szCs w:val="24"/>
          <w:lang w:val="es-ES_tradnl"/>
        </w:rPr>
      </w:pPr>
    </w:p>
    <w:p w14:paraId="220F6702" w14:textId="3B7B3096" w:rsidR="004375FD" w:rsidRPr="005D443C" w:rsidRDefault="008D7F67" w:rsidP="005D443C">
      <w:pPr>
        <w:spacing w:line="276" w:lineRule="auto"/>
        <w:rPr>
          <w:rFonts w:cs="Tahoma"/>
          <w:szCs w:val="24"/>
        </w:rPr>
      </w:pPr>
      <w:r w:rsidRPr="005D443C">
        <w:rPr>
          <w:rFonts w:cs="Tahoma"/>
          <w:szCs w:val="24"/>
        </w:rPr>
        <w:t>P</w:t>
      </w:r>
      <w:r w:rsidR="004F5FEB" w:rsidRPr="005D443C">
        <w:rPr>
          <w:rFonts w:cs="Tahoma"/>
          <w:szCs w:val="24"/>
        </w:rPr>
        <w:t>or disposición legal</w:t>
      </w:r>
      <w:r w:rsidRPr="005D443C">
        <w:rPr>
          <w:rFonts w:cs="Tahoma"/>
          <w:szCs w:val="24"/>
        </w:rPr>
        <w:t xml:space="preserve">, puntualmente por lo señalado en el </w:t>
      </w:r>
      <w:r w:rsidR="004F5FEB" w:rsidRPr="005D443C">
        <w:rPr>
          <w:rFonts w:cs="Tahoma"/>
          <w:szCs w:val="24"/>
        </w:rPr>
        <w:t>Decreto 4712 de 2008, modificado por el Decreto 192 de 2015</w:t>
      </w:r>
      <w:r w:rsidRPr="005D443C">
        <w:rPr>
          <w:rFonts w:cs="Tahoma"/>
          <w:szCs w:val="24"/>
        </w:rPr>
        <w:t>, la OBP</w:t>
      </w:r>
      <w:r w:rsidR="004F5FEB" w:rsidRPr="005D443C">
        <w:rPr>
          <w:rFonts w:cs="Tahoma"/>
          <w:szCs w:val="24"/>
        </w:rPr>
        <w:t xml:space="preserve"> responde</w:t>
      </w:r>
      <w:r w:rsidRPr="005D443C">
        <w:rPr>
          <w:rFonts w:cs="Tahoma"/>
          <w:szCs w:val="24"/>
        </w:rPr>
        <w:t xml:space="preserve"> únicamente</w:t>
      </w:r>
      <w:r w:rsidR="004F5FEB" w:rsidRPr="005D443C">
        <w:rPr>
          <w:rFonts w:cs="Tahoma"/>
          <w:szCs w:val="24"/>
        </w:rPr>
        <w:t xml:space="preserve"> por la Liquidación, Emisión, Expedición, Redención, Pago o Anulación de Bonos Pensionales o Cupones de Bonos Pensionales a cargo de la Nación, procedimientos que se efectúan con base en las solicitudes que al respecto realicen las Administradoras del Sistema General de Pensiones</w:t>
      </w:r>
      <w:r w:rsidRPr="005D443C">
        <w:rPr>
          <w:rFonts w:cs="Tahoma"/>
          <w:szCs w:val="24"/>
        </w:rPr>
        <w:t xml:space="preserve"> en nombre y representación de sus afiliados</w:t>
      </w:r>
      <w:r w:rsidR="004F5FEB" w:rsidRPr="005D443C">
        <w:rPr>
          <w:rFonts w:cs="Tahoma"/>
          <w:szCs w:val="24"/>
        </w:rPr>
        <w:t>, lo que de entrada lleva a concluir que la vinculación de la Oficina de Bonos Pensionales (OBP) del Ministerio de Hacienda y Crédito Público al presente litigio,</w:t>
      </w:r>
      <w:r w:rsidRPr="005D443C">
        <w:rPr>
          <w:rFonts w:cs="Tahoma"/>
          <w:szCs w:val="24"/>
        </w:rPr>
        <w:t xml:space="preserve"> resulta totalmente inoficiosa, pues dicha entidad</w:t>
      </w:r>
      <w:r w:rsidR="004F5FEB" w:rsidRPr="005D443C">
        <w:rPr>
          <w:rFonts w:cs="Tahoma"/>
          <w:szCs w:val="24"/>
        </w:rPr>
        <w:t xml:space="preserve"> no est</w:t>
      </w:r>
      <w:r w:rsidRPr="005D443C">
        <w:rPr>
          <w:rFonts w:cs="Tahoma"/>
          <w:szCs w:val="24"/>
        </w:rPr>
        <w:t>á</w:t>
      </w:r>
      <w:r w:rsidR="004F5FEB" w:rsidRPr="005D443C">
        <w:rPr>
          <w:rFonts w:cs="Tahoma"/>
          <w:szCs w:val="24"/>
        </w:rPr>
        <w:t xml:space="preserve"> facultada legalmente para pronunciarse respecto a qu</w:t>
      </w:r>
      <w:r w:rsidRPr="005D443C">
        <w:rPr>
          <w:rFonts w:cs="Tahoma"/>
          <w:szCs w:val="24"/>
        </w:rPr>
        <w:t>é</w:t>
      </w:r>
      <w:r w:rsidR="004F5FEB" w:rsidRPr="005D443C">
        <w:rPr>
          <w:rFonts w:cs="Tahoma"/>
          <w:szCs w:val="24"/>
        </w:rPr>
        <w:t xml:space="preserve"> derecho debe ser reconocido al demandante,</w:t>
      </w:r>
      <w:r w:rsidR="00963E6F" w:rsidRPr="005D443C">
        <w:rPr>
          <w:rFonts w:cs="Tahoma"/>
          <w:szCs w:val="24"/>
        </w:rPr>
        <w:t xml:space="preserve"> ya</w:t>
      </w:r>
      <w:r w:rsidR="004F5FEB" w:rsidRPr="005D443C">
        <w:rPr>
          <w:rFonts w:cs="Tahoma"/>
          <w:szCs w:val="24"/>
        </w:rPr>
        <w:t xml:space="preserve"> dicha tarea corresponde de manera exclusiva al Fondo con el cual se encuentra afiliado.</w:t>
      </w:r>
      <w:r w:rsidRPr="005D443C">
        <w:rPr>
          <w:rFonts w:cs="Tahoma"/>
          <w:szCs w:val="24"/>
        </w:rPr>
        <w:t xml:space="preserve"> Además, </w:t>
      </w:r>
      <w:r w:rsidRPr="005D443C">
        <w:rPr>
          <w:rFonts w:cs="Tahoma"/>
          <w:szCs w:val="24"/>
        </w:rPr>
        <w:lastRenderedPageBreak/>
        <w:t>la Nación y ningún emisor del bono</w:t>
      </w:r>
      <w:r w:rsidR="00963E6F" w:rsidRPr="005D443C">
        <w:rPr>
          <w:rFonts w:cs="Tahoma"/>
          <w:szCs w:val="24"/>
        </w:rPr>
        <w:t xml:space="preserve"> intervino en los actos objeto de controversia, pues el acto de traslado de régimen solo involucra a la AFP responsable del diligenciamiento del respectivo formulario. </w:t>
      </w:r>
      <w:r w:rsidRPr="005D443C">
        <w:rPr>
          <w:rFonts w:cs="Tahoma"/>
          <w:szCs w:val="24"/>
        </w:rPr>
        <w:t xml:space="preserve"> </w:t>
      </w:r>
    </w:p>
    <w:p w14:paraId="63D604E1" w14:textId="798E5689" w:rsidR="45BD1307" w:rsidRPr="005D443C" w:rsidRDefault="45BD1307" w:rsidP="005D443C">
      <w:pPr>
        <w:spacing w:line="276" w:lineRule="auto"/>
        <w:rPr>
          <w:rFonts w:cs="Tahoma"/>
          <w:szCs w:val="24"/>
        </w:rPr>
      </w:pPr>
    </w:p>
    <w:p w14:paraId="7FE9727F" w14:textId="3A164569" w:rsidR="004F5FEB" w:rsidRPr="005D443C" w:rsidRDefault="00963E6F" w:rsidP="005D443C">
      <w:pPr>
        <w:spacing w:line="276" w:lineRule="auto"/>
        <w:ind w:firstLine="708"/>
        <w:rPr>
          <w:rFonts w:cs="Tahoma"/>
          <w:bCs/>
          <w:szCs w:val="24"/>
        </w:rPr>
      </w:pPr>
      <w:r w:rsidRPr="005D443C">
        <w:rPr>
          <w:rFonts w:cs="Tahoma"/>
          <w:bCs/>
          <w:szCs w:val="24"/>
        </w:rPr>
        <w:t xml:space="preserve">Por todo lo anterior, se confirmará la decisión de primera instancia y se condenará en costas procesales a PORVENIR S.A. en favor de la demandante. Liquídense por el juzgado de origen. </w:t>
      </w:r>
    </w:p>
    <w:p w14:paraId="0E2770EC" w14:textId="77777777" w:rsidR="004F5FEB" w:rsidRPr="005D443C" w:rsidRDefault="004F5FEB" w:rsidP="005D443C">
      <w:pPr>
        <w:spacing w:line="276" w:lineRule="auto"/>
        <w:ind w:firstLine="708"/>
        <w:rPr>
          <w:rFonts w:cs="Tahoma"/>
          <w:bCs/>
          <w:szCs w:val="24"/>
        </w:rPr>
      </w:pPr>
    </w:p>
    <w:p w14:paraId="4CFF5599" w14:textId="1C20BDCD" w:rsidR="00B61C07" w:rsidRPr="005D443C" w:rsidRDefault="00B61C07" w:rsidP="005D443C">
      <w:pPr>
        <w:spacing w:line="276" w:lineRule="auto"/>
        <w:ind w:firstLine="708"/>
        <w:rPr>
          <w:rFonts w:cs="Tahoma"/>
          <w:szCs w:val="24"/>
          <w:lang w:val="es-ES_tradnl"/>
        </w:rPr>
      </w:pPr>
      <w:r w:rsidRPr="005D443C">
        <w:rPr>
          <w:rFonts w:cs="Tahoma"/>
          <w:szCs w:val="24"/>
          <w:lang w:val="es-ES_tradnl"/>
        </w:rPr>
        <w:t xml:space="preserve">En mérito de lo expuesto, </w:t>
      </w:r>
      <w:r w:rsidR="00182B32" w:rsidRPr="005D443C">
        <w:rPr>
          <w:rFonts w:cs="Tahoma"/>
          <w:b/>
          <w:bCs/>
          <w:szCs w:val="24"/>
        </w:rPr>
        <w:t xml:space="preserve">la Sala </w:t>
      </w:r>
      <w:r w:rsidR="003B4039" w:rsidRPr="005D443C">
        <w:rPr>
          <w:rFonts w:cs="Tahoma"/>
          <w:b/>
          <w:bCs/>
          <w:szCs w:val="24"/>
        </w:rPr>
        <w:t xml:space="preserve">Primera </w:t>
      </w:r>
      <w:r w:rsidR="00182B32" w:rsidRPr="005D443C">
        <w:rPr>
          <w:rFonts w:cs="Tahoma"/>
          <w:b/>
          <w:bCs/>
          <w:szCs w:val="24"/>
        </w:rPr>
        <w:t xml:space="preserve">de Decisión </w:t>
      </w:r>
      <w:r w:rsidR="003B4039" w:rsidRPr="005D443C">
        <w:rPr>
          <w:rFonts w:cs="Tahoma"/>
          <w:b/>
          <w:bCs/>
          <w:szCs w:val="24"/>
        </w:rPr>
        <w:t xml:space="preserve">Laboral </w:t>
      </w:r>
      <w:r w:rsidR="00182B32" w:rsidRPr="005D443C">
        <w:rPr>
          <w:rFonts w:cs="Tahoma"/>
          <w:b/>
          <w:bCs/>
          <w:szCs w:val="24"/>
        </w:rPr>
        <w:t>del Tribunal Superior de Distrito Judicial de Pereira – Risaralda-,</w:t>
      </w:r>
    </w:p>
    <w:p w14:paraId="4A84D389" w14:textId="35C7950E" w:rsidR="001A51FC" w:rsidRDefault="001A51FC" w:rsidP="00907C9D">
      <w:pPr>
        <w:spacing w:line="276" w:lineRule="auto"/>
        <w:rPr>
          <w:rFonts w:cs="Tahoma"/>
          <w:szCs w:val="24"/>
          <w:lang w:val="es-CO"/>
        </w:rPr>
      </w:pPr>
    </w:p>
    <w:p w14:paraId="44AE13C6" w14:textId="77777777" w:rsidR="00907C9D" w:rsidRPr="005D443C" w:rsidRDefault="00907C9D" w:rsidP="00907C9D">
      <w:pPr>
        <w:spacing w:line="276" w:lineRule="auto"/>
        <w:rPr>
          <w:rFonts w:cs="Tahoma"/>
          <w:szCs w:val="24"/>
          <w:lang w:val="es-CO"/>
        </w:rPr>
      </w:pPr>
    </w:p>
    <w:p w14:paraId="7A839D7A" w14:textId="2ABE7837" w:rsidR="00B61C07" w:rsidRPr="005D443C" w:rsidRDefault="00B61C07" w:rsidP="005D443C">
      <w:pPr>
        <w:spacing w:line="276" w:lineRule="auto"/>
        <w:ind w:firstLine="708"/>
        <w:jc w:val="center"/>
        <w:rPr>
          <w:rFonts w:cs="Tahoma"/>
          <w:szCs w:val="24"/>
          <w:lang w:val="es-CO"/>
        </w:rPr>
      </w:pPr>
      <w:r w:rsidRPr="005D443C">
        <w:rPr>
          <w:rFonts w:cs="Tahoma"/>
          <w:b/>
          <w:bCs/>
          <w:szCs w:val="24"/>
        </w:rPr>
        <w:t>RESUELVE</w:t>
      </w:r>
    </w:p>
    <w:p w14:paraId="263D5BCA" w14:textId="77777777" w:rsidR="00B61C07" w:rsidRPr="005D443C" w:rsidRDefault="00B61C07" w:rsidP="005D443C">
      <w:pPr>
        <w:spacing w:line="276" w:lineRule="auto"/>
        <w:ind w:firstLine="708"/>
        <w:rPr>
          <w:rFonts w:cs="Tahoma"/>
          <w:szCs w:val="24"/>
          <w:lang w:val="es-CO"/>
        </w:rPr>
      </w:pPr>
      <w:r w:rsidRPr="005D443C">
        <w:rPr>
          <w:rFonts w:cs="Tahoma"/>
          <w:szCs w:val="24"/>
          <w:lang w:val="es-CO"/>
        </w:rPr>
        <w:t> </w:t>
      </w:r>
    </w:p>
    <w:p w14:paraId="6B4D1B0B" w14:textId="3E4D84D5" w:rsidR="003B4039" w:rsidRPr="005D443C" w:rsidRDefault="00B61C07" w:rsidP="005D443C">
      <w:pPr>
        <w:spacing w:line="276" w:lineRule="auto"/>
        <w:ind w:firstLine="708"/>
        <w:rPr>
          <w:rFonts w:cs="Tahoma"/>
          <w:b/>
          <w:bCs/>
          <w:szCs w:val="24"/>
        </w:rPr>
      </w:pPr>
      <w:r w:rsidRPr="005D443C">
        <w:rPr>
          <w:rFonts w:cs="Tahoma"/>
          <w:b/>
          <w:bCs/>
          <w:szCs w:val="24"/>
          <w:u w:val="single"/>
        </w:rPr>
        <w:t>PRIMERO:</w:t>
      </w:r>
      <w:r w:rsidRPr="005D443C">
        <w:rPr>
          <w:rFonts w:cs="Tahoma"/>
          <w:b/>
          <w:bCs/>
          <w:szCs w:val="24"/>
        </w:rPr>
        <w:t xml:space="preserve"> </w:t>
      </w:r>
      <w:r w:rsidR="003B4039" w:rsidRPr="005D443C">
        <w:rPr>
          <w:rFonts w:cs="Tahoma"/>
          <w:b/>
          <w:bCs/>
          <w:iCs/>
          <w:szCs w:val="24"/>
        </w:rPr>
        <w:t xml:space="preserve">CONFIRMAR </w:t>
      </w:r>
      <w:r w:rsidR="003B4039" w:rsidRPr="005D443C">
        <w:rPr>
          <w:rFonts w:cs="Tahoma"/>
          <w:iCs/>
          <w:szCs w:val="24"/>
        </w:rPr>
        <w:t xml:space="preserve">el auto objeto de alzada, proferido por el Juzgado </w:t>
      </w:r>
      <w:r w:rsidR="00E414A4" w:rsidRPr="005D443C">
        <w:rPr>
          <w:rFonts w:cs="Tahoma"/>
          <w:iCs/>
          <w:szCs w:val="24"/>
        </w:rPr>
        <w:t xml:space="preserve">Tercero </w:t>
      </w:r>
      <w:r w:rsidR="00CD53BE" w:rsidRPr="005D443C">
        <w:rPr>
          <w:rFonts w:cs="Tahoma"/>
          <w:iCs/>
          <w:szCs w:val="24"/>
        </w:rPr>
        <w:t>Cuarto</w:t>
      </w:r>
      <w:r w:rsidR="003B4039" w:rsidRPr="005D443C">
        <w:rPr>
          <w:rFonts w:cs="Tahoma"/>
          <w:iCs/>
          <w:szCs w:val="24"/>
        </w:rPr>
        <w:t xml:space="preserve"> del Circuito de Pereira</w:t>
      </w:r>
      <w:r w:rsidR="005E641D" w:rsidRPr="005D443C">
        <w:rPr>
          <w:rFonts w:cs="Tahoma"/>
          <w:iCs/>
          <w:szCs w:val="24"/>
        </w:rPr>
        <w:t xml:space="preserve"> </w:t>
      </w:r>
      <w:r w:rsidR="00CD53BE" w:rsidRPr="005D443C">
        <w:rPr>
          <w:rFonts w:cs="Tahoma"/>
          <w:iCs/>
          <w:szCs w:val="24"/>
        </w:rPr>
        <w:t xml:space="preserve">el </w:t>
      </w:r>
      <w:r w:rsidR="002B1ABA" w:rsidRPr="005D443C">
        <w:rPr>
          <w:rFonts w:cs="Tahoma"/>
          <w:iCs/>
          <w:szCs w:val="24"/>
        </w:rPr>
        <w:t>30</w:t>
      </w:r>
      <w:r w:rsidR="005E641D" w:rsidRPr="005D443C">
        <w:rPr>
          <w:rFonts w:cs="Tahoma"/>
          <w:iCs/>
          <w:szCs w:val="24"/>
        </w:rPr>
        <w:t xml:space="preserve"> de </w:t>
      </w:r>
      <w:r w:rsidR="002B1ABA" w:rsidRPr="005D443C">
        <w:rPr>
          <w:rFonts w:cs="Tahoma"/>
          <w:iCs/>
          <w:szCs w:val="24"/>
        </w:rPr>
        <w:t>enero de 2023</w:t>
      </w:r>
      <w:r w:rsidR="005E641D" w:rsidRPr="005D443C">
        <w:rPr>
          <w:rFonts w:cs="Tahoma"/>
          <w:iCs/>
          <w:szCs w:val="24"/>
        </w:rPr>
        <w:t xml:space="preserve">, a través del cual </w:t>
      </w:r>
      <w:r w:rsidR="00D24503" w:rsidRPr="005D443C">
        <w:rPr>
          <w:rFonts w:cs="Tahoma"/>
          <w:iCs/>
          <w:szCs w:val="24"/>
        </w:rPr>
        <w:t xml:space="preserve">declaró no prosperas </w:t>
      </w:r>
      <w:r w:rsidR="00ED1B1E" w:rsidRPr="005D443C">
        <w:rPr>
          <w:rFonts w:cs="Tahoma"/>
          <w:iCs/>
          <w:szCs w:val="24"/>
        </w:rPr>
        <w:t>la</w:t>
      </w:r>
      <w:r w:rsidR="00D24503" w:rsidRPr="005D443C">
        <w:rPr>
          <w:rFonts w:cs="Tahoma"/>
          <w:iCs/>
          <w:szCs w:val="24"/>
        </w:rPr>
        <w:t>s</w:t>
      </w:r>
      <w:r w:rsidR="00ED1B1E" w:rsidRPr="005D443C">
        <w:rPr>
          <w:rFonts w:cs="Tahoma"/>
          <w:iCs/>
          <w:szCs w:val="24"/>
        </w:rPr>
        <w:t xml:space="preserve"> </w:t>
      </w:r>
      <w:r w:rsidR="007169AD" w:rsidRPr="005D443C">
        <w:rPr>
          <w:rFonts w:cs="Tahoma"/>
          <w:iCs/>
          <w:szCs w:val="24"/>
        </w:rPr>
        <w:t>excepciones previas</w:t>
      </w:r>
      <w:r w:rsidR="00ED1B1E" w:rsidRPr="005D443C">
        <w:rPr>
          <w:rFonts w:cs="Tahoma"/>
          <w:iCs/>
          <w:szCs w:val="24"/>
        </w:rPr>
        <w:t xml:space="preserve"> de </w:t>
      </w:r>
      <w:r w:rsidR="008B4B45" w:rsidRPr="005D443C">
        <w:rPr>
          <w:rFonts w:cs="Tahoma"/>
          <w:iCs/>
          <w:szCs w:val="24"/>
        </w:rPr>
        <w:t>“</w:t>
      </w:r>
      <w:r w:rsidR="00CE13F1" w:rsidRPr="005D443C">
        <w:rPr>
          <w:rFonts w:cs="Tahoma"/>
          <w:iCs/>
          <w:szCs w:val="24"/>
        </w:rPr>
        <w:t>falta de integración del litisconsorcio necesario</w:t>
      </w:r>
      <w:r w:rsidR="008B4B45" w:rsidRPr="005D443C">
        <w:rPr>
          <w:rFonts w:cs="Tahoma"/>
          <w:iCs/>
          <w:szCs w:val="24"/>
        </w:rPr>
        <w:t>”</w:t>
      </w:r>
      <w:r w:rsidR="00CE13F1" w:rsidRPr="005D443C">
        <w:rPr>
          <w:rFonts w:cs="Tahoma"/>
          <w:iCs/>
          <w:szCs w:val="24"/>
        </w:rPr>
        <w:t xml:space="preserve"> y </w:t>
      </w:r>
      <w:r w:rsidR="008B4B45" w:rsidRPr="005D443C">
        <w:rPr>
          <w:rFonts w:cs="Tahoma"/>
          <w:iCs/>
          <w:szCs w:val="24"/>
        </w:rPr>
        <w:t>“</w:t>
      </w:r>
      <w:r w:rsidR="00CE13F1" w:rsidRPr="005D443C">
        <w:rPr>
          <w:rFonts w:cs="Tahoma"/>
          <w:iCs/>
          <w:szCs w:val="24"/>
        </w:rPr>
        <w:t>falta de competencia y habérsele dado la demanda un trámite de un proceso diferente al que corresponde</w:t>
      </w:r>
      <w:r w:rsidR="008B4B45" w:rsidRPr="005D443C">
        <w:rPr>
          <w:rFonts w:cs="Tahoma"/>
          <w:iCs/>
          <w:szCs w:val="24"/>
        </w:rPr>
        <w:t>”</w:t>
      </w:r>
      <w:r w:rsidR="00CE13F1" w:rsidRPr="005D443C">
        <w:rPr>
          <w:rFonts w:cs="Tahoma"/>
          <w:iCs/>
          <w:szCs w:val="24"/>
        </w:rPr>
        <w:t>.</w:t>
      </w:r>
    </w:p>
    <w:p w14:paraId="08136E4F" w14:textId="77777777" w:rsidR="003B4039" w:rsidRPr="005D443C" w:rsidRDefault="003B4039" w:rsidP="005D443C">
      <w:pPr>
        <w:spacing w:line="276" w:lineRule="auto"/>
        <w:ind w:firstLine="708"/>
        <w:rPr>
          <w:rFonts w:cs="Tahoma"/>
          <w:b/>
          <w:bCs/>
          <w:szCs w:val="24"/>
        </w:rPr>
      </w:pPr>
    </w:p>
    <w:p w14:paraId="6C7B832B" w14:textId="5CA6AF93" w:rsidR="003B4039" w:rsidRPr="005D443C" w:rsidRDefault="003B4039" w:rsidP="005D443C">
      <w:pPr>
        <w:spacing w:line="276" w:lineRule="auto"/>
        <w:ind w:firstLine="708"/>
        <w:rPr>
          <w:rFonts w:cs="Tahoma"/>
          <w:szCs w:val="24"/>
        </w:rPr>
      </w:pPr>
      <w:r w:rsidRPr="005D443C">
        <w:rPr>
          <w:rFonts w:cs="Tahoma"/>
          <w:b/>
          <w:bCs/>
          <w:szCs w:val="24"/>
          <w:u w:val="single"/>
        </w:rPr>
        <w:t>SEGUNDO:</w:t>
      </w:r>
      <w:r w:rsidRPr="005D443C">
        <w:rPr>
          <w:rFonts w:cs="Tahoma"/>
          <w:b/>
          <w:bCs/>
          <w:szCs w:val="24"/>
        </w:rPr>
        <w:t xml:space="preserve"> </w:t>
      </w:r>
      <w:r w:rsidRPr="005D443C">
        <w:rPr>
          <w:rFonts w:cs="Tahoma"/>
          <w:szCs w:val="24"/>
        </w:rPr>
        <w:t xml:space="preserve">Costas en esta instancia a cargo </w:t>
      </w:r>
      <w:r w:rsidR="00CD53BE" w:rsidRPr="005D443C">
        <w:rPr>
          <w:rFonts w:cs="Tahoma"/>
          <w:szCs w:val="24"/>
        </w:rPr>
        <w:t xml:space="preserve">de </w:t>
      </w:r>
      <w:r w:rsidR="00C85055" w:rsidRPr="005D443C">
        <w:rPr>
          <w:rFonts w:cs="Tahoma"/>
          <w:szCs w:val="24"/>
        </w:rPr>
        <w:t xml:space="preserve">Porvenir </w:t>
      </w:r>
      <w:r w:rsidR="00CD53BE" w:rsidRPr="005D443C">
        <w:rPr>
          <w:rFonts w:cs="Tahoma"/>
          <w:szCs w:val="24"/>
        </w:rPr>
        <w:t xml:space="preserve">S.A </w:t>
      </w:r>
      <w:r w:rsidRPr="005D443C">
        <w:rPr>
          <w:rFonts w:cs="Tahoma"/>
          <w:szCs w:val="24"/>
        </w:rPr>
        <w:t>a favor de</w:t>
      </w:r>
      <w:r w:rsidR="00C85055" w:rsidRPr="005D443C">
        <w:rPr>
          <w:rFonts w:cs="Tahoma"/>
          <w:szCs w:val="24"/>
        </w:rPr>
        <w:t xml:space="preserve">l </w:t>
      </w:r>
      <w:r w:rsidRPr="005D443C">
        <w:rPr>
          <w:rFonts w:cs="Tahoma"/>
          <w:szCs w:val="24"/>
        </w:rPr>
        <w:t>demandante en un 100%. Liquídense por la secretaría del juzgado de origen.</w:t>
      </w:r>
    </w:p>
    <w:p w14:paraId="2AABD5E5" w14:textId="77777777" w:rsidR="005D443C" w:rsidRPr="005D443C" w:rsidRDefault="005D443C" w:rsidP="005D443C">
      <w:pPr>
        <w:spacing w:line="276" w:lineRule="auto"/>
        <w:rPr>
          <w:rFonts w:eastAsia="Calibri" w:cs="Tahoma"/>
          <w:szCs w:val="24"/>
          <w:lang w:val="es-CO"/>
        </w:rPr>
      </w:pPr>
      <w:bookmarkStart w:id="5" w:name="_Hlk126574973"/>
    </w:p>
    <w:p w14:paraId="1D3974F4" w14:textId="77777777" w:rsidR="005D443C" w:rsidRPr="005D443C" w:rsidRDefault="005D443C" w:rsidP="005D443C">
      <w:pPr>
        <w:spacing w:line="276" w:lineRule="auto"/>
        <w:jc w:val="center"/>
        <w:rPr>
          <w:rFonts w:eastAsia="Tahoma" w:cs="Tahoma"/>
          <w:b/>
          <w:bCs/>
          <w:szCs w:val="24"/>
          <w:lang w:val="es-CO"/>
        </w:rPr>
      </w:pPr>
      <w:r w:rsidRPr="005D443C">
        <w:rPr>
          <w:rFonts w:eastAsia="Tahoma" w:cs="Tahoma"/>
          <w:b/>
          <w:bCs/>
          <w:szCs w:val="24"/>
          <w:lang w:val="es-CO"/>
        </w:rPr>
        <w:t>NOTIFÍQUESE Y CÚMPLASE</w:t>
      </w:r>
    </w:p>
    <w:p w14:paraId="40488869" w14:textId="77777777" w:rsidR="005D443C" w:rsidRPr="005D443C" w:rsidRDefault="005D443C" w:rsidP="005D443C">
      <w:pPr>
        <w:spacing w:line="276" w:lineRule="auto"/>
        <w:rPr>
          <w:rFonts w:eastAsia="Calibri" w:cs="Tahoma"/>
          <w:szCs w:val="24"/>
          <w:lang w:val="es-CO"/>
        </w:rPr>
      </w:pPr>
      <w:r w:rsidRPr="005D443C">
        <w:rPr>
          <w:rFonts w:eastAsia="Calibri" w:cs="Tahoma"/>
          <w:szCs w:val="24"/>
          <w:lang w:val="es-CO"/>
        </w:rPr>
        <w:t xml:space="preserve"> </w:t>
      </w:r>
    </w:p>
    <w:p w14:paraId="39A600D5" w14:textId="77777777" w:rsidR="005D443C" w:rsidRPr="005D443C" w:rsidRDefault="005D443C" w:rsidP="005D443C">
      <w:pPr>
        <w:widowControl w:val="0"/>
        <w:autoSpaceDE w:val="0"/>
        <w:autoSpaceDN w:val="0"/>
        <w:adjustRightInd w:val="0"/>
        <w:spacing w:line="276" w:lineRule="auto"/>
        <w:rPr>
          <w:rFonts w:eastAsia="Times New Roman" w:cs="Tahoma"/>
          <w:szCs w:val="24"/>
          <w:lang w:eastAsia="es-ES"/>
        </w:rPr>
      </w:pPr>
      <w:r w:rsidRPr="005D443C">
        <w:rPr>
          <w:rFonts w:eastAsia="Times New Roman" w:cs="Tahoma"/>
          <w:szCs w:val="24"/>
          <w:lang w:eastAsia="es-ES"/>
        </w:rPr>
        <w:tab/>
        <w:t>La Magistrada ponente,</w:t>
      </w:r>
    </w:p>
    <w:p w14:paraId="307AB94E" w14:textId="77777777" w:rsidR="005D443C" w:rsidRPr="005D443C" w:rsidRDefault="005D443C" w:rsidP="005D443C">
      <w:pPr>
        <w:spacing w:line="276" w:lineRule="auto"/>
        <w:jc w:val="left"/>
        <w:rPr>
          <w:rFonts w:eastAsia="Times New Roman" w:cs="Tahoma"/>
          <w:szCs w:val="24"/>
          <w:lang w:eastAsia="es-ES"/>
        </w:rPr>
      </w:pPr>
    </w:p>
    <w:p w14:paraId="6F23BB93" w14:textId="77777777" w:rsidR="005D443C" w:rsidRPr="005D443C" w:rsidRDefault="005D443C" w:rsidP="005D443C">
      <w:pPr>
        <w:spacing w:line="276" w:lineRule="auto"/>
        <w:jc w:val="left"/>
        <w:rPr>
          <w:rFonts w:eastAsia="Times New Roman" w:cs="Tahoma"/>
          <w:szCs w:val="24"/>
          <w:lang w:eastAsia="es-ES"/>
        </w:rPr>
      </w:pPr>
    </w:p>
    <w:p w14:paraId="48DFF93A" w14:textId="77777777" w:rsidR="005D443C" w:rsidRPr="005D443C" w:rsidRDefault="005D443C" w:rsidP="005D443C">
      <w:pPr>
        <w:spacing w:line="276" w:lineRule="auto"/>
        <w:jc w:val="left"/>
        <w:rPr>
          <w:rFonts w:eastAsia="Times New Roman" w:cs="Tahoma"/>
          <w:szCs w:val="24"/>
          <w:lang w:eastAsia="es-ES"/>
        </w:rPr>
      </w:pPr>
    </w:p>
    <w:p w14:paraId="5369059A" w14:textId="77777777" w:rsidR="005D443C" w:rsidRPr="005D443C" w:rsidRDefault="005D443C" w:rsidP="005D443C">
      <w:pPr>
        <w:keepNext/>
        <w:spacing w:line="276" w:lineRule="auto"/>
        <w:jc w:val="center"/>
        <w:outlineLvl w:val="2"/>
        <w:rPr>
          <w:rFonts w:eastAsia="Times New Roman" w:cs="Tahoma"/>
          <w:b/>
          <w:bCs/>
          <w:szCs w:val="24"/>
          <w:lang w:eastAsia="es-ES"/>
        </w:rPr>
      </w:pPr>
      <w:r w:rsidRPr="005D443C">
        <w:rPr>
          <w:rFonts w:eastAsia="Times New Roman" w:cs="Tahoma"/>
          <w:b/>
          <w:bCs/>
          <w:szCs w:val="24"/>
          <w:lang w:eastAsia="es-ES"/>
        </w:rPr>
        <w:t>ANA LUCÍA CAICEDO CALDERÓN</w:t>
      </w:r>
    </w:p>
    <w:p w14:paraId="7F08D57C" w14:textId="77777777" w:rsidR="005D443C" w:rsidRPr="005D443C" w:rsidRDefault="005D443C" w:rsidP="005D443C">
      <w:pPr>
        <w:spacing w:line="276" w:lineRule="auto"/>
        <w:jc w:val="left"/>
        <w:rPr>
          <w:rFonts w:eastAsia="Times New Roman" w:cs="Tahoma"/>
          <w:szCs w:val="24"/>
          <w:lang w:eastAsia="es-ES"/>
        </w:rPr>
      </w:pPr>
    </w:p>
    <w:p w14:paraId="10F2EF82" w14:textId="77777777" w:rsidR="005D443C" w:rsidRPr="005D443C" w:rsidRDefault="005D443C" w:rsidP="005D443C">
      <w:pPr>
        <w:spacing w:line="276" w:lineRule="auto"/>
        <w:ind w:firstLine="708"/>
        <w:jc w:val="left"/>
        <w:rPr>
          <w:rFonts w:eastAsia="Times New Roman" w:cs="Tahoma"/>
          <w:szCs w:val="24"/>
          <w:lang w:eastAsia="es-ES"/>
        </w:rPr>
      </w:pPr>
      <w:bookmarkStart w:id="6" w:name="_Hlk62478330"/>
      <w:r w:rsidRPr="005D443C">
        <w:rPr>
          <w:rFonts w:eastAsia="Times New Roman" w:cs="Tahoma"/>
          <w:szCs w:val="24"/>
          <w:lang w:eastAsia="es-ES"/>
        </w:rPr>
        <w:t>La Magistrada y el Magistrado,</w:t>
      </w:r>
    </w:p>
    <w:p w14:paraId="52DB12A3" w14:textId="77777777" w:rsidR="005D443C" w:rsidRPr="005D443C" w:rsidRDefault="005D443C" w:rsidP="005D443C">
      <w:pPr>
        <w:spacing w:line="276" w:lineRule="auto"/>
        <w:jc w:val="left"/>
        <w:rPr>
          <w:rFonts w:eastAsia="Times New Roman" w:cs="Tahoma"/>
          <w:szCs w:val="24"/>
          <w:lang w:eastAsia="es-ES"/>
        </w:rPr>
      </w:pPr>
    </w:p>
    <w:p w14:paraId="3966CAD6" w14:textId="77777777" w:rsidR="005D443C" w:rsidRPr="005D443C" w:rsidRDefault="005D443C" w:rsidP="005D443C">
      <w:pPr>
        <w:spacing w:line="276" w:lineRule="auto"/>
        <w:jc w:val="left"/>
        <w:rPr>
          <w:rFonts w:eastAsia="Times New Roman" w:cs="Tahoma"/>
          <w:szCs w:val="24"/>
          <w:lang w:eastAsia="es-ES"/>
        </w:rPr>
      </w:pPr>
    </w:p>
    <w:p w14:paraId="3780427E" w14:textId="77777777" w:rsidR="005D443C" w:rsidRPr="005D443C" w:rsidRDefault="005D443C" w:rsidP="005D443C">
      <w:pPr>
        <w:spacing w:line="276" w:lineRule="auto"/>
        <w:jc w:val="left"/>
        <w:rPr>
          <w:rFonts w:eastAsia="Times New Roman" w:cs="Tahoma"/>
          <w:szCs w:val="24"/>
          <w:lang w:eastAsia="es-ES"/>
        </w:rPr>
      </w:pPr>
    </w:p>
    <w:p w14:paraId="60F57866" w14:textId="2D4E400C" w:rsidR="00E2365C" w:rsidRPr="005D443C" w:rsidRDefault="005D443C" w:rsidP="005D443C">
      <w:pPr>
        <w:spacing w:line="276" w:lineRule="auto"/>
        <w:rPr>
          <w:rFonts w:eastAsia="Calibri" w:cs="Tahoma"/>
          <w:szCs w:val="24"/>
        </w:rPr>
      </w:pPr>
      <w:r w:rsidRPr="005D443C">
        <w:rPr>
          <w:rFonts w:eastAsia="Times New Roman" w:cs="Tahoma"/>
          <w:b/>
          <w:bCs/>
          <w:szCs w:val="24"/>
          <w:lang w:eastAsia="es-ES"/>
        </w:rPr>
        <w:t>OLGA LUCÍA HOYOS SEPÚLVEDA</w:t>
      </w:r>
      <w:r w:rsidRPr="005D443C">
        <w:rPr>
          <w:rFonts w:eastAsia="Times New Roman" w:cs="Tahoma"/>
          <w:b/>
          <w:bCs/>
          <w:szCs w:val="24"/>
          <w:lang w:eastAsia="es-ES"/>
        </w:rPr>
        <w:tab/>
      </w:r>
      <w:r w:rsidRPr="005D443C">
        <w:rPr>
          <w:rFonts w:eastAsia="Times New Roman" w:cs="Tahoma"/>
          <w:b/>
          <w:bCs/>
          <w:szCs w:val="24"/>
          <w:lang w:eastAsia="es-ES"/>
        </w:rPr>
        <w:tab/>
        <w:t>GERMÁN DARÍO GÓEZ VINASCO</w:t>
      </w:r>
      <w:bookmarkEnd w:id="5"/>
      <w:bookmarkEnd w:id="6"/>
      <w:bookmarkEnd w:id="1"/>
    </w:p>
    <w:sectPr w:rsidR="00E2365C" w:rsidRPr="005D443C" w:rsidSect="005D443C">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1037" w14:textId="77777777" w:rsidR="006F10FA" w:rsidRDefault="006F10FA" w:rsidP="00B02A64">
      <w:pPr>
        <w:spacing w:line="240" w:lineRule="auto"/>
      </w:pPr>
      <w:r>
        <w:separator/>
      </w:r>
    </w:p>
  </w:endnote>
  <w:endnote w:type="continuationSeparator" w:id="0">
    <w:p w14:paraId="30328BDF" w14:textId="77777777" w:rsidR="006F10FA" w:rsidRDefault="006F10FA" w:rsidP="00B0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E9914" w14:textId="77777777" w:rsidR="006F10FA" w:rsidRDefault="006F10FA" w:rsidP="00B02A64">
      <w:pPr>
        <w:spacing w:line="240" w:lineRule="auto"/>
      </w:pPr>
      <w:r>
        <w:separator/>
      </w:r>
    </w:p>
  </w:footnote>
  <w:footnote w:type="continuationSeparator" w:id="0">
    <w:p w14:paraId="4B709857" w14:textId="77777777" w:rsidR="006F10FA" w:rsidRDefault="006F10FA" w:rsidP="00B02A64">
      <w:pPr>
        <w:spacing w:line="240" w:lineRule="auto"/>
      </w:pPr>
      <w:r>
        <w:continuationSeparator/>
      </w:r>
    </w:p>
  </w:footnote>
  <w:footnote w:id="1">
    <w:p w14:paraId="2431D720" w14:textId="4503D18D" w:rsidR="00C7349A" w:rsidRPr="0038478B" w:rsidRDefault="00C7349A" w:rsidP="0038478B">
      <w:pPr>
        <w:pStyle w:val="Textonotapie"/>
        <w:rPr>
          <w:rFonts w:ascii="Arial" w:hAnsi="Arial" w:cs="Arial"/>
          <w:sz w:val="18"/>
        </w:rPr>
      </w:pPr>
      <w:r w:rsidRPr="0038478B">
        <w:rPr>
          <w:rStyle w:val="Refdenotaalpie"/>
          <w:rFonts w:ascii="Arial" w:hAnsi="Arial" w:cs="Arial"/>
          <w:sz w:val="18"/>
        </w:rPr>
        <w:footnoteRef/>
      </w:r>
      <w:r w:rsidRPr="0038478B">
        <w:rPr>
          <w:rFonts w:ascii="Arial" w:hAnsi="Arial" w:cs="Arial"/>
          <w:sz w:val="18"/>
        </w:rPr>
        <w:t xml:space="preserve"> Archivo 1</w:t>
      </w:r>
      <w:r w:rsidR="00EE3B0D" w:rsidRPr="0038478B">
        <w:rPr>
          <w:rFonts w:ascii="Arial" w:hAnsi="Arial" w:cs="Arial"/>
          <w:sz w:val="18"/>
        </w:rPr>
        <w:t>8</w:t>
      </w:r>
      <w:r w:rsidRPr="0038478B">
        <w:rPr>
          <w:rFonts w:ascii="Arial" w:hAnsi="Arial" w:cs="Arial"/>
          <w:sz w:val="18"/>
        </w:rPr>
        <w:t xml:space="preserve"> cuaderno de primera instancia.</w:t>
      </w:r>
    </w:p>
  </w:footnote>
  <w:footnote w:id="2">
    <w:p w14:paraId="4EA6D913" w14:textId="3ECDA25F" w:rsidR="008F708D" w:rsidRPr="0038478B" w:rsidRDefault="008F708D" w:rsidP="0038478B">
      <w:pPr>
        <w:pStyle w:val="Textonotapie"/>
        <w:rPr>
          <w:rFonts w:ascii="Arial" w:hAnsi="Arial" w:cs="Arial"/>
          <w:sz w:val="18"/>
        </w:rPr>
      </w:pPr>
      <w:r w:rsidRPr="0038478B">
        <w:rPr>
          <w:rStyle w:val="Refdenotaalpie"/>
          <w:rFonts w:ascii="Arial" w:hAnsi="Arial" w:cs="Arial"/>
          <w:sz w:val="18"/>
        </w:rPr>
        <w:footnoteRef/>
      </w:r>
      <w:r w:rsidRPr="0038478B">
        <w:rPr>
          <w:rFonts w:ascii="Arial" w:hAnsi="Arial" w:cs="Arial"/>
          <w:sz w:val="18"/>
        </w:rPr>
        <w:t xml:space="preserve"> Al respecto, se pueden consultar, entre otras providencias, las siguientes: </w:t>
      </w:r>
      <w:r w:rsidRPr="0038478B">
        <w:rPr>
          <w:rFonts w:ascii="Arial" w:hAnsi="Arial" w:cs="Arial"/>
          <w:sz w:val="18"/>
          <w:shd w:val="clear" w:color="auto" w:fill="FFFFFF"/>
        </w:rPr>
        <w:t>Consejo de Estado, Sección Segunda, Subsección “B”, sentencia 1822-2020 de 2021, Corte Suprema de Justicia, Sala Plena, sentencia APL2642-2017 de 2017 y Corte Constitucional, sentencias C-111 de 2000 y C-1027 de 2002.</w:t>
      </w:r>
    </w:p>
  </w:footnote>
  <w:footnote w:id="3">
    <w:p w14:paraId="4C52999D" w14:textId="311A983A" w:rsidR="00BA44CD" w:rsidRDefault="00BA44CD" w:rsidP="0038478B">
      <w:pPr>
        <w:pStyle w:val="Textonotapie"/>
      </w:pPr>
      <w:r w:rsidRPr="0038478B">
        <w:rPr>
          <w:rStyle w:val="Refdenotaalpie"/>
          <w:rFonts w:ascii="Arial" w:hAnsi="Arial" w:cs="Arial"/>
          <w:sz w:val="18"/>
        </w:rPr>
        <w:footnoteRef/>
      </w:r>
      <w:r w:rsidRPr="0038478B">
        <w:rPr>
          <w:rFonts w:ascii="Arial" w:hAnsi="Arial" w:cs="Arial"/>
          <w:sz w:val="18"/>
        </w:rPr>
        <w:t xml:space="preserve"> Auto del 22 de febrero de 2023, Rad. 03-2021-00201, Sala de Decisión Laboral del Tribunal Superior del Distrito Judicial de Pereira, M.P. Olga Lucía Hoyos Sepúlveda.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B991" w14:textId="1BAADD30" w:rsidR="00723511" w:rsidRPr="00977454" w:rsidRDefault="00723511" w:rsidP="00977454">
    <w:pPr>
      <w:tabs>
        <w:tab w:val="left" w:pos="993"/>
      </w:tabs>
      <w:spacing w:line="240" w:lineRule="auto"/>
      <w:ind w:left="1134" w:hanging="1134"/>
      <w:rPr>
        <w:rFonts w:ascii="Arial" w:eastAsia="Times New Roman" w:hAnsi="Arial" w:cs="Arial"/>
        <w:sz w:val="18"/>
        <w:szCs w:val="18"/>
        <w:lang w:eastAsia="es-ES"/>
      </w:rPr>
    </w:pPr>
    <w:r w:rsidRPr="00977454">
      <w:rPr>
        <w:rFonts w:ascii="Arial" w:eastAsia="Times New Roman" w:hAnsi="Arial" w:cs="Arial"/>
        <w:sz w:val="18"/>
        <w:szCs w:val="18"/>
        <w:lang w:eastAsia="es-ES"/>
      </w:rPr>
      <w:t>Radicación No.:</w:t>
    </w:r>
    <w:r w:rsidR="00977454">
      <w:rPr>
        <w:rFonts w:ascii="Arial" w:eastAsia="Times New Roman" w:hAnsi="Arial" w:cs="Arial"/>
        <w:sz w:val="18"/>
        <w:szCs w:val="18"/>
        <w:lang w:eastAsia="es-ES"/>
      </w:rPr>
      <w:tab/>
    </w:r>
    <w:r w:rsidRPr="00977454">
      <w:rPr>
        <w:rFonts w:ascii="Arial" w:eastAsia="Times New Roman" w:hAnsi="Arial" w:cs="Arial"/>
        <w:sz w:val="18"/>
        <w:szCs w:val="18"/>
        <w:lang w:eastAsia="es-ES"/>
      </w:rPr>
      <w:t>66001-31-05-003-2021-00332-01</w:t>
    </w:r>
  </w:p>
  <w:p w14:paraId="65F87DB9" w14:textId="369235A5" w:rsidR="00723511" w:rsidRPr="00977454" w:rsidRDefault="00723511" w:rsidP="00977454">
    <w:pPr>
      <w:tabs>
        <w:tab w:val="left" w:pos="993"/>
      </w:tabs>
      <w:spacing w:line="240" w:lineRule="auto"/>
      <w:ind w:left="1134" w:hanging="1134"/>
      <w:rPr>
        <w:rFonts w:ascii="Arial" w:eastAsia="Times New Roman" w:hAnsi="Arial" w:cs="Arial"/>
        <w:sz w:val="18"/>
        <w:szCs w:val="18"/>
        <w:lang w:eastAsia="es-ES"/>
      </w:rPr>
    </w:pPr>
    <w:r w:rsidRPr="00977454">
      <w:rPr>
        <w:rFonts w:ascii="Arial" w:eastAsia="Times New Roman" w:hAnsi="Arial" w:cs="Arial"/>
        <w:sz w:val="18"/>
        <w:szCs w:val="18"/>
        <w:lang w:eastAsia="es-ES"/>
      </w:rPr>
      <w:t>Demandante:</w:t>
    </w:r>
    <w:r w:rsidR="00977454">
      <w:rPr>
        <w:rFonts w:ascii="Arial" w:eastAsia="Times New Roman" w:hAnsi="Arial" w:cs="Arial"/>
        <w:sz w:val="18"/>
        <w:szCs w:val="18"/>
        <w:lang w:eastAsia="es-ES"/>
      </w:rPr>
      <w:tab/>
    </w:r>
    <w:r w:rsidR="00977454">
      <w:rPr>
        <w:rFonts w:ascii="Arial" w:eastAsia="Times New Roman" w:hAnsi="Arial" w:cs="Arial"/>
        <w:sz w:val="18"/>
        <w:szCs w:val="18"/>
        <w:lang w:eastAsia="es-ES"/>
      </w:rPr>
      <w:tab/>
    </w:r>
    <w:r w:rsidRPr="00977454">
      <w:rPr>
        <w:rFonts w:ascii="Arial" w:eastAsia="Times New Roman" w:hAnsi="Arial" w:cs="Arial"/>
        <w:sz w:val="18"/>
        <w:szCs w:val="18"/>
        <w:lang w:eastAsia="es-ES"/>
      </w:rPr>
      <w:t>Carlos Octavio Gómez Ballesteros</w:t>
    </w:r>
  </w:p>
  <w:p w14:paraId="5DE83EA9" w14:textId="2220D289" w:rsidR="006F0BF1" w:rsidRPr="00977454" w:rsidRDefault="00723511" w:rsidP="00977454">
    <w:pPr>
      <w:tabs>
        <w:tab w:val="left" w:pos="993"/>
      </w:tabs>
      <w:spacing w:line="240" w:lineRule="auto"/>
      <w:ind w:left="1134" w:hanging="1134"/>
      <w:rPr>
        <w:rFonts w:ascii="Arial" w:eastAsia="Times New Roman" w:hAnsi="Arial" w:cs="Arial"/>
        <w:sz w:val="18"/>
        <w:szCs w:val="18"/>
        <w:lang w:eastAsia="es-ES"/>
      </w:rPr>
    </w:pPr>
    <w:r w:rsidRPr="00977454">
      <w:rPr>
        <w:rFonts w:ascii="Arial" w:eastAsia="Times New Roman" w:hAnsi="Arial" w:cs="Arial"/>
        <w:sz w:val="18"/>
        <w:szCs w:val="18"/>
        <w:lang w:eastAsia="es-ES"/>
      </w:rPr>
      <w:t>Demandado:</w:t>
    </w:r>
    <w:r w:rsidR="00977454">
      <w:rPr>
        <w:rFonts w:ascii="Arial" w:eastAsia="Times New Roman" w:hAnsi="Arial" w:cs="Arial"/>
        <w:sz w:val="18"/>
        <w:szCs w:val="18"/>
        <w:lang w:eastAsia="es-ES"/>
      </w:rPr>
      <w:tab/>
    </w:r>
    <w:r w:rsidR="00977454">
      <w:rPr>
        <w:rFonts w:ascii="Arial" w:eastAsia="Times New Roman" w:hAnsi="Arial" w:cs="Arial"/>
        <w:sz w:val="18"/>
        <w:szCs w:val="18"/>
        <w:lang w:eastAsia="es-ES"/>
      </w:rPr>
      <w:tab/>
    </w:r>
    <w:r w:rsidR="00977454" w:rsidRPr="00977454">
      <w:rPr>
        <w:rFonts w:ascii="Arial" w:eastAsia="Times New Roman" w:hAnsi="Arial" w:cs="Arial"/>
        <w:sz w:val="18"/>
        <w:szCs w:val="18"/>
        <w:lang w:eastAsia="es-ES"/>
      </w:rPr>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FCB"/>
    <w:multiLevelType w:val="hybridMultilevel"/>
    <w:tmpl w:val="562EAB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9935E68"/>
    <w:multiLevelType w:val="hybridMultilevel"/>
    <w:tmpl w:val="F1CA6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3"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4" w15:restartNumberingAfterBreak="0">
    <w:nsid w:val="58C677BD"/>
    <w:multiLevelType w:val="hybridMultilevel"/>
    <w:tmpl w:val="A958383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682E0465"/>
    <w:multiLevelType w:val="hybridMultilevel"/>
    <w:tmpl w:val="2F88025E"/>
    <w:lvl w:ilvl="0" w:tplc="2C0E5C94">
      <w:start w:val="1"/>
      <w:numFmt w:val="decimal"/>
      <w:lvlText w:val="(%1)"/>
      <w:lvlJc w:val="lef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6" w15:restartNumberingAfterBreak="0">
    <w:nsid w:val="683219C6"/>
    <w:multiLevelType w:val="hybridMultilevel"/>
    <w:tmpl w:val="557A891E"/>
    <w:lvl w:ilvl="0" w:tplc="D1A40C4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7"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8"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9" w15:restartNumberingAfterBreak="0">
    <w:nsid w:val="7C7D0D40"/>
    <w:multiLevelType w:val="hybridMultilevel"/>
    <w:tmpl w:val="5C4E8E14"/>
    <w:lvl w:ilvl="0" w:tplc="06F8BF16">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3"/>
  </w:num>
  <w:num w:numId="2">
    <w:abstractNumId w:val="4"/>
  </w:num>
  <w:num w:numId="3">
    <w:abstractNumId w:val="8"/>
  </w:num>
  <w:num w:numId="4">
    <w:abstractNumId w:val="6"/>
  </w:num>
  <w:num w:numId="5">
    <w:abstractNumId w:val="2"/>
  </w:num>
  <w:num w:numId="6">
    <w:abstractNumId w:val="7"/>
  </w:num>
  <w:num w:numId="7">
    <w:abstractNumId w:val="0"/>
  </w:num>
  <w:num w:numId="8">
    <w:abstractNumId w:val="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DD1"/>
    <w:rsid w:val="00011AED"/>
    <w:rsid w:val="0001298F"/>
    <w:rsid w:val="00022F2B"/>
    <w:rsid w:val="00026400"/>
    <w:rsid w:val="00031856"/>
    <w:rsid w:val="000319B9"/>
    <w:rsid w:val="000417F2"/>
    <w:rsid w:val="00060615"/>
    <w:rsid w:val="00062B04"/>
    <w:rsid w:val="00062C8C"/>
    <w:rsid w:val="00063258"/>
    <w:rsid w:val="000635A5"/>
    <w:rsid w:val="00070944"/>
    <w:rsid w:val="00074326"/>
    <w:rsid w:val="000762C0"/>
    <w:rsid w:val="00077432"/>
    <w:rsid w:val="00083150"/>
    <w:rsid w:val="0009113A"/>
    <w:rsid w:val="000969B5"/>
    <w:rsid w:val="000A120A"/>
    <w:rsid w:val="000A2046"/>
    <w:rsid w:val="000A30B6"/>
    <w:rsid w:val="000A69A0"/>
    <w:rsid w:val="000A77D7"/>
    <w:rsid w:val="000B265E"/>
    <w:rsid w:val="000B26DC"/>
    <w:rsid w:val="000B508D"/>
    <w:rsid w:val="000B7B34"/>
    <w:rsid w:val="000C6F0F"/>
    <w:rsid w:val="000D350C"/>
    <w:rsid w:val="000D3625"/>
    <w:rsid w:val="000D6549"/>
    <w:rsid w:val="000E2B56"/>
    <w:rsid w:val="000E434E"/>
    <w:rsid w:val="000E60DA"/>
    <w:rsid w:val="000F2058"/>
    <w:rsid w:val="000F75D2"/>
    <w:rsid w:val="001002F8"/>
    <w:rsid w:val="001036DE"/>
    <w:rsid w:val="001065C6"/>
    <w:rsid w:val="00106600"/>
    <w:rsid w:val="00106882"/>
    <w:rsid w:val="0011734C"/>
    <w:rsid w:val="00121598"/>
    <w:rsid w:val="00124421"/>
    <w:rsid w:val="00124DAE"/>
    <w:rsid w:val="00125508"/>
    <w:rsid w:val="00130035"/>
    <w:rsid w:val="00133DD4"/>
    <w:rsid w:val="001364C9"/>
    <w:rsid w:val="00136D41"/>
    <w:rsid w:val="00137401"/>
    <w:rsid w:val="00143080"/>
    <w:rsid w:val="001501E7"/>
    <w:rsid w:val="00151EDC"/>
    <w:rsid w:val="001521F5"/>
    <w:rsid w:val="00152A55"/>
    <w:rsid w:val="00162479"/>
    <w:rsid w:val="00163F73"/>
    <w:rsid w:val="00165A6D"/>
    <w:rsid w:val="00167273"/>
    <w:rsid w:val="00176080"/>
    <w:rsid w:val="00180036"/>
    <w:rsid w:val="00181719"/>
    <w:rsid w:val="001819FD"/>
    <w:rsid w:val="00181FA3"/>
    <w:rsid w:val="0018259A"/>
    <w:rsid w:val="00182B32"/>
    <w:rsid w:val="00183457"/>
    <w:rsid w:val="00183C1B"/>
    <w:rsid w:val="00186526"/>
    <w:rsid w:val="00190C02"/>
    <w:rsid w:val="0019139F"/>
    <w:rsid w:val="00193544"/>
    <w:rsid w:val="001A4944"/>
    <w:rsid w:val="001A4E68"/>
    <w:rsid w:val="001A51FC"/>
    <w:rsid w:val="001A60DF"/>
    <w:rsid w:val="001A780E"/>
    <w:rsid w:val="001B0E68"/>
    <w:rsid w:val="001B1C53"/>
    <w:rsid w:val="001B43E1"/>
    <w:rsid w:val="001B7519"/>
    <w:rsid w:val="001C2627"/>
    <w:rsid w:val="001C5F29"/>
    <w:rsid w:val="001C7DF3"/>
    <w:rsid w:val="001D3ECB"/>
    <w:rsid w:val="001D7A78"/>
    <w:rsid w:val="001E157C"/>
    <w:rsid w:val="001E54D6"/>
    <w:rsid w:val="001E5FB7"/>
    <w:rsid w:val="001E71F9"/>
    <w:rsid w:val="001E7B06"/>
    <w:rsid w:val="0020401A"/>
    <w:rsid w:val="00207AEB"/>
    <w:rsid w:val="00211774"/>
    <w:rsid w:val="00212F4F"/>
    <w:rsid w:val="00213F70"/>
    <w:rsid w:val="00214C20"/>
    <w:rsid w:val="00222F3A"/>
    <w:rsid w:val="002247C5"/>
    <w:rsid w:val="00227BBB"/>
    <w:rsid w:val="00230923"/>
    <w:rsid w:val="00230A4A"/>
    <w:rsid w:val="0023223A"/>
    <w:rsid w:val="00235052"/>
    <w:rsid w:val="00237FBF"/>
    <w:rsid w:val="002409E5"/>
    <w:rsid w:val="00242125"/>
    <w:rsid w:val="00243DEB"/>
    <w:rsid w:val="002441C8"/>
    <w:rsid w:val="002443AE"/>
    <w:rsid w:val="00252964"/>
    <w:rsid w:val="00254B12"/>
    <w:rsid w:val="00255789"/>
    <w:rsid w:val="002618AE"/>
    <w:rsid w:val="00262402"/>
    <w:rsid w:val="00263CE9"/>
    <w:rsid w:val="00264C6A"/>
    <w:rsid w:val="0026635C"/>
    <w:rsid w:val="00266B7F"/>
    <w:rsid w:val="00267B19"/>
    <w:rsid w:val="00270449"/>
    <w:rsid w:val="00271EE9"/>
    <w:rsid w:val="002731BD"/>
    <w:rsid w:val="002750A8"/>
    <w:rsid w:val="002800D8"/>
    <w:rsid w:val="00280A51"/>
    <w:rsid w:val="00285131"/>
    <w:rsid w:val="0028549B"/>
    <w:rsid w:val="00286B5A"/>
    <w:rsid w:val="002913D8"/>
    <w:rsid w:val="00293743"/>
    <w:rsid w:val="002A19C0"/>
    <w:rsid w:val="002A21FE"/>
    <w:rsid w:val="002A34F0"/>
    <w:rsid w:val="002A3F95"/>
    <w:rsid w:val="002A55BC"/>
    <w:rsid w:val="002A6049"/>
    <w:rsid w:val="002B0190"/>
    <w:rsid w:val="002B08E8"/>
    <w:rsid w:val="002B1ABA"/>
    <w:rsid w:val="002B296B"/>
    <w:rsid w:val="002C1636"/>
    <w:rsid w:val="002C229A"/>
    <w:rsid w:val="002C25F3"/>
    <w:rsid w:val="002C2CBF"/>
    <w:rsid w:val="002C2D50"/>
    <w:rsid w:val="002C3499"/>
    <w:rsid w:val="002C4FC4"/>
    <w:rsid w:val="002C541E"/>
    <w:rsid w:val="002D60F4"/>
    <w:rsid w:val="002D7E41"/>
    <w:rsid w:val="002E031B"/>
    <w:rsid w:val="002E41A3"/>
    <w:rsid w:val="002E5149"/>
    <w:rsid w:val="002E76FA"/>
    <w:rsid w:val="002F698F"/>
    <w:rsid w:val="00301CF7"/>
    <w:rsid w:val="00304B91"/>
    <w:rsid w:val="00305DC2"/>
    <w:rsid w:val="00315E00"/>
    <w:rsid w:val="003213D0"/>
    <w:rsid w:val="003221C2"/>
    <w:rsid w:val="003254F1"/>
    <w:rsid w:val="003266DC"/>
    <w:rsid w:val="00326C3F"/>
    <w:rsid w:val="00327100"/>
    <w:rsid w:val="0032713F"/>
    <w:rsid w:val="00330405"/>
    <w:rsid w:val="00330F13"/>
    <w:rsid w:val="00332F92"/>
    <w:rsid w:val="003344C0"/>
    <w:rsid w:val="00337476"/>
    <w:rsid w:val="00342FA5"/>
    <w:rsid w:val="0034501E"/>
    <w:rsid w:val="0035190D"/>
    <w:rsid w:val="0035531C"/>
    <w:rsid w:val="00361B65"/>
    <w:rsid w:val="00362C58"/>
    <w:rsid w:val="00362E6F"/>
    <w:rsid w:val="00364DB8"/>
    <w:rsid w:val="00370355"/>
    <w:rsid w:val="00370613"/>
    <w:rsid w:val="00372F0B"/>
    <w:rsid w:val="00373FE0"/>
    <w:rsid w:val="0037418A"/>
    <w:rsid w:val="00374BCB"/>
    <w:rsid w:val="00375FA2"/>
    <w:rsid w:val="00380B7F"/>
    <w:rsid w:val="003825A2"/>
    <w:rsid w:val="003825B4"/>
    <w:rsid w:val="0038478B"/>
    <w:rsid w:val="00384AD2"/>
    <w:rsid w:val="003854CC"/>
    <w:rsid w:val="003870EC"/>
    <w:rsid w:val="0039438D"/>
    <w:rsid w:val="003975D4"/>
    <w:rsid w:val="0039792C"/>
    <w:rsid w:val="003A3DB6"/>
    <w:rsid w:val="003A7207"/>
    <w:rsid w:val="003B0567"/>
    <w:rsid w:val="003B4039"/>
    <w:rsid w:val="003B4080"/>
    <w:rsid w:val="003B446A"/>
    <w:rsid w:val="003B6831"/>
    <w:rsid w:val="003B6A87"/>
    <w:rsid w:val="003B6BC4"/>
    <w:rsid w:val="003C05F1"/>
    <w:rsid w:val="003C208A"/>
    <w:rsid w:val="003C666D"/>
    <w:rsid w:val="003D1268"/>
    <w:rsid w:val="003D22B6"/>
    <w:rsid w:val="003D5E61"/>
    <w:rsid w:val="003E0B75"/>
    <w:rsid w:val="003E3CA7"/>
    <w:rsid w:val="003E3E24"/>
    <w:rsid w:val="003E457A"/>
    <w:rsid w:val="003E5848"/>
    <w:rsid w:val="003E7CBB"/>
    <w:rsid w:val="003F2330"/>
    <w:rsid w:val="003F6516"/>
    <w:rsid w:val="004032FD"/>
    <w:rsid w:val="0040763A"/>
    <w:rsid w:val="004109EE"/>
    <w:rsid w:val="00413CDB"/>
    <w:rsid w:val="00414526"/>
    <w:rsid w:val="00414A79"/>
    <w:rsid w:val="00414B7B"/>
    <w:rsid w:val="004206BA"/>
    <w:rsid w:val="004224AE"/>
    <w:rsid w:val="0043249C"/>
    <w:rsid w:val="00432875"/>
    <w:rsid w:val="00436EA0"/>
    <w:rsid w:val="004375FD"/>
    <w:rsid w:val="00441BE2"/>
    <w:rsid w:val="00446F3C"/>
    <w:rsid w:val="00451A9C"/>
    <w:rsid w:val="004536EF"/>
    <w:rsid w:val="00453CC7"/>
    <w:rsid w:val="00455CD2"/>
    <w:rsid w:val="00461363"/>
    <w:rsid w:val="0046253F"/>
    <w:rsid w:val="0046685B"/>
    <w:rsid w:val="004679C4"/>
    <w:rsid w:val="00467A93"/>
    <w:rsid w:val="00470DD2"/>
    <w:rsid w:val="004744BD"/>
    <w:rsid w:val="00475B27"/>
    <w:rsid w:val="00480177"/>
    <w:rsid w:val="00482E3A"/>
    <w:rsid w:val="004841BF"/>
    <w:rsid w:val="004861EB"/>
    <w:rsid w:val="004876FC"/>
    <w:rsid w:val="0049392B"/>
    <w:rsid w:val="004A0446"/>
    <w:rsid w:val="004A42CB"/>
    <w:rsid w:val="004A52D8"/>
    <w:rsid w:val="004A69F9"/>
    <w:rsid w:val="004B2E33"/>
    <w:rsid w:val="004B5B50"/>
    <w:rsid w:val="004B5F35"/>
    <w:rsid w:val="004C20C1"/>
    <w:rsid w:val="004C48F0"/>
    <w:rsid w:val="004C541C"/>
    <w:rsid w:val="004E15E2"/>
    <w:rsid w:val="004E7258"/>
    <w:rsid w:val="004F0CDC"/>
    <w:rsid w:val="004F5FEB"/>
    <w:rsid w:val="004F630F"/>
    <w:rsid w:val="00501845"/>
    <w:rsid w:val="00502BC6"/>
    <w:rsid w:val="00511D3F"/>
    <w:rsid w:val="00513B3E"/>
    <w:rsid w:val="00513B51"/>
    <w:rsid w:val="00515FDD"/>
    <w:rsid w:val="00516BE4"/>
    <w:rsid w:val="0052245F"/>
    <w:rsid w:val="00523040"/>
    <w:rsid w:val="00525850"/>
    <w:rsid w:val="00531104"/>
    <w:rsid w:val="00535228"/>
    <w:rsid w:val="00535EBE"/>
    <w:rsid w:val="00536E97"/>
    <w:rsid w:val="00537809"/>
    <w:rsid w:val="00541B6D"/>
    <w:rsid w:val="005426A2"/>
    <w:rsid w:val="00542735"/>
    <w:rsid w:val="005440D0"/>
    <w:rsid w:val="00546BEE"/>
    <w:rsid w:val="00546DF4"/>
    <w:rsid w:val="00547534"/>
    <w:rsid w:val="00550BD3"/>
    <w:rsid w:val="00551D59"/>
    <w:rsid w:val="005622F3"/>
    <w:rsid w:val="00563C11"/>
    <w:rsid w:val="005664CC"/>
    <w:rsid w:val="00572FF7"/>
    <w:rsid w:val="00574504"/>
    <w:rsid w:val="005758D3"/>
    <w:rsid w:val="00575D76"/>
    <w:rsid w:val="00576718"/>
    <w:rsid w:val="00583887"/>
    <w:rsid w:val="00587E5D"/>
    <w:rsid w:val="00594989"/>
    <w:rsid w:val="005A0171"/>
    <w:rsid w:val="005A5892"/>
    <w:rsid w:val="005B4F4D"/>
    <w:rsid w:val="005C103F"/>
    <w:rsid w:val="005C32A1"/>
    <w:rsid w:val="005C4FE9"/>
    <w:rsid w:val="005C61C1"/>
    <w:rsid w:val="005C7539"/>
    <w:rsid w:val="005D099A"/>
    <w:rsid w:val="005D3995"/>
    <w:rsid w:val="005D3DB0"/>
    <w:rsid w:val="005D443C"/>
    <w:rsid w:val="005D4C88"/>
    <w:rsid w:val="005D520F"/>
    <w:rsid w:val="005D7642"/>
    <w:rsid w:val="005E232D"/>
    <w:rsid w:val="005E3C47"/>
    <w:rsid w:val="005E641D"/>
    <w:rsid w:val="005F1361"/>
    <w:rsid w:val="005F302C"/>
    <w:rsid w:val="005F7F3D"/>
    <w:rsid w:val="00604FCC"/>
    <w:rsid w:val="00606FC4"/>
    <w:rsid w:val="006078C3"/>
    <w:rsid w:val="006200A6"/>
    <w:rsid w:val="00620B79"/>
    <w:rsid w:val="00621E31"/>
    <w:rsid w:val="00622630"/>
    <w:rsid w:val="00622DCC"/>
    <w:rsid w:val="00623EE9"/>
    <w:rsid w:val="00624651"/>
    <w:rsid w:val="00625091"/>
    <w:rsid w:val="006250A7"/>
    <w:rsid w:val="00636A4E"/>
    <w:rsid w:val="00641832"/>
    <w:rsid w:val="00641B64"/>
    <w:rsid w:val="00642847"/>
    <w:rsid w:val="00643112"/>
    <w:rsid w:val="00643B3B"/>
    <w:rsid w:val="00647EBA"/>
    <w:rsid w:val="00654C4B"/>
    <w:rsid w:val="00655004"/>
    <w:rsid w:val="00661900"/>
    <w:rsid w:val="0066252A"/>
    <w:rsid w:val="0067260E"/>
    <w:rsid w:val="00672E34"/>
    <w:rsid w:val="006730F0"/>
    <w:rsid w:val="0067420D"/>
    <w:rsid w:val="006776AD"/>
    <w:rsid w:val="006837D7"/>
    <w:rsid w:val="006846AA"/>
    <w:rsid w:val="006912D6"/>
    <w:rsid w:val="00693DF5"/>
    <w:rsid w:val="006A069F"/>
    <w:rsid w:val="006A1F7E"/>
    <w:rsid w:val="006A4EA3"/>
    <w:rsid w:val="006B2F67"/>
    <w:rsid w:val="006B5C1D"/>
    <w:rsid w:val="006C0A86"/>
    <w:rsid w:val="006C4FBF"/>
    <w:rsid w:val="006C58ED"/>
    <w:rsid w:val="006C5CC3"/>
    <w:rsid w:val="006C6B5C"/>
    <w:rsid w:val="006E071F"/>
    <w:rsid w:val="006E1A40"/>
    <w:rsid w:val="006E563E"/>
    <w:rsid w:val="006F0BF1"/>
    <w:rsid w:val="006F10FA"/>
    <w:rsid w:val="006F157B"/>
    <w:rsid w:val="006F4F7F"/>
    <w:rsid w:val="006F5CBD"/>
    <w:rsid w:val="006F7223"/>
    <w:rsid w:val="006F7870"/>
    <w:rsid w:val="00701E1C"/>
    <w:rsid w:val="00702235"/>
    <w:rsid w:val="0070467A"/>
    <w:rsid w:val="007079FB"/>
    <w:rsid w:val="00711A24"/>
    <w:rsid w:val="007131A9"/>
    <w:rsid w:val="00714670"/>
    <w:rsid w:val="00715E21"/>
    <w:rsid w:val="007169AD"/>
    <w:rsid w:val="00722867"/>
    <w:rsid w:val="00723511"/>
    <w:rsid w:val="00724726"/>
    <w:rsid w:val="00727BFD"/>
    <w:rsid w:val="00730E61"/>
    <w:rsid w:val="007377C4"/>
    <w:rsid w:val="00737B42"/>
    <w:rsid w:val="007401D8"/>
    <w:rsid w:val="00753907"/>
    <w:rsid w:val="00756893"/>
    <w:rsid w:val="00757CA0"/>
    <w:rsid w:val="00760CFA"/>
    <w:rsid w:val="00761092"/>
    <w:rsid w:val="00771BC8"/>
    <w:rsid w:val="007741B9"/>
    <w:rsid w:val="0077571F"/>
    <w:rsid w:val="007759B0"/>
    <w:rsid w:val="00776F61"/>
    <w:rsid w:val="00777E41"/>
    <w:rsid w:val="0078368E"/>
    <w:rsid w:val="00783FBD"/>
    <w:rsid w:val="00790499"/>
    <w:rsid w:val="007914E4"/>
    <w:rsid w:val="00791843"/>
    <w:rsid w:val="00793555"/>
    <w:rsid w:val="00795252"/>
    <w:rsid w:val="007960A6"/>
    <w:rsid w:val="007A2570"/>
    <w:rsid w:val="007B1493"/>
    <w:rsid w:val="007B1D3E"/>
    <w:rsid w:val="007B42CA"/>
    <w:rsid w:val="007B751E"/>
    <w:rsid w:val="007B7A8C"/>
    <w:rsid w:val="007C22EF"/>
    <w:rsid w:val="007C46B7"/>
    <w:rsid w:val="007C5FB1"/>
    <w:rsid w:val="007D1D03"/>
    <w:rsid w:val="007E342A"/>
    <w:rsid w:val="007F03D8"/>
    <w:rsid w:val="007F4E79"/>
    <w:rsid w:val="00801F7D"/>
    <w:rsid w:val="00805090"/>
    <w:rsid w:val="0080518C"/>
    <w:rsid w:val="008074E8"/>
    <w:rsid w:val="00811CC8"/>
    <w:rsid w:val="008131AD"/>
    <w:rsid w:val="00813BFD"/>
    <w:rsid w:val="0081729B"/>
    <w:rsid w:val="008218A9"/>
    <w:rsid w:val="00824C01"/>
    <w:rsid w:val="00824D90"/>
    <w:rsid w:val="0082757F"/>
    <w:rsid w:val="00832B57"/>
    <w:rsid w:val="0083570B"/>
    <w:rsid w:val="0084150A"/>
    <w:rsid w:val="008431D8"/>
    <w:rsid w:val="0084437A"/>
    <w:rsid w:val="00844905"/>
    <w:rsid w:val="008467C9"/>
    <w:rsid w:val="00847DA7"/>
    <w:rsid w:val="0085042B"/>
    <w:rsid w:val="00853DD1"/>
    <w:rsid w:val="00864D76"/>
    <w:rsid w:val="00867E47"/>
    <w:rsid w:val="00876690"/>
    <w:rsid w:val="00877B24"/>
    <w:rsid w:val="00877DA9"/>
    <w:rsid w:val="0088122C"/>
    <w:rsid w:val="00884F96"/>
    <w:rsid w:val="00890E99"/>
    <w:rsid w:val="008938E1"/>
    <w:rsid w:val="00893978"/>
    <w:rsid w:val="00895BAC"/>
    <w:rsid w:val="00896BF5"/>
    <w:rsid w:val="008A2B33"/>
    <w:rsid w:val="008A38E3"/>
    <w:rsid w:val="008A4456"/>
    <w:rsid w:val="008A5D92"/>
    <w:rsid w:val="008A7065"/>
    <w:rsid w:val="008A7395"/>
    <w:rsid w:val="008B4B45"/>
    <w:rsid w:val="008C4645"/>
    <w:rsid w:val="008D1ABA"/>
    <w:rsid w:val="008D3E37"/>
    <w:rsid w:val="008D442C"/>
    <w:rsid w:val="008D4755"/>
    <w:rsid w:val="008D49AC"/>
    <w:rsid w:val="008D5B37"/>
    <w:rsid w:val="008D76BE"/>
    <w:rsid w:val="008D7F67"/>
    <w:rsid w:val="008E4002"/>
    <w:rsid w:val="008E6AE4"/>
    <w:rsid w:val="008E6F92"/>
    <w:rsid w:val="008F1277"/>
    <w:rsid w:val="008F1CBB"/>
    <w:rsid w:val="008F4FA5"/>
    <w:rsid w:val="008F5E34"/>
    <w:rsid w:val="008F66AA"/>
    <w:rsid w:val="008F6EA5"/>
    <w:rsid w:val="008F708D"/>
    <w:rsid w:val="008F7F2E"/>
    <w:rsid w:val="009027FD"/>
    <w:rsid w:val="009032DB"/>
    <w:rsid w:val="009037CB"/>
    <w:rsid w:val="00904971"/>
    <w:rsid w:val="0090521B"/>
    <w:rsid w:val="0090597E"/>
    <w:rsid w:val="00907C9D"/>
    <w:rsid w:val="00910154"/>
    <w:rsid w:val="00910B40"/>
    <w:rsid w:val="009145A1"/>
    <w:rsid w:val="009215E1"/>
    <w:rsid w:val="00921645"/>
    <w:rsid w:val="00921F04"/>
    <w:rsid w:val="009263CE"/>
    <w:rsid w:val="00926AB1"/>
    <w:rsid w:val="009364B2"/>
    <w:rsid w:val="00942837"/>
    <w:rsid w:val="00942949"/>
    <w:rsid w:val="00950E55"/>
    <w:rsid w:val="009521C2"/>
    <w:rsid w:val="0095244E"/>
    <w:rsid w:val="00952D84"/>
    <w:rsid w:val="00957183"/>
    <w:rsid w:val="00962441"/>
    <w:rsid w:val="00962F62"/>
    <w:rsid w:val="0096312B"/>
    <w:rsid w:val="00963E6F"/>
    <w:rsid w:val="009657F0"/>
    <w:rsid w:val="00966FF8"/>
    <w:rsid w:val="00971881"/>
    <w:rsid w:val="00972E4D"/>
    <w:rsid w:val="00973D9C"/>
    <w:rsid w:val="009752FF"/>
    <w:rsid w:val="00975E71"/>
    <w:rsid w:val="009769BD"/>
    <w:rsid w:val="00977454"/>
    <w:rsid w:val="00977C6A"/>
    <w:rsid w:val="00977DA9"/>
    <w:rsid w:val="00982006"/>
    <w:rsid w:val="00993A9D"/>
    <w:rsid w:val="009A279B"/>
    <w:rsid w:val="009A7F53"/>
    <w:rsid w:val="009B0441"/>
    <w:rsid w:val="009B0B7D"/>
    <w:rsid w:val="009B1D57"/>
    <w:rsid w:val="009B3476"/>
    <w:rsid w:val="009B6552"/>
    <w:rsid w:val="009B7B1F"/>
    <w:rsid w:val="009C0D48"/>
    <w:rsid w:val="009C58CC"/>
    <w:rsid w:val="009D13C4"/>
    <w:rsid w:val="009D54D5"/>
    <w:rsid w:val="009E149F"/>
    <w:rsid w:val="009E14FC"/>
    <w:rsid w:val="009F2076"/>
    <w:rsid w:val="009F21DC"/>
    <w:rsid w:val="009F3039"/>
    <w:rsid w:val="009F45D0"/>
    <w:rsid w:val="009F4CB1"/>
    <w:rsid w:val="009F6669"/>
    <w:rsid w:val="00A01634"/>
    <w:rsid w:val="00A03775"/>
    <w:rsid w:val="00A03F92"/>
    <w:rsid w:val="00A04FFC"/>
    <w:rsid w:val="00A14DC9"/>
    <w:rsid w:val="00A15E51"/>
    <w:rsid w:val="00A161F4"/>
    <w:rsid w:val="00A16A10"/>
    <w:rsid w:val="00A16EEA"/>
    <w:rsid w:val="00A218C7"/>
    <w:rsid w:val="00A2221A"/>
    <w:rsid w:val="00A30822"/>
    <w:rsid w:val="00A30A07"/>
    <w:rsid w:val="00A32CDD"/>
    <w:rsid w:val="00A3565F"/>
    <w:rsid w:val="00A40E56"/>
    <w:rsid w:val="00A431F8"/>
    <w:rsid w:val="00A43A25"/>
    <w:rsid w:val="00A514D2"/>
    <w:rsid w:val="00A515F8"/>
    <w:rsid w:val="00A5196B"/>
    <w:rsid w:val="00A53360"/>
    <w:rsid w:val="00A605F6"/>
    <w:rsid w:val="00A606EB"/>
    <w:rsid w:val="00A60DA3"/>
    <w:rsid w:val="00A622B2"/>
    <w:rsid w:val="00A72DBD"/>
    <w:rsid w:val="00A739FD"/>
    <w:rsid w:val="00A80545"/>
    <w:rsid w:val="00A81DFF"/>
    <w:rsid w:val="00A95689"/>
    <w:rsid w:val="00A95A6A"/>
    <w:rsid w:val="00A96CE0"/>
    <w:rsid w:val="00A976FA"/>
    <w:rsid w:val="00AA1348"/>
    <w:rsid w:val="00AA2668"/>
    <w:rsid w:val="00AA46D3"/>
    <w:rsid w:val="00AB0329"/>
    <w:rsid w:val="00AB4B46"/>
    <w:rsid w:val="00AB7CC0"/>
    <w:rsid w:val="00AC00FB"/>
    <w:rsid w:val="00AC1B4F"/>
    <w:rsid w:val="00AC5F11"/>
    <w:rsid w:val="00AD011C"/>
    <w:rsid w:val="00AD183A"/>
    <w:rsid w:val="00AD2453"/>
    <w:rsid w:val="00AD427F"/>
    <w:rsid w:val="00AD7E46"/>
    <w:rsid w:val="00AE5648"/>
    <w:rsid w:val="00AF496E"/>
    <w:rsid w:val="00AF53E9"/>
    <w:rsid w:val="00AF68C1"/>
    <w:rsid w:val="00B016E2"/>
    <w:rsid w:val="00B02A64"/>
    <w:rsid w:val="00B07485"/>
    <w:rsid w:val="00B20293"/>
    <w:rsid w:val="00B22E03"/>
    <w:rsid w:val="00B3085E"/>
    <w:rsid w:val="00B30860"/>
    <w:rsid w:val="00B324F3"/>
    <w:rsid w:val="00B325F6"/>
    <w:rsid w:val="00B33451"/>
    <w:rsid w:val="00B33531"/>
    <w:rsid w:val="00B34308"/>
    <w:rsid w:val="00B35E61"/>
    <w:rsid w:val="00B376BC"/>
    <w:rsid w:val="00B50576"/>
    <w:rsid w:val="00B51773"/>
    <w:rsid w:val="00B53173"/>
    <w:rsid w:val="00B61C07"/>
    <w:rsid w:val="00B636E3"/>
    <w:rsid w:val="00B64C2B"/>
    <w:rsid w:val="00B67192"/>
    <w:rsid w:val="00B71164"/>
    <w:rsid w:val="00B71CB3"/>
    <w:rsid w:val="00B71DB2"/>
    <w:rsid w:val="00B754A0"/>
    <w:rsid w:val="00B83B4E"/>
    <w:rsid w:val="00B86C8D"/>
    <w:rsid w:val="00B975FC"/>
    <w:rsid w:val="00BA23AE"/>
    <w:rsid w:val="00BA44CD"/>
    <w:rsid w:val="00BA7AD9"/>
    <w:rsid w:val="00BB042C"/>
    <w:rsid w:val="00BB17D9"/>
    <w:rsid w:val="00BB1B32"/>
    <w:rsid w:val="00BB7252"/>
    <w:rsid w:val="00BB7AA6"/>
    <w:rsid w:val="00BC1B60"/>
    <w:rsid w:val="00BC1FAD"/>
    <w:rsid w:val="00BC3331"/>
    <w:rsid w:val="00BC4A64"/>
    <w:rsid w:val="00BD6161"/>
    <w:rsid w:val="00BE015B"/>
    <w:rsid w:val="00BE0EE1"/>
    <w:rsid w:val="00BF50BF"/>
    <w:rsid w:val="00BF68B4"/>
    <w:rsid w:val="00C06762"/>
    <w:rsid w:val="00C07B19"/>
    <w:rsid w:val="00C12ADE"/>
    <w:rsid w:val="00C17250"/>
    <w:rsid w:val="00C252F5"/>
    <w:rsid w:val="00C253DB"/>
    <w:rsid w:val="00C26754"/>
    <w:rsid w:val="00C27DD9"/>
    <w:rsid w:val="00C3080B"/>
    <w:rsid w:val="00C32477"/>
    <w:rsid w:val="00C32B2E"/>
    <w:rsid w:val="00C32C82"/>
    <w:rsid w:val="00C33490"/>
    <w:rsid w:val="00C342B4"/>
    <w:rsid w:val="00C4059D"/>
    <w:rsid w:val="00C4686C"/>
    <w:rsid w:val="00C51485"/>
    <w:rsid w:val="00C52120"/>
    <w:rsid w:val="00C52480"/>
    <w:rsid w:val="00C548C4"/>
    <w:rsid w:val="00C55295"/>
    <w:rsid w:val="00C640E3"/>
    <w:rsid w:val="00C65649"/>
    <w:rsid w:val="00C65F09"/>
    <w:rsid w:val="00C6702A"/>
    <w:rsid w:val="00C67263"/>
    <w:rsid w:val="00C7349A"/>
    <w:rsid w:val="00C8053E"/>
    <w:rsid w:val="00C80AFF"/>
    <w:rsid w:val="00C80E68"/>
    <w:rsid w:val="00C81C20"/>
    <w:rsid w:val="00C832D0"/>
    <w:rsid w:val="00C85055"/>
    <w:rsid w:val="00C867FC"/>
    <w:rsid w:val="00C868F6"/>
    <w:rsid w:val="00C86E8B"/>
    <w:rsid w:val="00C922CB"/>
    <w:rsid w:val="00C94CA2"/>
    <w:rsid w:val="00CA0E2D"/>
    <w:rsid w:val="00CA3161"/>
    <w:rsid w:val="00CA4661"/>
    <w:rsid w:val="00CA5A23"/>
    <w:rsid w:val="00CB2154"/>
    <w:rsid w:val="00CB513F"/>
    <w:rsid w:val="00CB7E46"/>
    <w:rsid w:val="00CB7F3B"/>
    <w:rsid w:val="00CC2EAB"/>
    <w:rsid w:val="00CC606A"/>
    <w:rsid w:val="00CD23FB"/>
    <w:rsid w:val="00CD3E80"/>
    <w:rsid w:val="00CD53BE"/>
    <w:rsid w:val="00CD79E2"/>
    <w:rsid w:val="00CE13F1"/>
    <w:rsid w:val="00CE1A4A"/>
    <w:rsid w:val="00CE330C"/>
    <w:rsid w:val="00CE5C2B"/>
    <w:rsid w:val="00CE6429"/>
    <w:rsid w:val="00CE66C4"/>
    <w:rsid w:val="00CE6E90"/>
    <w:rsid w:val="00CF16C1"/>
    <w:rsid w:val="00CF29C7"/>
    <w:rsid w:val="00CF3C1D"/>
    <w:rsid w:val="00CF3F3F"/>
    <w:rsid w:val="00CF5341"/>
    <w:rsid w:val="00CF56FD"/>
    <w:rsid w:val="00D004BC"/>
    <w:rsid w:val="00D01FA5"/>
    <w:rsid w:val="00D035E3"/>
    <w:rsid w:val="00D04CE1"/>
    <w:rsid w:val="00D121D2"/>
    <w:rsid w:val="00D24503"/>
    <w:rsid w:val="00D24D2D"/>
    <w:rsid w:val="00D31018"/>
    <w:rsid w:val="00D312CE"/>
    <w:rsid w:val="00D325A6"/>
    <w:rsid w:val="00D370D1"/>
    <w:rsid w:val="00D43B96"/>
    <w:rsid w:val="00D51697"/>
    <w:rsid w:val="00D53498"/>
    <w:rsid w:val="00D56CDB"/>
    <w:rsid w:val="00D57131"/>
    <w:rsid w:val="00D57478"/>
    <w:rsid w:val="00D61F9D"/>
    <w:rsid w:val="00D62351"/>
    <w:rsid w:val="00D6519D"/>
    <w:rsid w:val="00D73FEA"/>
    <w:rsid w:val="00D905E4"/>
    <w:rsid w:val="00D9286F"/>
    <w:rsid w:val="00D969B8"/>
    <w:rsid w:val="00D97CD6"/>
    <w:rsid w:val="00DA1F54"/>
    <w:rsid w:val="00DA2CFE"/>
    <w:rsid w:val="00DA564D"/>
    <w:rsid w:val="00DA62D7"/>
    <w:rsid w:val="00DB0F72"/>
    <w:rsid w:val="00DC22CA"/>
    <w:rsid w:val="00DC2B9A"/>
    <w:rsid w:val="00DC67DF"/>
    <w:rsid w:val="00DD093D"/>
    <w:rsid w:val="00DD31CB"/>
    <w:rsid w:val="00DD7B8D"/>
    <w:rsid w:val="00DE78EB"/>
    <w:rsid w:val="00DF09E3"/>
    <w:rsid w:val="00DF2AAB"/>
    <w:rsid w:val="00DF3F8A"/>
    <w:rsid w:val="00DF4CBE"/>
    <w:rsid w:val="00E004B7"/>
    <w:rsid w:val="00E05F45"/>
    <w:rsid w:val="00E07046"/>
    <w:rsid w:val="00E14949"/>
    <w:rsid w:val="00E22AE7"/>
    <w:rsid w:val="00E22EA5"/>
    <w:rsid w:val="00E2365C"/>
    <w:rsid w:val="00E25E5B"/>
    <w:rsid w:val="00E26F40"/>
    <w:rsid w:val="00E27A2B"/>
    <w:rsid w:val="00E27D05"/>
    <w:rsid w:val="00E309C6"/>
    <w:rsid w:val="00E321B7"/>
    <w:rsid w:val="00E34C56"/>
    <w:rsid w:val="00E354D1"/>
    <w:rsid w:val="00E367A2"/>
    <w:rsid w:val="00E414A4"/>
    <w:rsid w:val="00E42D3B"/>
    <w:rsid w:val="00E44DFC"/>
    <w:rsid w:val="00E474C3"/>
    <w:rsid w:val="00E509DE"/>
    <w:rsid w:val="00E6166C"/>
    <w:rsid w:val="00E61C9F"/>
    <w:rsid w:val="00E649D6"/>
    <w:rsid w:val="00E66234"/>
    <w:rsid w:val="00E66D5F"/>
    <w:rsid w:val="00E67B09"/>
    <w:rsid w:val="00E704DE"/>
    <w:rsid w:val="00E70811"/>
    <w:rsid w:val="00E70DD6"/>
    <w:rsid w:val="00E71C5B"/>
    <w:rsid w:val="00E752E3"/>
    <w:rsid w:val="00E756BE"/>
    <w:rsid w:val="00E810E7"/>
    <w:rsid w:val="00E82BDE"/>
    <w:rsid w:val="00E85A4F"/>
    <w:rsid w:val="00E90068"/>
    <w:rsid w:val="00E91926"/>
    <w:rsid w:val="00E9430C"/>
    <w:rsid w:val="00E94842"/>
    <w:rsid w:val="00EA0F88"/>
    <w:rsid w:val="00EA1407"/>
    <w:rsid w:val="00EA4291"/>
    <w:rsid w:val="00EA4807"/>
    <w:rsid w:val="00EB39F1"/>
    <w:rsid w:val="00EC1F7E"/>
    <w:rsid w:val="00EC62B2"/>
    <w:rsid w:val="00EC6BE4"/>
    <w:rsid w:val="00ED085F"/>
    <w:rsid w:val="00ED1B1E"/>
    <w:rsid w:val="00ED532C"/>
    <w:rsid w:val="00ED6AED"/>
    <w:rsid w:val="00EE16CE"/>
    <w:rsid w:val="00EE3B0D"/>
    <w:rsid w:val="00EE50BE"/>
    <w:rsid w:val="00EE5892"/>
    <w:rsid w:val="00EF04C3"/>
    <w:rsid w:val="00EF170C"/>
    <w:rsid w:val="00EF1718"/>
    <w:rsid w:val="00EF59E5"/>
    <w:rsid w:val="00EF71A2"/>
    <w:rsid w:val="00F003BE"/>
    <w:rsid w:val="00F01BDD"/>
    <w:rsid w:val="00F03C79"/>
    <w:rsid w:val="00F04658"/>
    <w:rsid w:val="00F05F1B"/>
    <w:rsid w:val="00F07AA9"/>
    <w:rsid w:val="00F11ADD"/>
    <w:rsid w:val="00F121A9"/>
    <w:rsid w:val="00F126D3"/>
    <w:rsid w:val="00F12C6D"/>
    <w:rsid w:val="00F16FD2"/>
    <w:rsid w:val="00F179B3"/>
    <w:rsid w:val="00F20AC6"/>
    <w:rsid w:val="00F2237A"/>
    <w:rsid w:val="00F24418"/>
    <w:rsid w:val="00F25C57"/>
    <w:rsid w:val="00F31EF1"/>
    <w:rsid w:val="00F33D68"/>
    <w:rsid w:val="00F348F4"/>
    <w:rsid w:val="00F37061"/>
    <w:rsid w:val="00F427C0"/>
    <w:rsid w:val="00F43151"/>
    <w:rsid w:val="00F441CC"/>
    <w:rsid w:val="00F51151"/>
    <w:rsid w:val="00F517DC"/>
    <w:rsid w:val="00F532E5"/>
    <w:rsid w:val="00F5361E"/>
    <w:rsid w:val="00F536DE"/>
    <w:rsid w:val="00F5380F"/>
    <w:rsid w:val="00F5571D"/>
    <w:rsid w:val="00F564A8"/>
    <w:rsid w:val="00F56B11"/>
    <w:rsid w:val="00F60CC9"/>
    <w:rsid w:val="00F62BA5"/>
    <w:rsid w:val="00F63619"/>
    <w:rsid w:val="00F6431F"/>
    <w:rsid w:val="00F65714"/>
    <w:rsid w:val="00F658CA"/>
    <w:rsid w:val="00F660A7"/>
    <w:rsid w:val="00F6649D"/>
    <w:rsid w:val="00F76A8C"/>
    <w:rsid w:val="00F805F3"/>
    <w:rsid w:val="00F82A9D"/>
    <w:rsid w:val="00F860C8"/>
    <w:rsid w:val="00F869FB"/>
    <w:rsid w:val="00F903F0"/>
    <w:rsid w:val="00F94727"/>
    <w:rsid w:val="00F95176"/>
    <w:rsid w:val="00F95909"/>
    <w:rsid w:val="00F97235"/>
    <w:rsid w:val="00FA4225"/>
    <w:rsid w:val="00FA77DC"/>
    <w:rsid w:val="00FB0276"/>
    <w:rsid w:val="00FB30A4"/>
    <w:rsid w:val="00FB4D87"/>
    <w:rsid w:val="00FB6D0C"/>
    <w:rsid w:val="00FC0B16"/>
    <w:rsid w:val="00FC3269"/>
    <w:rsid w:val="00FC3A14"/>
    <w:rsid w:val="00FC5D74"/>
    <w:rsid w:val="00FD2F97"/>
    <w:rsid w:val="00FD59DF"/>
    <w:rsid w:val="00FE0D52"/>
    <w:rsid w:val="00FE5AE4"/>
    <w:rsid w:val="00FF0EC2"/>
    <w:rsid w:val="00FF1285"/>
    <w:rsid w:val="00FF4D0E"/>
    <w:rsid w:val="00FF61FE"/>
    <w:rsid w:val="02678509"/>
    <w:rsid w:val="046DFA5A"/>
    <w:rsid w:val="096E9543"/>
    <w:rsid w:val="0CE4BEB0"/>
    <w:rsid w:val="0F2CDFB4"/>
    <w:rsid w:val="15ECA688"/>
    <w:rsid w:val="1B648FD0"/>
    <w:rsid w:val="2B257261"/>
    <w:rsid w:val="39E291AA"/>
    <w:rsid w:val="3B70C4D6"/>
    <w:rsid w:val="3BB6FDE1"/>
    <w:rsid w:val="3C4B8070"/>
    <w:rsid w:val="3C6837E0"/>
    <w:rsid w:val="45BD1307"/>
    <w:rsid w:val="4F6B051C"/>
    <w:rsid w:val="4FA6C12D"/>
    <w:rsid w:val="4FD55797"/>
    <w:rsid w:val="52C728A9"/>
    <w:rsid w:val="555A76ED"/>
    <w:rsid w:val="569D61F7"/>
    <w:rsid w:val="5B2EDBCF"/>
    <w:rsid w:val="6200B67F"/>
    <w:rsid w:val="6A3E61D3"/>
    <w:rsid w:val="6CA35585"/>
    <w:rsid w:val="73804F4B"/>
    <w:rsid w:val="74575077"/>
    <w:rsid w:val="7FBA32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937"/>
  <w15:docId w15:val="{259E6A09-7C2A-4A8B-936D-A4A398ED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D1"/>
    <w:pPr>
      <w:spacing w:after="0" w:line="360" w:lineRule="auto"/>
      <w:jc w:val="both"/>
    </w:pPr>
    <w:rPr>
      <w:rFonts w:ascii="Tahoma" w:hAnsi="Tahoma"/>
      <w:sz w:val="24"/>
      <w:lang w:val="es-ES"/>
    </w:rPr>
  </w:style>
  <w:style w:type="paragraph" w:styleId="Ttulo4">
    <w:name w:val="heading 4"/>
    <w:basedOn w:val="Normal"/>
    <w:next w:val="Normal"/>
    <w:link w:val="Ttulo4Car"/>
    <w:unhideWhenUsed/>
    <w:qFormat/>
    <w:rsid w:val="00B02A6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853DD1"/>
    <w:rPr>
      <w:rFonts w:ascii="Tahoma-Bold" w:hAnsi="Tahoma-Bold" w:hint="default"/>
      <w:b/>
      <w:bCs/>
      <w:i w:val="0"/>
      <w:iCs w:val="0"/>
      <w:color w:val="000000"/>
      <w:sz w:val="24"/>
      <w:szCs w:val="24"/>
    </w:rPr>
  </w:style>
  <w:style w:type="character" w:customStyle="1" w:styleId="fontstyle21">
    <w:name w:val="fontstyle21"/>
    <w:basedOn w:val="Fuentedeprrafopredeter"/>
    <w:rsid w:val="00853DD1"/>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B02A6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2A64"/>
    <w:rPr>
      <w:rFonts w:ascii="Tahoma" w:hAnsi="Tahoma"/>
      <w:sz w:val="24"/>
      <w:lang w:val="es-ES"/>
    </w:rPr>
  </w:style>
  <w:style w:type="paragraph" w:styleId="Piedepgina">
    <w:name w:val="footer"/>
    <w:basedOn w:val="Normal"/>
    <w:link w:val="PiedepginaCar"/>
    <w:uiPriority w:val="99"/>
    <w:unhideWhenUsed/>
    <w:rsid w:val="00B02A6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A64"/>
    <w:rPr>
      <w:rFonts w:ascii="Tahoma" w:hAnsi="Tahoma"/>
      <w:sz w:val="24"/>
      <w:lang w:val="es-ES"/>
    </w:rPr>
  </w:style>
  <w:style w:type="character" w:customStyle="1" w:styleId="Ttulo4Car">
    <w:name w:val="Título 4 Car"/>
    <w:basedOn w:val="Fuentedeprrafopredeter"/>
    <w:link w:val="Ttulo4"/>
    <w:rsid w:val="00B02A64"/>
    <w:rPr>
      <w:rFonts w:ascii="Times New Roman" w:eastAsia="Times New Roman" w:hAnsi="Times New Roman" w:cs="Times New Roman"/>
      <w:b/>
      <w:sz w:val="24"/>
      <w:szCs w:val="20"/>
      <w:lang w:val="es-ES" w:eastAsia="es-ES"/>
    </w:rPr>
  </w:style>
  <w:style w:type="paragraph" w:customStyle="1" w:styleId="paragraph">
    <w:name w:val="paragraph"/>
    <w:basedOn w:val="Normal"/>
    <w:rsid w:val="00B02A64"/>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02A64"/>
  </w:style>
  <w:style w:type="paragraph" w:styleId="Prrafodelista">
    <w:name w:val="List Paragraph"/>
    <w:basedOn w:val="Normal"/>
    <w:uiPriority w:val="34"/>
    <w:qFormat/>
    <w:rsid w:val="004E7258"/>
    <w:pPr>
      <w:ind w:left="720"/>
      <w:contextualSpacing/>
    </w:pPr>
  </w:style>
  <w:style w:type="paragraph" w:styleId="Textonotapie">
    <w:name w:val="footnote text"/>
    <w:basedOn w:val="Normal"/>
    <w:link w:val="TextonotapieCar"/>
    <w:uiPriority w:val="99"/>
    <w:semiHidden/>
    <w:unhideWhenUsed/>
    <w:rsid w:val="003221C2"/>
    <w:pPr>
      <w:spacing w:line="240" w:lineRule="auto"/>
    </w:pPr>
    <w:rPr>
      <w:sz w:val="20"/>
      <w:szCs w:val="20"/>
    </w:rPr>
  </w:style>
  <w:style w:type="character" w:customStyle="1" w:styleId="TextonotapieCar">
    <w:name w:val="Texto nota pie Car"/>
    <w:basedOn w:val="Fuentedeprrafopredeter"/>
    <w:link w:val="Textonotapie"/>
    <w:uiPriority w:val="99"/>
    <w:semiHidden/>
    <w:rsid w:val="003221C2"/>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3221C2"/>
    <w:rPr>
      <w:vertAlign w:val="superscript"/>
    </w:rPr>
  </w:style>
  <w:style w:type="paragraph" w:styleId="NormalWeb">
    <w:name w:val="Normal (Web)"/>
    <w:basedOn w:val="Normal"/>
    <w:uiPriority w:val="99"/>
    <w:semiHidden/>
    <w:unhideWhenUsed/>
    <w:rsid w:val="002E5149"/>
    <w:rPr>
      <w:rFonts w:ascii="Times New Roman" w:hAnsi="Times New Roman" w:cs="Times New Roman"/>
      <w:szCs w:val="24"/>
    </w:rPr>
  </w:style>
  <w:style w:type="paragraph" w:styleId="Ttulo">
    <w:name w:val="Title"/>
    <w:basedOn w:val="Normal"/>
    <w:next w:val="Normal"/>
    <w:link w:val="TtuloCar"/>
    <w:uiPriority w:val="10"/>
    <w:qFormat/>
    <w:rsid w:val="00E67B09"/>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7B09"/>
    <w:rPr>
      <w:rFonts w:asciiTheme="majorHAnsi" w:eastAsiaTheme="majorEastAsia" w:hAnsiTheme="majorHAnsi" w:cstheme="majorBidi"/>
      <w:spacing w:val="-10"/>
      <w:kern w:val="28"/>
      <w:sz w:val="56"/>
      <w:szCs w:val="56"/>
      <w:lang w:val="es-ES"/>
    </w:rPr>
  </w:style>
  <w:style w:type="character" w:customStyle="1" w:styleId="eop">
    <w:name w:val="eop"/>
    <w:basedOn w:val="Fuentedeprrafopredeter"/>
    <w:rsid w:val="00DC2B9A"/>
  </w:style>
  <w:style w:type="character" w:styleId="Hipervnculo">
    <w:name w:val="Hyperlink"/>
    <w:basedOn w:val="Fuentedeprrafopredeter"/>
    <w:uiPriority w:val="99"/>
    <w:unhideWhenUsed/>
    <w:rsid w:val="00DF4CBE"/>
    <w:rPr>
      <w:color w:val="0563C1" w:themeColor="hyperlink"/>
      <w:u w:val="single"/>
    </w:rPr>
  </w:style>
  <w:style w:type="character" w:customStyle="1" w:styleId="Mencinsinresolver1">
    <w:name w:val="Mención sin resolver1"/>
    <w:basedOn w:val="Fuentedeprrafopredeter"/>
    <w:uiPriority w:val="99"/>
    <w:semiHidden/>
    <w:unhideWhenUsed/>
    <w:rsid w:val="00DF4CBE"/>
    <w:rPr>
      <w:color w:val="605E5C"/>
      <w:shd w:val="clear" w:color="auto" w:fill="E1DFDD"/>
    </w:rPr>
  </w:style>
  <w:style w:type="character" w:styleId="Textoennegrita">
    <w:name w:val="Strong"/>
    <w:basedOn w:val="Fuentedeprrafopredeter"/>
    <w:uiPriority w:val="22"/>
    <w:qFormat/>
    <w:rsid w:val="00E2365C"/>
    <w:rPr>
      <w:b/>
      <w:bCs/>
    </w:rPr>
  </w:style>
  <w:style w:type="paragraph" w:customStyle="1" w:styleId="Default">
    <w:name w:val="Default"/>
    <w:rsid w:val="008D7F67"/>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lang w:val="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
      <w:bodyDiv w:val="1"/>
      <w:marLeft w:val="0"/>
      <w:marRight w:val="0"/>
      <w:marTop w:val="0"/>
      <w:marBottom w:val="0"/>
      <w:divBdr>
        <w:top w:val="none" w:sz="0" w:space="0" w:color="auto"/>
        <w:left w:val="none" w:sz="0" w:space="0" w:color="auto"/>
        <w:bottom w:val="none" w:sz="0" w:space="0" w:color="auto"/>
        <w:right w:val="none" w:sz="0" w:space="0" w:color="auto"/>
      </w:divBdr>
    </w:div>
    <w:div w:id="9183577">
      <w:bodyDiv w:val="1"/>
      <w:marLeft w:val="0"/>
      <w:marRight w:val="0"/>
      <w:marTop w:val="0"/>
      <w:marBottom w:val="0"/>
      <w:divBdr>
        <w:top w:val="none" w:sz="0" w:space="0" w:color="auto"/>
        <w:left w:val="none" w:sz="0" w:space="0" w:color="auto"/>
        <w:bottom w:val="none" w:sz="0" w:space="0" w:color="auto"/>
        <w:right w:val="none" w:sz="0" w:space="0" w:color="auto"/>
      </w:divBdr>
    </w:div>
    <w:div w:id="67777869">
      <w:bodyDiv w:val="1"/>
      <w:marLeft w:val="0"/>
      <w:marRight w:val="0"/>
      <w:marTop w:val="0"/>
      <w:marBottom w:val="0"/>
      <w:divBdr>
        <w:top w:val="none" w:sz="0" w:space="0" w:color="auto"/>
        <w:left w:val="none" w:sz="0" w:space="0" w:color="auto"/>
        <w:bottom w:val="none" w:sz="0" w:space="0" w:color="auto"/>
        <w:right w:val="none" w:sz="0" w:space="0" w:color="auto"/>
      </w:divBdr>
    </w:div>
    <w:div w:id="164712904">
      <w:bodyDiv w:val="1"/>
      <w:marLeft w:val="0"/>
      <w:marRight w:val="0"/>
      <w:marTop w:val="0"/>
      <w:marBottom w:val="0"/>
      <w:divBdr>
        <w:top w:val="none" w:sz="0" w:space="0" w:color="auto"/>
        <w:left w:val="none" w:sz="0" w:space="0" w:color="auto"/>
        <w:bottom w:val="none" w:sz="0" w:space="0" w:color="auto"/>
        <w:right w:val="none" w:sz="0" w:space="0" w:color="auto"/>
      </w:divBdr>
    </w:div>
    <w:div w:id="259416528">
      <w:bodyDiv w:val="1"/>
      <w:marLeft w:val="0"/>
      <w:marRight w:val="0"/>
      <w:marTop w:val="0"/>
      <w:marBottom w:val="0"/>
      <w:divBdr>
        <w:top w:val="none" w:sz="0" w:space="0" w:color="auto"/>
        <w:left w:val="none" w:sz="0" w:space="0" w:color="auto"/>
        <w:bottom w:val="none" w:sz="0" w:space="0" w:color="auto"/>
        <w:right w:val="none" w:sz="0" w:space="0" w:color="auto"/>
      </w:divBdr>
    </w:div>
    <w:div w:id="358551916">
      <w:bodyDiv w:val="1"/>
      <w:marLeft w:val="0"/>
      <w:marRight w:val="0"/>
      <w:marTop w:val="0"/>
      <w:marBottom w:val="0"/>
      <w:divBdr>
        <w:top w:val="none" w:sz="0" w:space="0" w:color="auto"/>
        <w:left w:val="none" w:sz="0" w:space="0" w:color="auto"/>
        <w:bottom w:val="none" w:sz="0" w:space="0" w:color="auto"/>
        <w:right w:val="none" w:sz="0" w:space="0" w:color="auto"/>
      </w:divBdr>
    </w:div>
    <w:div w:id="478887250">
      <w:bodyDiv w:val="1"/>
      <w:marLeft w:val="0"/>
      <w:marRight w:val="0"/>
      <w:marTop w:val="0"/>
      <w:marBottom w:val="0"/>
      <w:divBdr>
        <w:top w:val="none" w:sz="0" w:space="0" w:color="auto"/>
        <w:left w:val="none" w:sz="0" w:space="0" w:color="auto"/>
        <w:bottom w:val="none" w:sz="0" w:space="0" w:color="auto"/>
        <w:right w:val="none" w:sz="0" w:space="0" w:color="auto"/>
      </w:divBdr>
    </w:div>
    <w:div w:id="543255470">
      <w:bodyDiv w:val="1"/>
      <w:marLeft w:val="0"/>
      <w:marRight w:val="0"/>
      <w:marTop w:val="0"/>
      <w:marBottom w:val="0"/>
      <w:divBdr>
        <w:top w:val="none" w:sz="0" w:space="0" w:color="auto"/>
        <w:left w:val="none" w:sz="0" w:space="0" w:color="auto"/>
        <w:bottom w:val="none" w:sz="0" w:space="0" w:color="auto"/>
        <w:right w:val="none" w:sz="0" w:space="0" w:color="auto"/>
      </w:divBdr>
    </w:div>
    <w:div w:id="620039807">
      <w:bodyDiv w:val="1"/>
      <w:marLeft w:val="0"/>
      <w:marRight w:val="0"/>
      <w:marTop w:val="0"/>
      <w:marBottom w:val="0"/>
      <w:divBdr>
        <w:top w:val="none" w:sz="0" w:space="0" w:color="auto"/>
        <w:left w:val="none" w:sz="0" w:space="0" w:color="auto"/>
        <w:bottom w:val="none" w:sz="0" w:space="0" w:color="auto"/>
        <w:right w:val="none" w:sz="0" w:space="0" w:color="auto"/>
      </w:divBdr>
    </w:div>
    <w:div w:id="732237186">
      <w:bodyDiv w:val="1"/>
      <w:marLeft w:val="0"/>
      <w:marRight w:val="0"/>
      <w:marTop w:val="0"/>
      <w:marBottom w:val="0"/>
      <w:divBdr>
        <w:top w:val="none" w:sz="0" w:space="0" w:color="auto"/>
        <w:left w:val="none" w:sz="0" w:space="0" w:color="auto"/>
        <w:bottom w:val="none" w:sz="0" w:space="0" w:color="auto"/>
        <w:right w:val="none" w:sz="0" w:space="0" w:color="auto"/>
      </w:divBdr>
    </w:div>
    <w:div w:id="835728019">
      <w:bodyDiv w:val="1"/>
      <w:marLeft w:val="0"/>
      <w:marRight w:val="0"/>
      <w:marTop w:val="0"/>
      <w:marBottom w:val="0"/>
      <w:divBdr>
        <w:top w:val="none" w:sz="0" w:space="0" w:color="auto"/>
        <w:left w:val="none" w:sz="0" w:space="0" w:color="auto"/>
        <w:bottom w:val="none" w:sz="0" w:space="0" w:color="auto"/>
        <w:right w:val="none" w:sz="0" w:space="0" w:color="auto"/>
      </w:divBdr>
    </w:div>
    <w:div w:id="1088305939">
      <w:bodyDiv w:val="1"/>
      <w:marLeft w:val="0"/>
      <w:marRight w:val="0"/>
      <w:marTop w:val="0"/>
      <w:marBottom w:val="0"/>
      <w:divBdr>
        <w:top w:val="none" w:sz="0" w:space="0" w:color="auto"/>
        <w:left w:val="none" w:sz="0" w:space="0" w:color="auto"/>
        <w:bottom w:val="none" w:sz="0" w:space="0" w:color="auto"/>
        <w:right w:val="none" w:sz="0" w:space="0" w:color="auto"/>
      </w:divBdr>
    </w:div>
    <w:div w:id="1101216783">
      <w:bodyDiv w:val="1"/>
      <w:marLeft w:val="0"/>
      <w:marRight w:val="0"/>
      <w:marTop w:val="0"/>
      <w:marBottom w:val="0"/>
      <w:divBdr>
        <w:top w:val="none" w:sz="0" w:space="0" w:color="auto"/>
        <w:left w:val="none" w:sz="0" w:space="0" w:color="auto"/>
        <w:bottom w:val="none" w:sz="0" w:space="0" w:color="auto"/>
        <w:right w:val="none" w:sz="0" w:space="0" w:color="auto"/>
      </w:divBdr>
    </w:div>
    <w:div w:id="1159004610">
      <w:bodyDiv w:val="1"/>
      <w:marLeft w:val="0"/>
      <w:marRight w:val="0"/>
      <w:marTop w:val="0"/>
      <w:marBottom w:val="0"/>
      <w:divBdr>
        <w:top w:val="none" w:sz="0" w:space="0" w:color="auto"/>
        <w:left w:val="none" w:sz="0" w:space="0" w:color="auto"/>
        <w:bottom w:val="none" w:sz="0" w:space="0" w:color="auto"/>
        <w:right w:val="none" w:sz="0" w:space="0" w:color="auto"/>
      </w:divBdr>
      <w:divsChild>
        <w:div w:id="412095234">
          <w:marLeft w:val="0"/>
          <w:marRight w:val="0"/>
          <w:marTop w:val="0"/>
          <w:marBottom w:val="120"/>
          <w:divBdr>
            <w:top w:val="none" w:sz="0" w:space="0" w:color="auto"/>
            <w:left w:val="none" w:sz="0" w:space="0" w:color="auto"/>
            <w:bottom w:val="none" w:sz="0" w:space="0" w:color="auto"/>
            <w:right w:val="none" w:sz="0" w:space="0" w:color="auto"/>
          </w:divBdr>
          <w:divsChild>
            <w:div w:id="1612862741">
              <w:marLeft w:val="0"/>
              <w:marRight w:val="0"/>
              <w:marTop w:val="0"/>
              <w:marBottom w:val="0"/>
              <w:divBdr>
                <w:top w:val="none" w:sz="0" w:space="0" w:color="auto"/>
                <w:left w:val="none" w:sz="0" w:space="0" w:color="auto"/>
                <w:bottom w:val="none" w:sz="0" w:space="0" w:color="auto"/>
                <w:right w:val="none" w:sz="0" w:space="0" w:color="auto"/>
              </w:divBdr>
            </w:div>
          </w:divsChild>
        </w:div>
        <w:div w:id="816146682">
          <w:marLeft w:val="0"/>
          <w:marRight w:val="0"/>
          <w:marTop w:val="0"/>
          <w:marBottom w:val="120"/>
          <w:divBdr>
            <w:top w:val="none" w:sz="0" w:space="0" w:color="auto"/>
            <w:left w:val="none" w:sz="0" w:space="0" w:color="auto"/>
            <w:bottom w:val="none" w:sz="0" w:space="0" w:color="auto"/>
            <w:right w:val="none" w:sz="0" w:space="0" w:color="auto"/>
          </w:divBdr>
          <w:divsChild>
            <w:div w:id="13944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79944">
      <w:bodyDiv w:val="1"/>
      <w:marLeft w:val="0"/>
      <w:marRight w:val="0"/>
      <w:marTop w:val="0"/>
      <w:marBottom w:val="0"/>
      <w:divBdr>
        <w:top w:val="none" w:sz="0" w:space="0" w:color="auto"/>
        <w:left w:val="none" w:sz="0" w:space="0" w:color="auto"/>
        <w:bottom w:val="none" w:sz="0" w:space="0" w:color="auto"/>
        <w:right w:val="none" w:sz="0" w:space="0" w:color="auto"/>
      </w:divBdr>
    </w:div>
    <w:div w:id="1408309747">
      <w:bodyDiv w:val="1"/>
      <w:marLeft w:val="0"/>
      <w:marRight w:val="0"/>
      <w:marTop w:val="0"/>
      <w:marBottom w:val="0"/>
      <w:divBdr>
        <w:top w:val="none" w:sz="0" w:space="0" w:color="auto"/>
        <w:left w:val="none" w:sz="0" w:space="0" w:color="auto"/>
        <w:bottom w:val="none" w:sz="0" w:space="0" w:color="auto"/>
        <w:right w:val="none" w:sz="0" w:space="0" w:color="auto"/>
      </w:divBdr>
    </w:div>
    <w:div w:id="1412266362">
      <w:bodyDiv w:val="1"/>
      <w:marLeft w:val="0"/>
      <w:marRight w:val="0"/>
      <w:marTop w:val="0"/>
      <w:marBottom w:val="0"/>
      <w:divBdr>
        <w:top w:val="none" w:sz="0" w:space="0" w:color="auto"/>
        <w:left w:val="none" w:sz="0" w:space="0" w:color="auto"/>
        <w:bottom w:val="none" w:sz="0" w:space="0" w:color="auto"/>
        <w:right w:val="none" w:sz="0" w:space="0" w:color="auto"/>
      </w:divBdr>
    </w:div>
    <w:div w:id="1415543612">
      <w:bodyDiv w:val="1"/>
      <w:marLeft w:val="0"/>
      <w:marRight w:val="0"/>
      <w:marTop w:val="0"/>
      <w:marBottom w:val="0"/>
      <w:divBdr>
        <w:top w:val="none" w:sz="0" w:space="0" w:color="auto"/>
        <w:left w:val="none" w:sz="0" w:space="0" w:color="auto"/>
        <w:bottom w:val="none" w:sz="0" w:space="0" w:color="auto"/>
        <w:right w:val="none" w:sz="0" w:space="0" w:color="auto"/>
      </w:divBdr>
    </w:div>
    <w:div w:id="1508905317">
      <w:bodyDiv w:val="1"/>
      <w:marLeft w:val="0"/>
      <w:marRight w:val="0"/>
      <w:marTop w:val="0"/>
      <w:marBottom w:val="0"/>
      <w:divBdr>
        <w:top w:val="none" w:sz="0" w:space="0" w:color="auto"/>
        <w:left w:val="none" w:sz="0" w:space="0" w:color="auto"/>
        <w:bottom w:val="none" w:sz="0" w:space="0" w:color="auto"/>
        <w:right w:val="none" w:sz="0" w:space="0" w:color="auto"/>
      </w:divBdr>
    </w:div>
    <w:div w:id="1552616989">
      <w:bodyDiv w:val="1"/>
      <w:marLeft w:val="0"/>
      <w:marRight w:val="0"/>
      <w:marTop w:val="0"/>
      <w:marBottom w:val="0"/>
      <w:divBdr>
        <w:top w:val="none" w:sz="0" w:space="0" w:color="auto"/>
        <w:left w:val="none" w:sz="0" w:space="0" w:color="auto"/>
        <w:bottom w:val="none" w:sz="0" w:space="0" w:color="auto"/>
        <w:right w:val="none" w:sz="0" w:space="0" w:color="auto"/>
      </w:divBdr>
      <w:divsChild>
        <w:div w:id="254438551">
          <w:marLeft w:val="0"/>
          <w:marRight w:val="0"/>
          <w:marTop w:val="0"/>
          <w:marBottom w:val="0"/>
          <w:divBdr>
            <w:top w:val="none" w:sz="0" w:space="0" w:color="auto"/>
            <w:left w:val="none" w:sz="0" w:space="0" w:color="auto"/>
            <w:bottom w:val="none" w:sz="0" w:space="0" w:color="auto"/>
            <w:right w:val="none" w:sz="0" w:space="0" w:color="auto"/>
          </w:divBdr>
        </w:div>
        <w:div w:id="2119251657">
          <w:marLeft w:val="0"/>
          <w:marRight w:val="0"/>
          <w:marTop w:val="0"/>
          <w:marBottom w:val="0"/>
          <w:divBdr>
            <w:top w:val="none" w:sz="0" w:space="0" w:color="auto"/>
            <w:left w:val="none" w:sz="0" w:space="0" w:color="auto"/>
            <w:bottom w:val="none" w:sz="0" w:space="0" w:color="auto"/>
            <w:right w:val="none" w:sz="0" w:space="0" w:color="auto"/>
          </w:divBdr>
        </w:div>
      </w:divsChild>
    </w:div>
    <w:div w:id="1644191754">
      <w:bodyDiv w:val="1"/>
      <w:marLeft w:val="0"/>
      <w:marRight w:val="0"/>
      <w:marTop w:val="0"/>
      <w:marBottom w:val="0"/>
      <w:divBdr>
        <w:top w:val="none" w:sz="0" w:space="0" w:color="auto"/>
        <w:left w:val="none" w:sz="0" w:space="0" w:color="auto"/>
        <w:bottom w:val="none" w:sz="0" w:space="0" w:color="auto"/>
        <w:right w:val="none" w:sz="0" w:space="0" w:color="auto"/>
      </w:divBdr>
    </w:div>
    <w:div w:id="1816676186">
      <w:bodyDiv w:val="1"/>
      <w:marLeft w:val="0"/>
      <w:marRight w:val="0"/>
      <w:marTop w:val="0"/>
      <w:marBottom w:val="0"/>
      <w:divBdr>
        <w:top w:val="none" w:sz="0" w:space="0" w:color="auto"/>
        <w:left w:val="none" w:sz="0" w:space="0" w:color="auto"/>
        <w:bottom w:val="none" w:sz="0" w:space="0" w:color="auto"/>
        <w:right w:val="none" w:sz="0" w:space="0" w:color="auto"/>
      </w:divBdr>
    </w:div>
    <w:div w:id="1891527212">
      <w:bodyDiv w:val="1"/>
      <w:marLeft w:val="0"/>
      <w:marRight w:val="0"/>
      <w:marTop w:val="0"/>
      <w:marBottom w:val="0"/>
      <w:divBdr>
        <w:top w:val="none" w:sz="0" w:space="0" w:color="auto"/>
        <w:left w:val="none" w:sz="0" w:space="0" w:color="auto"/>
        <w:bottom w:val="none" w:sz="0" w:space="0" w:color="auto"/>
        <w:right w:val="none" w:sz="0" w:space="0" w:color="auto"/>
      </w:divBdr>
    </w:div>
    <w:div w:id="1903371421">
      <w:bodyDiv w:val="1"/>
      <w:marLeft w:val="0"/>
      <w:marRight w:val="0"/>
      <w:marTop w:val="0"/>
      <w:marBottom w:val="0"/>
      <w:divBdr>
        <w:top w:val="none" w:sz="0" w:space="0" w:color="auto"/>
        <w:left w:val="none" w:sz="0" w:space="0" w:color="auto"/>
        <w:bottom w:val="none" w:sz="0" w:space="0" w:color="auto"/>
        <w:right w:val="none" w:sz="0" w:space="0" w:color="auto"/>
      </w:divBdr>
    </w:div>
    <w:div w:id="1931430155">
      <w:bodyDiv w:val="1"/>
      <w:marLeft w:val="0"/>
      <w:marRight w:val="0"/>
      <w:marTop w:val="0"/>
      <w:marBottom w:val="0"/>
      <w:divBdr>
        <w:top w:val="none" w:sz="0" w:space="0" w:color="auto"/>
        <w:left w:val="none" w:sz="0" w:space="0" w:color="auto"/>
        <w:bottom w:val="none" w:sz="0" w:space="0" w:color="auto"/>
        <w:right w:val="none" w:sz="0" w:space="0" w:color="auto"/>
      </w:divBdr>
    </w:div>
    <w:div w:id="1968192739">
      <w:bodyDiv w:val="1"/>
      <w:marLeft w:val="0"/>
      <w:marRight w:val="0"/>
      <w:marTop w:val="0"/>
      <w:marBottom w:val="0"/>
      <w:divBdr>
        <w:top w:val="none" w:sz="0" w:space="0" w:color="auto"/>
        <w:left w:val="none" w:sz="0" w:space="0" w:color="auto"/>
        <w:bottom w:val="none" w:sz="0" w:space="0" w:color="auto"/>
        <w:right w:val="none" w:sz="0" w:space="0" w:color="auto"/>
      </w:divBdr>
    </w:div>
    <w:div w:id="20306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C669-7F87-451B-8217-8625C3434B45}">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4DEC372-CBB8-4B18-A1B5-A94CF7E06840}">
  <ds:schemaRefs>
    <ds:schemaRef ds:uri="http://schemas.microsoft.com/sharepoint/v3/contenttype/forms"/>
  </ds:schemaRefs>
</ds:datastoreItem>
</file>

<file path=customXml/itemProps3.xml><?xml version="1.0" encoding="utf-8"?>
<ds:datastoreItem xmlns:ds="http://schemas.openxmlformats.org/officeDocument/2006/customXml" ds:itemID="{F49CF4CD-73BD-488B-9FEF-97411BFCD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6B2A1-DEFE-47EB-B948-5282A320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3294</Words>
  <Characters>18118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11</cp:revision>
  <dcterms:created xsi:type="dcterms:W3CDTF">2023-06-01T20:50:00Z</dcterms:created>
  <dcterms:modified xsi:type="dcterms:W3CDTF">2023-08-03T15:59:00Z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