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D725D3B" w14:textId="77777777" w:rsidR="00F22AE2" w:rsidRPr="00F22AE2" w:rsidRDefault="00F22AE2" w:rsidP="00F22AE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102556893"/>
      <w:bookmarkStart w:id="1" w:name="_Hlk58566252"/>
      <w:bookmarkStart w:id="2" w:name="_Hlk93052694"/>
      <w:bookmarkStart w:id="3" w:name="_Hlk97791231"/>
      <w:bookmarkStart w:id="4" w:name="_Hlk112680109"/>
      <w:r w:rsidRPr="00F22AE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6F9805" w14:textId="77777777" w:rsidR="00F22AE2" w:rsidRPr="00F22AE2" w:rsidRDefault="00F22AE2" w:rsidP="00F22AE2">
      <w:pPr>
        <w:spacing w:line="240" w:lineRule="auto"/>
        <w:ind w:firstLine="0"/>
        <w:rPr>
          <w:rFonts w:ascii="Arial" w:eastAsia="Times New Roman" w:hAnsi="Arial" w:cs="Arial"/>
          <w:sz w:val="20"/>
          <w:szCs w:val="20"/>
          <w:lang w:val="es-419" w:eastAsia="es-ES"/>
        </w:rPr>
      </w:pPr>
    </w:p>
    <w:p w14:paraId="37ABDA78" w14:textId="1C5B0A17" w:rsidR="00F22AE2" w:rsidRPr="00F22AE2" w:rsidRDefault="00F22AE2" w:rsidP="00F22AE2">
      <w:pPr>
        <w:spacing w:line="240" w:lineRule="auto"/>
        <w:ind w:firstLine="0"/>
        <w:rPr>
          <w:rFonts w:ascii="Arial" w:eastAsia="Tahoma" w:hAnsi="Arial" w:cs="Arial"/>
          <w:sz w:val="20"/>
          <w:szCs w:val="20"/>
          <w:lang w:val="es-CO" w:eastAsia="es-CO"/>
        </w:rPr>
      </w:pPr>
      <w:r w:rsidRPr="00F22AE2">
        <w:rPr>
          <w:rFonts w:ascii="Arial" w:eastAsia="Tahoma" w:hAnsi="Arial" w:cs="Arial"/>
          <w:sz w:val="20"/>
          <w:szCs w:val="20"/>
          <w:lang w:val="es-CO" w:eastAsia="es-CO"/>
        </w:rPr>
        <w:t>Radicación No.:</w:t>
      </w:r>
      <w:r>
        <w:rPr>
          <w:rFonts w:ascii="Arial" w:eastAsia="Tahoma" w:hAnsi="Arial" w:cs="Arial"/>
          <w:sz w:val="20"/>
          <w:szCs w:val="20"/>
          <w:lang w:val="es-CO" w:eastAsia="es-CO"/>
        </w:rPr>
        <w:tab/>
      </w:r>
      <w:r w:rsidRPr="00F22AE2">
        <w:rPr>
          <w:rFonts w:ascii="Arial" w:eastAsia="Tahoma" w:hAnsi="Arial" w:cs="Arial"/>
          <w:sz w:val="20"/>
          <w:szCs w:val="20"/>
          <w:lang w:val="es-CO" w:eastAsia="es-CO"/>
        </w:rPr>
        <w:tab/>
        <w:t>66001-31-05-005-2019-00298-01</w:t>
      </w:r>
    </w:p>
    <w:p w14:paraId="56E8F18D" w14:textId="77777777" w:rsidR="00F22AE2" w:rsidRPr="00F22AE2" w:rsidRDefault="00F22AE2" w:rsidP="00F22AE2">
      <w:pPr>
        <w:spacing w:line="240" w:lineRule="auto"/>
        <w:ind w:firstLine="0"/>
        <w:rPr>
          <w:rFonts w:ascii="Arial" w:eastAsia="Tahoma" w:hAnsi="Arial" w:cs="Arial"/>
          <w:sz w:val="20"/>
          <w:szCs w:val="20"/>
          <w:lang w:val="es-CO" w:eastAsia="es-CO"/>
        </w:rPr>
      </w:pPr>
      <w:r w:rsidRPr="00F22AE2">
        <w:rPr>
          <w:rFonts w:ascii="Arial" w:eastAsia="Tahoma" w:hAnsi="Arial" w:cs="Arial"/>
          <w:sz w:val="20"/>
          <w:szCs w:val="20"/>
          <w:lang w:val="es-CO" w:eastAsia="es-CO"/>
        </w:rPr>
        <w:t xml:space="preserve">Proceso: </w:t>
      </w:r>
      <w:r w:rsidRPr="00F22AE2">
        <w:rPr>
          <w:rFonts w:ascii="Arial" w:eastAsia="Tahoma" w:hAnsi="Arial" w:cs="Arial"/>
          <w:sz w:val="20"/>
          <w:szCs w:val="20"/>
          <w:lang w:val="es-CO" w:eastAsia="es-CO"/>
        </w:rPr>
        <w:tab/>
      </w:r>
      <w:r w:rsidRPr="00F22AE2">
        <w:rPr>
          <w:rFonts w:ascii="Arial" w:eastAsia="Tahoma" w:hAnsi="Arial" w:cs="Arial"/>
          <w:sz w:val="20"/>
          <w:szCs w:val="20"/>
          <w:lang w:val="es-CO" w:eastAsia="es-CO"/>
        </w:rPr>
        <w:tab/>
        <w:t xml:space="preserve">Ordinario Laboral </w:t>
      </w:r>
    </w:p>
    <w:p w14:paraId="4187A4C2" w14:textId="717EFC44" w:rsidR="00F22AE2" w:rsidRPr="00F22AE2" w:rsidRDefault="00F22AE2" w:rsidP="00F22AE2">
      <w:pPr>
        <w:spacing w:line="240" w:lineRule="auto"/>
        <w:ind w:firstLine="0"/>
        <w:rPr>
          <w:rFonts w:ascii="Arial" w:eastAsia="Tahoma" w:hAnsi="Arial" w:cs="Arial"/>
          <w:sz w:val="20"/>
          <w:szCs w:val="20"/>
          <w:lang w:val="es-CO" w:eastAsia="es-CO"/>
        </w:rPr>
      </w:pPr>
      <w:r w:rsidRPr="00F22AE2">
        <w:rPr>
          <w:rFonts w:ascii="Arial" w:eastAsia="Tahoma" w:hAnsi="Arial" w:cs="Arial"/>
          <w:sz w:val="20"/>
          <w:szCs w:val="20"/>
          <w:lang w:val="es-CO" w:eastAsia="es-CO"/>
        </w:rPr>
        <w:t>Demandante:</w:t>
      </w:r>
      <w:r>
        <w:rPr>
          <w:rFonts w:ascii="Arial" w:eastAsia="Tahoma" w:hAnsi="Arial" w:cs="Arial"/>
          <w:sz w:val="20"/>
          <w:szCs w:val="20"/>
          <w:lang w:val="es-CO" w:eastAsia="es-CO"/>
        </w:rPr>
        <w:tab/>
      </w:r>
      <w:r>
        <w:rPr>
          <w:rFonts w:ascii="Arial" w:eastAsia="Tahoma" w:hAnsi="Arial" w:cs="Arial"/>
          <w:sz w:val="20"/>
          <w:szCs w:val="20"/>
          <w:lang w:val="es-CO" w:eastAsia="es-CO"/>
        </w:rPr>
        <w:tab/>
      </w:r>
      <w:r w:rsidRPr="00F22AE2">
        <w:rPr>
          <w:rFonts w:ascii="Arial" w:eastAsia="Tahoma" w:hAnsi="Arial" w:cs="Arial"/>
          <w:sz w:val="20"/>
          <w:szCs w:val="20"/>
          <w:lang w:val="es-CO" w:eastAsia="es-CO"/>
        </w:rPr>
        <w:t>Genaro Rosales Sepúlveda</w:t>
      </w:r>
    </w:p>
    <w:p w14:paraId="0BC88DF5" w14:textId="2FA0A30E" w:rsidR="00F22AE2" w:rsidRPr="00F22AE2" w:rsidRDefault="00F22AE2" w:rsidP="00F22AE2">
      <w:pPr>
        <w:spacing w:line="240" w:lineRule="auto"/>
        <w:ind w:firstLine="0"/>
        <w:rPr>
          <w:rFonts w:ascii="Arial" w:eastAsia="Tahoma" w:hAnsi="Arial" w:cs="Arial"/>
          <w:sz w:val="20"/>
          <w:szCs w:val="20"/>
          <w:lang w:val="es-CO" w:eastAsia="es-CO"/>
        </w:rPr>
      </w:pPr>
      <w:r w:rsidRPr="00F22AE2">
        <w:rPr>
          <w:rFonts w:ascii="Arial" w:eastAsia="Tahoma" w:hAnsi="Arial" w:cs="Arial"/>
          <w:sz w:val="20"/>
          <w:szCs w:val="20"/>
          <w:lang w:val="es-CO" w:eastAsia="es-CO"/>
        </w:rPr>
        <w:t>Demandado:</w:t>
      </w:r>
      <w:r w:rsidRPr="00F22AE2">
        <w:rPr>
          <w:rFonts w:ascii="Arial" w:eastAsia="Tahoma" w:hAnsi="Arial" w:cs="Arial"/>
          <w:sz w:val="20"/>
          <w:szCs w:val="20"/>
          <w:lang w:val="es-CO" w:eastAsia="es-CO"/>
        </w:rPr>
        <w:tab/>
      </w:r>
      <w:r w:rsidRPr="00F22AE2">
        <w:rPr>
          <w:rFonts w:ascii="Arial" w:eastAsia="Tahoma" w:hAnsi="Arial" w:cs="Arial"/>
          <w:sz w:val="20"/>
          <w:szCs w:val="20"/>
          <w:lang w:val="es-CO" w:eastAsia="es-CO"/>
        </w:rPr>
        <w:tab/>
        <w:t>Colpensiones y otros</w:t>
      </w:r>
    </w:p>
    <w:p w14:paraId="32122573" w14:textId="409C2EB8" w:rsidR="00F22AE2" w:rsidRPr="00F22AE2" w:rsidRDefault="00F22AE2" w:rsidP="00F22AE2">
      <w:pPr>
        <w:spacing w:line="240" w:lineRule="auto"/>
        <w:ind w:firstLine="0"/>
        <w:rPr>
          <w:rFonts w:ascii="Arial" w:eastAsia="Tahoma" w:hAnsi="Arial" w:cs="Arial"/>
          <w:sz w:val="20"/>
          <w:szCs w:val="20"/>
          <w:lang w:val="es-CO" w:eastAsia="es-CO"/>
        </w:rPr>
      </w:pPr>
      <w:r w:rsidRPr="00F22AE2">
        <w:rPr>
          <w:rFonts w:ascii="Arial" w:eastAsia="Tahoma" w:hAnsi="Arial" w:cs="Arial"/>
          <w:sz w:val="20"/>
          <w:szCs w:val="20"/>
          <w:lang w:val="es-CO" w:eastAsia="es-CO"/>
        </w:rPr>
        <w:t>Juzgado de origen:</w:t>
      </w:r>
      <w:r w:rsidRPr="00F22AE2">
        <w:rPr>
          <w:rFonts w:ascii="Arial" w:eastAsia="Tahoma" w:hAnsi="Arial" w:cs="Arial"/>
          <w:sz w:val="20"/>
          <w:szCs w:val="20"/>
          <w:lang w:val="es-CO" w:eastAsia="es-CO"/>
        </w:rPr>
        <w:tab/>
        <w:t>Quinto Laboral del Circuito de Pereira</w:t>
      </w:r>
    </w:p>
    <w:p w14:paraId="7D3376CE" w14:textId="77777777" w:rsidR="00F22AE2" w:rsidRPr="00F22AE2" w:rsidRDefault="00F22AE2" w:rsidP="00F22AE2">
      <w:pPr>
        <w:spacing w:line="240" w:lineRule="auto"/>
        <w:ind w:firstLine="0"/>
        <w:rPr>
          <w:rFonts w:ascii="Arial" w:eastAsia="Tahoma" w:hAnsi="Arial" w:cs="Arial"/>
          <w:color w:val="000000"/>
          <w:sz w:val="20"/>
          <w:szCs w:val="20"/>
          <w:lang w:eastAsia="es-CO"/>
        </w:rPr>
      </w:pPr>
    </w:p>
    <w:bookmarkEnd w:id="2"/>
    <w:bookmarkEnd w:id="3"/>
    <w:bookmarkEnd w:id="4"/>
    <w:p w14:paraId="3A61A85C" w14:textId="77777777" w:rsidR="00F22AE2" w:rsidRPr="00F22AE2" w:rsidRDefault="00F22AE2" w:rsidP="00F22AE2">
      <w:pPr>
        <w:spacing w:line="240" w:lineRule="auto"/>
        <w:ind w:firstLine="0"/>
        <w:rPr>
          <w:rFonts w:ascii="Arial" w:hAnsi="Arial" w:cs="Arial"/>
          <w:sz w:val="20"/>
          <w:szCs w:val="20"/>
        </w:rPr>
      </w:pPr>
      <w:r w:rsidRPr="00F22AE2">
        <w:rPr>
          <w:rFonts w:ascii="Arial" w:eastAsia="Arial" w:hAnsi="Arial" w:cs="Arial"/>
          <w:b/>
          <w:bCs/>
          <w:sz w:val="20"/>
          <w:szCs w:val="20"/>
          <w:u w:val="single"/>
          <w:lang w:val="es"/>
        </w:rPr>
        <w:t>TEMAS:</w:t>
      </w:r>
      <w:r w:rsidRPr="00F22AE2">
        <w:rPr>
          <w:rFonts w:ascii="Arial" w:eastAsia="Arial" w:hAnsi="Arial" w:cs="Arial"/>
          <w:b/>
          <w:bCs/>
          <w:sz w:val="20"/>
          <w:szCs w:val="20"/>
          <w:lang w:val="es"/>
        </w:rPr>
        <w:tab/>
        <w:t>INEFICACIA TRASLADO DE</w:t>
      </w:r>
      <w:r w:rsidRPr="00F22AE2">
        <w:rPr>
          <w:rFonts w:ascii="Arial" w:eastAsia="Arial" w:hAnsi="Arial" w:cs="Arial"/>
          <w:b/>
          <w:bCs/>
          <w:sz w:val="20"/>
          <w:szCs w:val="20"/>
          <w:lang w:val="es-CO"/>
        </w:rPr>
        <w:t xml:space="preserve"> RÉGIMEN PENSIONAL </w:t>
      </w:r>
      <w:r w:rsidRPr="00F22AE2">
        <w:rPr>
          <w:rFonts w:ascii="Arial" w:eastAsia="Arial" w:hAnsi="Arial" w:cs="Arial"/>
          <w:b/>
          <w:bCs/>
          <w:sz w:val="20"/>
          <w:szCs w:val="20"/>
          <w:lang w:val="es"/>
        </w:rPr>
        <w:t>/ NO APLICA A AFILIADOS YA PENSIONADOS / SITUACIÓN JURÍDICA CONSOLIDADA / LAS CONSECUENCIAS COMPROMETERÍAN RECURSOS Y RESPONSABILIDADES DE TERCEROS DE BUENA FE.</w:t>
      </w:r>
    </w:p>
    <w:p w14:paraId="4F849E13" w14:textId="77777777" w:rsidR="00F22AE2" w:rsidRPr="00F22AE2" w:rsidRDefault="00F22AE2" w:rsidP="00F22AE2">
      <w:pPr>
        <w:spacing w:line="240" w:lineRule="auto"/>
        <w:ind w:firstLine="0"/>
        <w:rPr>
          <w:rFonts w:ascii="Arial" w:hAnsi="Arial" w:cs="Arial"/>
          <w:sz w:val="20"/>
          <w:szCs w:val="20"/>
        </w:rPr>
      </w:pPr>
    </w:p>
    <w:p w14:paraId="2DB111C6" w14:textId="77777777" w:rsidR="00F22AE2" w:rsidRPr="00F22AE2" w:rsidRDefault="00F22AE2" w:rsidP="00F22AE2">
      <w:pPr>
        <w:spacing w:line="240" w:lineRule="auto"/>
        <w:ind w:firstLine="0"/>
        <w:rPr>
          <w:rFonts w:ascii="Arial" w:hAnsi="Arial" w:cs="Arial"/>
          <w:sz w:val="20"/>
          <w:szCs w:val="20"/>
        </w:rPr>
      </w:pPr>
      <w:r w:rsidRPr="00F22AE2">
        <w:rPr>
          <w:rFonts w:ascii="Arial" w:hAnsi="Arial" w:cs="Arial"/>
          <w:sz w:val="20"/>
          <w:szCs w:val="20"/>
        </w:rPr>
        <w:t>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w:t>
      </w:r>
    </w:p>
    <w:p w14:paraId="7D03AEB8" w14:textId="77777777" w:rsidR="00F22AE2" w:rsidRPr="00F22AE2" w:rsidRDefault="00F22AE2" w:rsidP="00F22AE2">
      <w:pPr>
        <w:spacing w:line="240" w:lineRule="auto"/>
        <w:ind w:firstLine="0"/>
        <w:rPr>
          <w:rFonts w:ascii="Arial" w:hAnsi="Arial" w:cs="Arial"/>
          <w:sz w:val="20"/>
          <w:szCs w:val="20"/>
        </w:rPr>
      </w:pPr>
    </w:p>
    <w:p w14:paraId="1152C83A" w14:textId="77777777" w:rsidR="00F22AE2" w:rsidRPr="00F22AE2" w:rsidRDefault="00F22AE2" w:rsidP="00F22AE2">
      <w:pPr>
        <w:spacing w:line="240" w:lineRule="auto"/>
        <w:ind w:firstLine="0"/>
        <w:rPr>
          <w:rFonts w:ascii="Arial" w:hAnsi="Arial" w:cs="Arial"/>
          <w:sz w:val="20"/>
          <w:szCs w:val="20"/>
        </w:rPr>
      </w:pPr>
      <w:r w:rsidRPr="00F22AE2">
        <w:rPr>
          <w:rFonts w:ascii="Arial" w:hAnsi="Arial" w:cs="Arial"/>
          <w:sz w:val="20"/>
          <w:szCs w:val="20"/>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2FD80475" w14:textId="77777777" w:rsidR="00F22AE2" w:rsidRPr="00F22AE2" w:rsidRDefault="00F22AE2" w:rsidP="00F22AE2">
      <w:pPr>
        <w:spacing w:line="240" w:lineRule="auto"/>
        <w:ind w:firstLine="0"/>
        <w:rPr>
          <w:rFonts w:ascii="Arial" w:hAnsi="Arial" w:cs="Arial"/>
          <w:sz w:val="20"/>
          <w:szCs w:val="20"/>
        </w:rPr>
      </w:pPr>
    </w:p>
    <w:p w14:paraId="0D2FB680" w14:textId="77777777" w:rsidR="00F22AE2" w:rsidRPr="00F22AE2" w:rsidRDefault="00F22AE2" w:rsidP="00F22AE2">
      <w:pPr>
        <w:spacing w:line="240" w:lineRule="auto"/>
        <w:ind w:firstLine="0"/>
        <w:rPr>
          <w:rFonts w:ascii="Arial" w:hAnsi="Arial" w:cs="Arial"/>
          <w:sz w:val="20"/>
          <w:szCs w:val="20"/>
        </w:rPr>
      </w:pPr>
      <w:r w:rsidRPr="00F22AE2">
        <w:rPr>
          <w:rFonts w:ascii="Arial" w:hAnsi="Arial" w:cs="Arial"/>
          <w:sz w:val="20"/>
          <w:szCs w:val="20"/>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7A79169A" w14:textId="77777777" w:rsidR="00F22AE2" w:rsidRPr="00F22AE2" w:rsidRDefault="00F22AE2" w:rsidP="00F22AE2">
      <w:pPr>
        <w:spacing w:line="240" w:lineRule="auto"/>
        <w:ind w:firstLine="0"/>
        <w:rPr>
          <w:rFonts w:ascii="Arial" w:hAnsi="Arial" w:cs="Arial"/>
          <w:sz w:val="20"/>
          <w:szCs w:val="20"/>
        </w:rPr>
      </w:pPr>
    </w:p>
    <w:p w14:paraId="12650470" w14:textId="1D3AA8C3" w:rsidR="00F22AE2" w:rsidRPr="00F22AE2" w:rsidRDefault="00CD2CB5" w:rsidP="00F22AE2">
      <w:pPr>
        <w:spacing w:line="240" w:lineRule="auto"/>
        <w:ind w:firstLine="0"/>
        <w:rPr>
          <w:rFonts w:ascii="Arial" w:hAnsi="Arial" w:cs="Arial"/>
          <w:sz w:val="20"/>
          <w:szCs w:val="20"/>
        </w:rPr>
      </w:pPr>
      <w:r w:rsidRPr="00CD2CB5">
        <w:rPr>
          <w:rFonts w:ascii="Arial" w:hAnsi="Arial" w:cs="Arial"/>
          <w:sz w:val="20"/>
          <w:szCs w:val="20"/>
        </w:rPr>
        <w:t>En el caso que concita la atención de la Sala, se encuentra plenamente acreditado que el actor suscribió formulario de traslado de régimen el 30 de mayo de 1994 por medio de la AFP Protección S.A., misma administradora que le reconoció pensión de vejez en modalidad de retiro programado desde el 3 de diciembre de 2018.</w:t>
      </w:r>
    </w:p>
    <w:p w14:paraId="48680525" w14:textId="77777777" w:rsidR="00F22AE2" w:rsidRPr="00F22AE2" w:rsidRDefault="00F22AE2" w:rsidP="00F22AE2">
      <w:pPr>
        <w:spacing w:line="240" w:lineRule="auto"/>
        <w:ind w:firstLine="0"/>
        <w:rPr>
          <w:rFonts w:ascii="Arial" w:hAnsi="Arial" w:cs="Arial"/>
          <w:sz w:val="20"/>
          <w:szCs w:val="20"/>
        </w:rPr>
      </w:pPr>
    </w:p>
    <w:p w14:paraId="599A28B8" w14:textId="77777777" w:rsidR="00F22AE2" w:rsidRPr="00F22AE2" w:rsidRDefault="00F22AE2" w:rsidP="00F22AE2">
      <w:pPr>
        <w:spacing w:line="240" w:lineRule="auto"/>
        <w:ind w:firstLine="0"/>
        <w:rPr>
          <w:rFonts w:ascii="Arial" w:hAnsi="Arial" w:cs="Arial"/>
          <w:sz w:val="20"/>
          <w:szCs w:val="20"/>
        </w:rPr>
      </w:pPr>
      <w:r w:rsidRPr="00F22AE2">
        <w:rPr>
          <w:rFonts w:ascii="Arial" w:hAnsi="Arial" w:cs="Arial"/>
          <w:sz w:val="20"/>
          <w:szCs w:val="20"/>
        </w:rPr>
        <w:t>Una vez adelantados los respectivos trámites por parte de la AFP ante la Oficina de Bonos Pensionales…, esa cartera ordenó la emisión y pago del bono pensional a favor del señor Montoya, situación que, a su vez, dio pie a que Protección S.A. le reconociera la pensión de vejez anticipada desde el 1º de septiembre de 2004.</w:t>
      </w:r>
    </w:p>
    <w:p w14:paraId="0A18F13D" w14:textId="77777777" w:rsidR="00F22AE2" w:rsidRPr="00F22AE2" w:rsidRDefault="00F22AE2" w:rsidP="00F22AE2">
      <w:pPr>
        <w:spacing w:line="240" w:lineRule="auto"/>
        <w:ind w:firstLine="0"/>
        <w:rPr>
          <w:rFonts w:ascii="Arial" w:hAnsi="Arial" w:cs="Arial"/>
          <w:sz w:val="20"/>
          <w:szCs w:val="20"/>
        </w:rPr>
      </w:pPr>
    </w:p>
    <w:p w14:paraId="58FBD64E" w14:textId="0DFB65B9" w:rsidR="00F22AE2" w:rsidRPr="00F22AE2" w:rsidRDefault="00650BD6" w:rsidP="00F22AE2">
      <w:pPr>
        <w:spacing w:line="240" w:lineRule="auto"/>
        <w:ind w:firstLine="0"/>
        <w:rPr>
          <w:rFonts w:ascii="Arial" w:hAnsi="Arial" w:cs="Arial"/>
          <w:sz w:val="20"/>
          <w:szCs w:val="20"/>
        </w:rPr>
      </w:pPr>
      <w:r w:rsidRPr="00650BD6">
        <w:rPr>
          <w:rFonts w:ascii="Arial" w:eastAsia="Arial" w:hAnsi="Arial" w:cs="Arial"/>
          <w:sz w:val="20"/>
          <w:szCs w:val="20"/>
          <w:lang w:val="es-CO"/>
        </w:rPr>
        <w:t>Lo anterior permite concluir que, a las luces del literal b) del artículo 13 de la Ley 100 de 1993 modificado por el artículo 2° de la Ley 797 de 2003, hoy por hoy se encuentra extinto el derecho que tenía el actor, como afiliado al sistema general de pensiones, a movilizarse entre los dos regímenes pensionales que lo conforman, pues al adquirir la calidad de pensionado su situación jurídica quedó definida y consolidada bajo el régimen jurídico que regenta a quienes ostentan la pensión de vejez, prestación que, dependió de una serie de actos que comprometen recursos y responsabilidades obligacionales de terceros de buena fe.</w:t>
      </w:r>
    </w:p>
    <w:p w14:paraId="505951C4" w14:textId="007A1A2A" w:rsidR="00F22AE2" w:rsidRDefault="00F22AE2" w:rsidP="00F22AE2">
      <w:pPr>
        <w:spacing w:line="240" w:lineRule="auto"/>
        <w:ind w:left="1418" w:hanging="1418"/>
        <w:rPr>
          <w:rFonts w:ascii="Arial" w:hAnsi="Arial" w:cs="Arial"/>
          <w:sz w:val="20"/>
          <w:szCs w:val="20"/>
        </w:rPr>
      </w:pPr>
    </w:p>
    <w:p w14:paraId="674A7A53" w14:textId="77777777" w:rsidR="00650BD6" w:rsidRPr="00F22AE2" w:rsidRDefault="00650BD6" w:rsidP="00F22AE2">
      <w:pPr>
        <w:spacing w:line="240" w:lineRule="auto"/>
        <w:ind w:left="1418" w:hanging="1418"/>
        <w:rPr>
          <w:rFonts w:ascii="Arial" w:hAnsi="Arial" w:cs="Arial"/>
          <w:sz w:val="20"/>
          <w:szCs w:val="20"/>
        </w:rPr>
      </w:pPr>
    </w:p>
    <w:p w14:paraId="0DA2A778" w14:textId="77777777" w:rsidR="00F22AE2" w:rsidRPr="00F22AE2" w:rsidRDefault="00F22AE2" w:rsidP="00F22AE2">
      <w:pPr>
        <w:spacing w:line="240" w:lineRule="auto"/>
        <w:ind w:left="1418" w:hanging="1418"/>
        <w:rPr>
          <w:rFonts w:ascii="Arial" w:hAnsi="Arial" w:cs="Arial"/>
          <w:bCs/>
          <w:sz w:val="20"/>
          <w:szCs w:val="20"/>
        </w:rPr>
      </w:pPr>
    </w:p>
    <w:bookmarkEnd w:id="0"/>
    <w:bookmarkEnd w:id="1"/>
    <w:p w14:paraId="22A63B66" w14:textId="77777777" w:rsidR="00A31306" w:rsidRPr="00F22AE2" w:rsidRDefault="00A31306" w:rsidP="00F22AE2">
      <w:pPr>
        <w:pStyle w:val="Ttulo4"/>
        <w:widowControl w:val="0"/>
        <w:tabs>
          <w:tab w:val="clear" w:pos="0"/>
        </w:tabs>
        <w:spacing w:line="276" w:lineRule="auto"/>
        <w:rPr>
          <w:rFonts w:ascii="Tahoma" w:hAnsi="Tahoma" w:cs="Tahoma"/>
          <w:bCs/>
          <w:szCs w:val="24"/>
          <w:lang w:eastAsia="es-MX"/>
        </w:rPr>
      </w:pPr>
      <w:r w:rsidRPr="00F22AE2">
        <w:rPr>
          <w:rFonts w:ascii="Tahoma" w:hAnsi="Tahoma" w:cs="Tahoma"/>
          <w:bCs/>
          <w:szCs w:val="24"/>
          <w:lang w:eastAsia="es-MX"/>
        </w:rPr>
        <w:t>TRIBUNAL SUPERIOR DEL DISTRITO JUDICIAL DE PEREIRA</w:t>
      </w:r>
    </w:p>
    <w:p w14:paraId="5E416C34" w14:textId="77777777" w:rsidR="00A31306" w:rsidRPr="00F22AE2" w:rsidRDefault="00A31306" w:rsidP="00F22AE2">
      <w:pPr>
        <w:pStyle w:val="Ttulo4"/>
        <w:widowControl w:val="0"/>
        <w:tabs>
          <w:tab w:val="clear" w:pos="0"/>
        </w:tabs>
        <w:spacing w:line="276" w:lineRule="auto"/>
        <w:rPr>
          <w:rFonts w:ascii="Tahoma" w:hAnsi="Tahoma" w:cs="Tahoma"/>
          <w:bCs/>
          <w:szCs w:val="24"/>
          <w:lang w:eastAsia="es-MX"/>
        </w:rPr>
      </w:pPr>
      <w:r w:rsidRPr="00F22AE2">
        <w:rPr>
          <w:rFonts w:ascii="Tahoma" w:hAnsi="Tahoma" w:cs="Tahoma"/>
          <w:bCs/>
          <w:szCs w:val="24"/>
          <w:lang w:eastAsia="es-MX"/>
        </w:rPr>
        <w:t>SALA PRIMERA DE DECISION LABORAL</w:t>
      </w:r>
    </w:p>
    <w:p w14:paraId="0EE0F0EB" w14:textId="77777777" w:rsidR="00A31306" w:rsidRPr="00F22AE2" w:rsidRDefault="00A31306" w:rsidP="00F22AE2">
      <w:pPr>
        <w:spacing w:line="276" w:lineRule="auto"/>
        <w:jc w:val="center"/>
        <w:rPr>
          <w:rFonts w:ascii="Tahoma" w:hAnsi="Tahoma" w:cs="Tahoma"/>
          <w:bCs/>
          <w:sz w:val="24"/>
          <w:szCs w:val="24"/>
        </w:rPr>
      </w:pPr>
    </w:p>
    <w:p w14:paraId="66871BAB" w14:textId="77777777" w:rsidR="00A31306" w:rsidRPr="00F22AE2" w:rsidRDefault="00A31306" w:rsidP="00F22AE2">
      <w:pPr>
        <w:spacing w:line="276" w:lineRule="auto"/>
        <w:ind w:firstLine="0"/>
        <w:jc w:val="center"/>
        <w:textAlignment w:val="baseline"/>
        <w:rPr>
          <w:rFonts w:ascii="Tahoma" w:eastAsia="Times New Roman" w:hAnsi="Tahoma" w:cs="Tahoma"/>
          <w:sz w:val="24"/>
          <w:szCs w:val="24"/>
          <w:lang w:val="es-CO" w:eastAsia="es-CO"/>
        </w:rPr>
      </w:pPr>
      <w:r w:rsidRPr="00F22AE2">
        <w:rPr>
          <w:rFonts w:ascii="Tahoma" w:eastAsia="Times New Roman" w:hAnsi="Tahoma" w:cs="Tahoma"/>
          <w:sz w:val="24"/>
          <w:szCs w:val="24"/>
          <w:lang w:eastAsia="es-CO"/>
        </w:rPr>
        <w:t>Magistrada Ponente: </w:t>
      </w:r>
      <w:r w:rsidRPr="00F22AE2">
        <w:rPr>
          <w:rFonts w:ascii="Tahoma" w:eastAsia="Times New Roman" w:hAnsi="Tahoma" w:cs="Tahoma"/>
          <w:b/>
          <w:bCs/>
          <w:sz w:val="24"/>
          <w:szCs w:val="24"/>
          <w:lang w:eastAsia="es-CO"/>
        </w:rPr>
        <w:t>Ana Lucía Caicedo Calderón</w:t>
      </w:r>
      <w:r w:rsidRPr="00F22AE2">
        <w:rPr>
          <w:rFonts w:ascii="Tahoma" w:eastAsia="Times New Roman" w:hAnsi="Tahoma" w:cs="Tahoma"/>
          <w:sz w:val="24"/>
          <w:szCs w:val="24"/>
          <w:lang w:val="es-CO" w:eastAsia="es-CO"/>
        </w:rPr>
        <w:t> </w:t>
      </w:r>
    </w:p>
    <w:p w14:paraId="683D6714" w14:textId="77777777" w:rsidR="00A31306" w:rsidRPr="00F22AE2" w:rsidRDefault="00A31306" w:rsidP="00F22AE2">
      <w:pPr>
        <w:spacing w:line="276" w:lineRule="auto"/>
        <w:ind w:firstLine="0"/>
        <w:jc w:val="center"/>
        <w:textAlignment w:val="baseline"/>
        <w:rPr>
          <w:rFonts w:ascii="Tahoma" w:eastAsia="Times New Roman" w:hAnsi="Tahoma" w:cs="Tahoma"/>
          <w:sz w:val="24"/>
          <w:szCs w:val="24"/>
          <w:lang w:val="es-CO" w:eastAsia="es-CO"/>
        </w:rPr>
      </w:pPr>
      <w:r w:rsidRPr="00F22AE2">
        <w:rPr>
          <w:rFonts w:ascii="Tahoma" w:eastAsia="Times New Roman" w:hAnsi="Tahoma" w:cs="Tahoma"/>
          <w:sz w:val="24"/>
          <w:szCs w:val="24"/>
          <w:lang w:val="es-CO" w:eastAsia="es-CO"/>
        </w:rPr>
        <w:t> </w:t>
      </w:r>
    </w:p>
    <w:p w14:paraId="2E9C9EF9" w14:textId="77777777" w:rsidR="00DA6860" w:rsidRPr="00F22AE2" w:rsidRDefault="00DA6860" w:rsidP="00F22AE2">
      <w:pPr>
        <w:pStyle w:val="paragraph"/>
        <w:spacing w:before="0" w:beforeAutospacing="0" w:after="0" w:afterAutospacing="0" w:line="276" w:lineRule="auto"/>
        <w:jc w:val="center"/>
        <w:textAlignment w:val="baseline"/>
        <w:rPr>
          <w:rFonts w:ascii="Tahoma" w:hAnsi="Tahoma" w:cs="Tahoma"/>
        </w:rPr>
      </w:pPr>
      <w:r w:rsidRPr="00F22AE2">
        <w:rPr>
          <w:rStyle w:val="normaltextrun"/>
          <w:rFonts w:ascii="Tahoma" w:hAnsi="Tahoma" w:cs="Tahoma"/>
          <w:lang w:val="es-ES"/>
        </w:rPr>
        <w:t>Pereira, Risaralda, veintiséis (26) de junio de dos mil veintitrés (2023)  </w:t>
      </w:r>
      <w:r w:rsidRPr="00F22AE2">
        <w:rPr>
          <w:rStyle w:val="eop"/>
          <w:rFonts w:ascii="Tahoma" w:hAnsi="Tahoma" w:cs="Tahoma"/>
        </w:rPr>
        <w:t> </w:t>
      </w:r>
    </w:p>
    <w:p w14:paraId="498B8AE7" w14:textId="116A3D64" w:rsidR="00DA6860" w:rsidRPr="00F22AE2" w:rsidRDefault="00DA6860" w:rsidP="00F22AE2">
      <w:pPr>
        <w:pStyle w:val="paragraph"/>
        <w:spacing w:before="0" w:beforeAutospacing="0" w:after="0" w:afterAutospacing="0" w:line="276" w:lineRule="auto"/>
        <w:jc w:val="center"/>
        <w:textAlignment w:val="baseline"/>
        <w:rPr>
          <w:rFonts w:ascii="Tahoma" w:hAnsi="Tahoma" w:cs="Tahoma"/>
        </w:rPr>
      </w:pPr>
      <w:r w:rsidRPr="00F22AE2">
        <w:rPr>
          <w:rStyle w:val="normaltextrun"/>
          <w:rFonts w:ascii="Tahoma" w:hAnsi="Tahoma" w:cs="Tahoma"/>
          <w:lang w:val="es-ES"/>
        </w:rPr>
        <w:t> Acta No. </w:t>
      </w:r>
      <w:r w:rsidR="2BEC6981" w:rsidRPr="00F22AE2">
        <w:rPr>
          <w:rStyle w:val="normaltextrun"/>
          <w:rFonts w:ascii="Tahoma" w:hAnsi="Tahoma" w:cs="Tahoma"/>
          <w:lang w:val="es-ES"/>
        </w:rPr>
        <w:t>99</w:t>
      </w:r>
      <w:r w:rsidRPr="00F22AE2">
        <w:rPr>
          <w:rStyle w:val="normaltextrun"/>
          <w:rFonts w:ascii="Tahoma" w:hAnsi="Tahoma" w:cs="Tahoma"/>
          <w:lang w:val="es-ES"/>
        </w:rPr>
        <w:t xml:space="preserve"> del 22 de junio de 2023 </w:t>
      </w:r>
      <w:r w:rsidRPr="00F22AE2">
        <w:rPr>
          <w:rStyle w:val="eop"/>
          <w:rFonts w:ascii="Tahoma" w:hAnsi="Tahoma" w:cs="Tahoma"/>
        </w:rPr>
        <w:t> </w:t>
      </w:r>
    </w:p>
    <w:p w14:paraId="18F7C9EB" w14:textId="7EA83701" w:rsidR="001C5C55" w:rsidRPr="00F22AE2" w:rsidRDefault="001C5C55" w:rsidP="00F22AE2">
      <w:pPr>
        <w:spacing w:line="276" w:lineRule="auto"/>
        <w:ind w:firstLine="0"/>
        <w:jc w:val="center"/>
        <w:rPr>
          <w:rFonts w:ascii="Tahoma" w:hAnsi="Tahoma" w:cs="Tahoma"/>
          <w:b/>
          <w:sz w:val="24"/>
          <w:szCs w:val="24"/>
          <w:lang w:val="es-CO"/>
        </w:rPr>
      </w:pPr>
    </w:p>
    <w:p w14:paraId="69D0D632" w14:textId="77777777" w:rsidR="00392D5B" w:rsidRPr="00F22AE2" w:rsidRDefault="00392D5B" w:rsidP="00F22AE2">
      <w:pPr>
        <w:spacing w:line="276" w:lineRule="auto"/>
        <w:ind w:firstLine="0"/>
        <w:jc w:val="center"/>
        <w:rPr>
          <w:rFonts w:ascii="Tahoma" w:hAnsi="Tahoma" w:cs="Tahoma"/>
          <w:b/>
          <w:sz w:val="24"/>
          <w:szCs w:val="24"/>
        </w:rPr>
      </w:pPr>
    </w:p>
    <w:p w14:paraId="0BAA2124" w14:textId="29548D52" w:rsidR="00A71401" w:rsidRPr="00F22AE2" w:rsidRDefault="00A31306" w:rsidP="00F22AE2">
      <w:pPr>
        <w:spacing w:line="276" w:lineRule="auto"/>
        <w:ind w:firstLine="708"/>
        <w:rPr>
          <w:rFonts w:ascii="Tahoma" w:eastAsia="Times New Roman" w:hAnsi="Tahoma" w:cs="Tahoma"/>
          <w:b/>
          <w:bCs/>
          <w:iCs/>
          <w:sz w:val="24"/>
          <w:szCs w:val="24"/>
          <w:lang w:val="es-CO" w:eastAsia="es-ES_tradnl"/>
        </w:rPr>
      </w:pPr>
      <w:r w:rsidRPr="00F22AE2">
        <w:rPr>
          <w:rFonts w:ascii="Tahoma" w:hAnsi="Tahoma" w:cs="Tahoma"/>
          <w:sz w:val="24"/>
          <w:szCs w:val="24"/>
        </w:rPr>
        <w:lastRenderedPageBreak/>
        <w:t>Teniendo en cuenta que el artículo 1</w:t>
      </w:r>
      <w:r w:rsidR="00D93123" w:rsidRPr="00F22AE2">
        <w:rPr>
          <w:rFonts w:ascii="Tahoma" w:hAnsi="Tahoma" w:cs="Tahoma"/>
          <w:sz w:val="24"/>
          <w:szCs w:val="24"/>
        </w:rPr>
        <w:t>3</w:t>
      </w:r>
      <w:r w:rsidRPr="00F22AE2">
        <w:rPr>
          <w:rFonts w:ascii="Tahoma" w:hAnsi="Tahoma" w:cs="Tahoma"/>
          <w:sz w:val="24"/>
          <w:szCs w:val="24"/>
        </w:rPr>
        <w:t xml:space="preserve"> de</w:t>
      </w:r>
      <w:r w:rsidR="00D93123" w:rsidRPr="00F22AE2">
        <w:rPr>
          <w:rFonts w:ascii="Tahoma" w:hAnsi="Tahoma" w:cs="Tahoma"/>
          <w:sz w:val="24"/>
          <w:szCs w:val="24"/>
        </w:rPr>
        <w:t xml:space="preserve"> la Ley 2213 de 2022</w:t>
      </w:r>
      <w:r w:rsidRPr="00F22AE2">
        <w:rPr>
          <w:rFonts w:ascii="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w:t>
      </w:r>
      <w:r w:rsidR="00D204BC" w:rsidRPr="00F22AE2">
        <w:rPr>
          <w:rFonts w:ascii="Tahoma" w:hAnsi="Tahoma" w:cs="Tahoma"/>
          <w:sz w:val="24"/>
          <w:szCs w:val="24"/>
        </w:rPr>
        <w:t xml:space="preserve">Primera </w:t>
      </w:r>
      <w:r w:rsidRPr="00F22AE2">
        <w:rPr>
          <w:rFonts w:ascii="Tahoma" w:hAnsi="Tahoma" w:cs="Tahoma"/>
          <w:sz w:val="24"/>
          <w:szCs w:val="24"/>
        </w:rPr>
        <w:t xml:space="preserve">de Decisión Laboral del Tribunal Superior de Pereira, integrada por las Magistradas ANA LUCÍA CAICEDO CALDERÓN como Ponente, OLGA LUCÍA HOYOS SEPÚLVEDA y el Magistrado </w:t>
      </w:r>
      <w:r w:rsidR="7F66CB0D" w:rsidRPr="00F22AE2">
        <w:rPr>
          <w:rFonts w:ascii="Tahoma" w:hAnsi="Tahoma" w:cs="Tahoma"/>
          <w:sz w:val="24"/>
          <w:szCs w:val="24"/>
        </w:rPr>
        <w:t>GERMAN DARIO GOEZ VINCASCO</w:t>
      </w:r>
      <w:r w:rsidRPr="00F22AE2">
        <w:rPr>
          <w:rFonts w:ascii="Tahoma" w:hAnsi="Tahoma" w:cs="Tahoma"/>
          <w:sz w:val="24"/>
          <w:szCs w:val="24"/>
        </w:rPr>
        <w:t xml:space="preserve">, procede a proferir la siguiente sentencia escrita dentro del proceso </w:t>
      </w:r>
      <w:r w:rsidRPr="00F52199">
        <w:rPr>
          <w:rFonts w:ascii="Tahoma" w:hAnsi="Tahoma" w:cs="Tahoma"/>
          <w:b/>
          <w:sz w:val="24"/>
          <w:szCs w:val="24"/>
        </w:rPr>
        <w:t>ordinario laboral</w:t>
      </w:r>
      <w:r w:rsidRPr="00F22AE2">
        <w:rPr>
          <w:rFonts w:ascii="Tahoma" w:hAnsi="Tahoma" w:cs="Tahoma"/>
          <w:sz w:val="24"/>
          <w:szCs w:val="24"/>
        </w:rPr>
        <w:t xml:space="preserve"> instaurado por </w:t>
      </w:r>
      <w:r w:rsidR="00FA7BC8" w:rsidRPr="00F22AE2">
        <w:rPr>
          <w:rFonts w:ascii="Tahoma" w:eastAsia="Times New Roman" w:hAnsi="Tahoma" w:cs="Tahoma"/>
          <w:b/>
          <w:bCs/>
          <w:sz w:val="24"/>
          <w:szCs w:val="24"/>
          <w:lang w:eastAsia="es-ES_tradnl"/>
        </w:rPr>
        <w:t xml:space="preserve">Genaro Rosales Sepúlveda </w:t>
      </w:r>
      <w:r w:rsidR="00FA7BC8" w:rsidRPr="00F22AE2">
        <w:rPr>
          <w:rFonts w:ascii="Tahoma" w:eastAsia="Times New Roman" w:hAnsi="Tahoma" w:cs="Tahoma"/>
          <w:sz w:val="24"/>
          <w:szCs w:val="24"/>
          <w:lang w:eastAsia="es-ES_tradnl"/>
        </w:rPr>
        <w:t xml:space="preserve">en contra de la </w:t>
      </w:r>
      <w:r w:rsidR="00FA7BC8" w:rsidRPr="00F22AE2">
        <w:rPr>
          <w:rFonts w:ascii="Tahoma" w:eastAsia="Times New Roman" w:hAnsi="Tahoma" w:cs="Tahoma"/>
          <w:b/>
          <w:bCs/>
          <w:sz w:val="24"/>
          <w:szCs w:val="24"/>
          <w:lang w:eastAsia="es-ES_tradnl"/>
        </w:rPr>
        <w:t xml:space="preserve">Administradora Colombiana de Pensiones – Colpensiones </w:t>
      </w:r>
      <w:r w:rsidR="00FA7BC8" w:rsidRPr="00F22AE2">
        <w:rPr>
          <w:rFonts w:ascii="Tahoma" w:eastAsia="Times New Roman" w:hAnsi="Tahoma" w:cs="Tahoma"/>
          <w:sz w:val="24"/>
          <w:szCs w:val="24"/>
          <w:lang w:eastAsia="es-ES_tradnl"/>
        </w:rPr>
        <w:t xml:space="preserve">y la </w:t>
      </w:r>
      <w:r w:rsidR="00FA7BC8" w:rsidRPr="00F22AE2">
        <w:rPr>
          <w:rFonts w:ascii="Tahoma" w:eastAsia="Times New Roman" w:hAnsi="Tahoma" w:cs="Tahoma"/>
          <w:b/>
          <w:bCs/>
          <w:sz w:val="24"/>
          <w:szCs w:val="24"/>
          <w:lang w:eastAsia="es-ES_tradnl"/>
        </w:rPr>
        <w:t xml:space="preserve">Administradora de Fondos de Pensiones y Cesantías Protección S.A., </w:t>
      </w:r>
      <w:r w:rsidR="00FA7BC8" w:rsidRPr="00F22AE2">
        <w:rPr>
          <w:rFonts w:ascii="Tahoma" w:eastAsia="Times New Roman" w:hAnsi="Tahoma" w:cs="Tahoma"/>
          <w:sz w:val="24"/>
          <w:szCs w:val="24"/>
          <w:lang w:eastAsia="es-ES_tradnl"/>
        </w:rPr>
        <w:t>trámite al que</w:t>
      </w:r>
      <w:r w:rsidR="00FA7BC8" w:rsidRPr="00F22AE2">
        <w:rPr>
          <w:rFonts w:ascii="Tahoma" w:eastAsia="Times New Roman" w:hAnsi="Tahoma" w:cs="Tahoma"/>
          <w:b/>
          <w:bCs/>
          <w:sz w:val="24"/>
          <w:szCs w:val="24"/>
          <w:lang w:eastAsia="es-ES_tradnl"/>
        </w:rPr>
        <w:t xml:space="preserve"> </w:t>
      </w:r>
      <w:r w:rsidR="00FA7BC8" w:rsidRPr="00F22AE2">
        <w:rPr>
          <w:rFonts w:ascii="Tahoma" w:eastAsia="Times New Roman" w:hAnsi="Tahoma" w:cs="Tahoma"/>
          <w:sz w:val="24"/>
          <w:szCs w:val="24"/>
          <w:lang w:eastAsia="es-ES_tradnl"/>
        </w:rPr>
        <w:t>fue vinculado en calidad de litisconsorte necesario</w:t>
      </w:r>
      <w:r w:rsidR="00FA7BC8" w:rsidRPr="00F22AE2">
        <w:rPr>
          <w:rFonts w:ascii="Tahoma" w:eastAsia="Times New Roman" w:hAnsi="Tahoma" w:cs="Tahoma"/>
          <w:b/>
          <w:bCs/>
          <w:sz w:val="24"/>
          <w:szCs w:val="24"/>
          <w:lang w:eastAsia="es-ES_tradnl"/>
        </w:rPr>
        <w:t xml:space="preserve"> la Nación</w:t>
      </w:r>
      <w:r w:rsidR="007951BA">
        <w:rPr>
          <w:rFonts w:ascii="Tahoma" w:eastAsia="Times New Roman" w:hAnsi="Tahoma" w:cs="Tahoma"/>
          <w:b/>
          <w:bCs/>
          <w:sz w:val="24"/>
          <w:szCs w:val="24"/>
          <w:lang w:eastAsia="es-ES_tradnl"/>
        </w:rPr>
        <w:t xml:space="preserve"> –</w:t>
      </w:r>
      <w:r w:rsidR="00FA7BC8" w:rsidRPr="00F22AE2">
        <w:rPr>
          <w:rFonts w:ascii="Tahoma" w:eastAsia="Times New Roman" w:hAnsi="Tahoma" w:cs="Tahoma"/>
          <w:b/>
          <w:bCs/>
          <w:sz w:val="24"/>
          <w:szCs w:val="24"/>
          <w:lang w:eastAsia="es-ES_tradnl"/>
        </w:rPr>
        <w:t xml:space="preserve"> </w:t>
      </w:r>
      <w:r w:rsidR="00FA7BC8" w:rsidRPr="00F22AE2">
        <w:rPr>
          <w:rFonts w:ascii="Tahoma" w:eastAsia="Times New Roman" w:hAnsi="Tahoma" w:cs="Tahoma"/>
          <w:b/>
          <w:bCs/>
          <w:iCs/>
          <w:sz w:val="24"/>
          <w:szCs w:val="24"/>
          <w:lang w:val="es-CO" w:eastAsia="es-ES_tradnl"/>
        </w:rPr>
        <w:t>Ministerio de Hacienda y Crédito Público</w:t>
      </w:r>
      <w:r w:rsidR="007951BA">
        <w:rPr>
          <w:rFonts w:ascii="Tahoma" w:eastAsia="Times New Roman" w:hAnsi="Tahoma" w:cs="Tahoma"/>
          <w:b/>
          <w:bCs/>
          <w:iCs/>
          <w:sz w:val="24"/>
          <w:szCs w:val="24"/>
          <w:lang w:val="es-CO" w:eastAsia="es-ES_tradnl"/>
        </w:rPr>
        <w:t xml:space="preserve"> –</w:t>
      </w:r>
      <w:r w:rsidR="00FA7BC8" w:rsidRPr="00F22AE2">
        <w:rPr>
          <w:rFonts w:ascii="Tahoma" w:eastAsia="Times New Roman" w:hAnsi="Tahoma" w:cs="Tahoma"/>
          <w:b/>
          <w:bCs/>
          <w:iCs/>
          <w:sz w:val="24"/>
          <w:szCs w:val="24"/>
          <w:lang w:val="es-CO" w:eastAsia="es-ES_tradnl"/>
        </w:rPr>
        <w:t xml:space="preserve"> Oficina de Bonos Pensionales.</w:t>
      </w:r>
    </w:p>
    <w:p w14:paraId="0E9F62EF" w14:textId="77777777" w:rsidR="00FA7BC8" w:rsidRPr="00F22AE2" w:rsidRDefault="00FA7BC8" w:rsidP="00F22AE2">
      <w:pPr>
        <w:spacing w:line="276" w:lineRule="auto"/>
        <w:ind w:firstLine="708"/>
        <w:rPr>
          <w:rFonts w:ascii="Tahoma" w:eastAsia="Times New Roman" w:hAnsi="Tahoma" w:cs="Tahoma"/>
          <w:b/>
          <w:bCs/>
          <w:iCs/>
          <w:sz w:val="24"/>
          <w:szCs w:val="24"/>
          <w:lang w:val="es-CO" w:eastAsia="es-ES_tradnl"/>
        </w:rPr>
      </w:pPr>
    </w:p>
    <w:p w14:paraId="10189EAD" w14:textId="5F69CFFD" w:rsidR="00A31306" w:rsidRPr="00F22AE2" w:rsidRDefault="00A31306" w:rsidP="00F22AE2">
      <w:pPr>
        <w:pStyle w:val="paragraph"/>
        <w:spacing w:before="0" w:beforeAutospacing="0" w:after="0" w:afterAutospacing="0" w:line="276" w:lineRule="auto"/>
        <w:jc w:val="center"/>
        <w:textAlignment w:val="baseline"/>
        <w:rPr>
          <w:rStyle w:val="normaltextrun"/>
          <w:rFonts w:ascii="Tahoma" w:hAnsi="Tahoma" w:cs="Tahoma"/>
          <w:b/>
          <w:bCs/>
        </w:rPr>
      </w:pPr>
      <w:r w:rsidRPr="00F22AE2">
        <w:rPr>
          <w:rStyle w:val="normaltextrun"/>
          <w:rFonts w:ascii="Tahoma" w:hAnsi="Tahoma" w:cs="Tahoma"/>
          <w:b/>
          <w:bCs/>
        </w:rPr>
        <w:t>PUNTO A TRATAR</w:t>
      </w:r>
    </w:p>
    <w:p w14:paraId="795D0D39" w14:textId="77777777" w:rsidR="00AB12BB" w:rsidRPr="00F22AE2" w:rsidRDefault="00AB12BB" w:rsidP="00F22AE2">
      <w:pPr>
        <w:pStyle w:val="paragraph"/>
        <w:spacing w:before="0" w:beforeAutospacing="0" w:after="0" w:afterAutospacing="0" w:line="276" w:lineRule="auto"/>
        <w:jc w:val="center"/>
        <w:textAlignment w:val="baseline"/>
        <w:rPr>
          <w:rFonts w:ascii="Tahoma" w:hAnsi="Tahoma" w:cs="Tahoma"/>
        </w:rPr>
      </w:pPr>
    </w:p>
    <w:p w14:paraId="4386228E" w14:textId="686FB227" w:rsidR="0039119E" w:rsidRPr="00F22AE2" w:rsidRDefault="0039119E" w:rsidP="00F22AE2">
      <w:pPr>
        <w:spacing w:line="276" w:lineRule="auto"/>
        <w:ind w:firstLine="705"/>
        <w:textAlignment w:val="baseline"/>
        <w:rPr>
          <w:rFonts w:ascii="Tahoma" w:eastAsia="Times New Roman" w:hAnsi="Tahoma" w:cs="Tahoma"/>
          <w:sz w:val="24"/>
          <w:szCs w:val="24"/>
          <w:lang w:val="es-ES_tradnl" w:eastAsia="es-ES_tradnl"/>
        </w:rPr>
      </w:pPr>
      <w:r w:rsidRPr="00F22AE2">
        <w:rPr>
          <w:rFonts w:ascii="Tahoma" w:eastAsia="Times New Roman" w:hAnsi="Tahoma" w:cs="Tahoma"/>
          <w:sz w:val="24"/>
          <w:szCs w:val="24"/>
          <w:lang w:eastAsia="es-ES_tradnl"/>
        </w:rPr>
        <w:t xml:space="preserve">Por medio de esta providencia procede la Sala a revolver el recurso de apelación interpuesto por </w:t>
      </w:r>
      <w:r w:rsidR="0012025D" w:rsidRPr="00F22AE2">
        <w:rPr>
          <w:rFonts w:ascii="Tahoma" w:eastAsia="Times New Roman" w:hAnsi="Tahoma" w:cs="Tahoma"/>
          <w:sz w:val="24"/>
          <w:szCs w:val="24"/>
          <w:lang w:eastAsia="es-ES_tradnl"/>
        </w:rPr>
        <w:t>la parte</w:t>
      </w:r>
      <w:r w:rsidRPr="00F22AE2">
        <w:rPr>
          <w:rFonts w:ascii="Tahoma" w:eastAsia="Times New Roman" w:hAnsi="Tahoma" w:cs="Tahoma"/>
          <w:sz w:val="24"/>
          <w:szCs w:val="24"/>
          <w:lang w:eastAsia="es-ES_tradnl"/>
        </w:rPr>
        <w:t xml:space="preserve"> demandante e</w:t>
      </w:r>
      <w:r w:rsidRPr="00F22AE2">
        <w:rPr>
          <w:rFonts w:ascii="Tahoma" w:eastAsia="Times New Roman" w:hAnsi="Tahoma" w:cs="Tahoma"/>
          <w:sz w:val="24"/>
          <w:szCs w:val="24"/>
          <w:lang w:val="es-CO" w:eastAsia="es-ES_tradnl"/>
        </w:rPr>
        <w:t xml:space="preserve">n contra de la sentencia proferida el </w:t>
      </w:r>
      <w:r w:rsidR="0035645A" w:rsidRPr="00F22AE2">
        <w:rPr>
          <w:rFonts w:ascii="Tahoma" w:eastAsia="Times New Roman" w:hAnsi="Tahoma" w:cs="Tahoma"/>
          <w:sz w:val="24"/>
          <w:szCs w:val="24"/>
          <w:lang w:val="es-CO" w:eastAsia="es-ES_tradnl"/>
        </w:rPr>
        <w:t>7 de diciembre de 2022</w:t>
      </w:r>
      <w:r w:rsidRPr="00F22AE2">
        <w:rPr>
          <w:rFonts w:ascii="Tahoma" w:eastAsia="Times New Roman" w:hAnsi="Tahoma" w:cs="Tahoma"/>
          <w:sz w:val="24"/>
          <w:szCs w:val="24"/>
          <w:lang w:val="es-CO" w:eastAsia="es-ES_tradnl"/>
        </w:rPr>
        <w:t xml:space="preserve"> por el Juzgado </w:t>
      </w:r>
      <w:r w:rsidR="0035645A" w:rsidRPr="00F22AE2">
        <w:rPr>
          <w:rFonts w:ascii="Tahoma" w:eastAsia="Times New Roman" w:hAnsi="Tahoma" w:cs="Tahoma"/>
          <w:sz w:val="24"/>
          <w:szCs w:val="24"/>
          <w:lang w:val="es-CO" w:eastAsia="es-ES_tradnl"/>
        </w:rPr>
        <w:t xml:space="preserve">Quinto </w:t>
      </w:r>
      <w:r w:rsidRPr="00F22AE2">
        <w:rPr>
          <w:rFonts w:ascii="Tahoma" w:eastAsia="Times New Roman" w:hAnsi="Tahoma" w:cs="Tahoma"/>
          <w:sz w:val="24"/>
          <w:szCs w:val="24"/>
          <w:lang w:val="es-CO" w:eastAsia="es-ES_tradnl"/>
        </w:rPr>
        <w:t>Laboral del Circuito de Pereira</w:t>
      </w:r>
      <w:r w:rsidRPr="00F22AE2">
        <w:rPr>
          <w:rFonts w:ascii="Tahoma" w:eastAsia="Times New Roman" w:hAnsi="Tahoma" w:cs="Tahoma"/>
          <w:sz w:val="24"/>
          <w:szCs w:val="24"/>
          <w:lang w:eastAsia="es-ES_tradnl"/>
        </w:rPr>
        <w:t>.</w:t>
      </w:r>
      <w:r w:rsidRPr="00F22AE2">
        <w:rPr>
          <w:rFonts w:ascii="Tahoma" w:eastAsia="Times New Roman" w:hAnsi="Tahoma" w:cs="Tahoma"/>
          <w:sz w:val="24"/>
          <w:szCs w:val="24"/>
          <w:vertAlign w:val="superscript"/>
          <w:lang w:eastAsia="es-ES_tradnl"/>
        </w:rPr>
        <w:t xml:space="preserve"> </w:t>
      </w:r>
      <w:r w:rsidRPr="00F22AE2">
        <w:rPr>
          <w:rFonts w:ascii="Tahoma" w:eastAsia="Times New Roman" w:hAnsi="Tahoma" w:cs="Tahoma"/>
          <w:sz w:val="24"/>
          <w:szCs w:val="24"/>
          <w:lang w:eastAsia="es-ES_tradnl"/>
        </w:rPr>
        <w:t>Para ello se tiene en cuenta lo siguiente: </w:t>
      </w:r>
    </w:p>
    <w:p w14:paraId="0BE872A9" w14:textId="77777777" w:rsidR="0039119E" w:rsidRPr="00F22AE2" w:rsidRDefault="0039119E" w:rsidP="00F22AE2">
      <w:pPr>
        <w:spacing w:line="276" w:lineRule="auto"/>
        <w:ind w:firstLine="705"/>
        <w:textAlignment w:val="baseline"/>
        <w:rPr>
          <w:rFonts w:ascii="Tahoma" w:eastAsia="Times New Roman" w:hAnsi="Tahoma" w:cs="Tahoma"/>
          <w:b/>
          <w:sz w:val="24"/>
          <w:szCs w:val="24"/>
          <w:lang w:val="es-CO" w:eastAsia="es-ES_tradnl"/>
        </w:rPr>
      </w:pPr>
    </w:p>
    <w:p w14:paraId="6F838566" w14:textId="6A853380" w:rsidR="0039119E" w:rsidRPr="00F22AE2" w:rsidRDefault="0039119E" w:rsidP="00F22AE2">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F22AE2">
        <w:rPr>
          <w:rFonts w:ascii="Tahoma" w:eastAsia="Times New Roman" w:hAnsi="Tahoma" w:cs="Tahoma"/>
          <w:b/>
          <w:sz w:val="24"/>
          <w:szCs w:val="24"/>
          <w:lang w:val="es-CO" w:eastAsia="es-ES_tradnl"/>
        </w:rPr>
        <w:t xml:space="preserve">La demanda y </w:t>
      </w:r>
      <w:r w:rsidR="00BB4B82" w:rsidRPr="00F22AE2">
        <w:rPr>
          <w:rFonts w:ascii="Tahoma" w:eastAsia="Times New Roman" w:hAnsi="Tahoma" w:cs="Tahoma"/>
          <w:b/>
          <w:sz w:val="24"/>
          <w:szCs w:val="24"/>
          <w:lang w:val="es-CO" w:eastAsia="es-ES_tradnl"/>
        </w:rPr>
        <w:t>la</w:t>
      </w:r>
      <w:r w:rsidRPr="00F22AE2">
        <w:rPr>
          <w:rFonts w:ascii="Tahoma" w:eastAsia="Times New Roman" w:hAnsi="Tahoma" w:cs="Tahoma"/>
          <w:b/>
          <w:sz w:val="24"/>
          <w:szCs w:val="24"/>
          <w:lang w:val="es-CO" w:eastAsia="es-ES_tradnl"/>
        </w:rPr>
        <w:t xml:space="preserve"> contestación</w:t>
      </w:r>
      <w:r w:rsidR="00BB4B82" w:rsidRPr="00F22AE2">
        <w:rPr>
          <w:rFonts w:ascii="Tahoma" w:eastAsia="Times New Roman" w:hAnsi="Tahoma" w:cs="Tahoma"/>
          <w:b/>
          <w:sz w:val="24"/>
          <w:szCs w:val="24"/>
          <w:lang w:val="es-CO" w:eastAsia="es-ES_tradnl"/>
        </w:rPr>
        <w:t xml:space="preserve"> de la demanda</w:t>
      </w:r>
    </w:p>
    <w:p w14:paraId="23A18940" w14:textId="77777777" w:rsidR="0039119E" w:rsidRPr="00F22AE2" w:rsidRDefault="0039119E" w:rsidP="00F22AE2">
      <w:pPr>
        <w:spacing w:line="276" w:lineRule="auto"/>
        <w:ind w:firstLine="705"/>
        <w:textAlignment w:val="baseline"/>
        <w:rPr>
          <w:rFonts w:ascii="Tahoma" w:eastAsia="Times New Roman" w:hAnsi="Tahoma" w:cs="Tahoma"/>
          <w:sz w:val="24"/>
          <w:szCs w:val="24"/>
          <w:lang w:val="es-CO" w:eastAsia="es-ES_tradnl"/>
        </w:rPr>
      </w:pPr>
    </w:p>
    <w:p w14:paraId="2D5832E6" w14:textId="77777777" w:rsidR="003F1464" w:rsidRPr="00F22AE2" w:rsidRDefault="00F27130"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sz w:val="24"/>
          <w:szCs w:val="24"/>
          <w:lang w:val="es-CO" w:eastAsia="es-ES_tradnl"/>
        </w:rPr>
        <w:t xml:space="preserve">Solicita </w:t>
      </w:r>
      <w:r w:rsidR="00C267F8" w:rsidRPr="00F22AE2">
        <w:rPr>
          <w:rFonts w:ascii="Tahoma" w:eastAsia="Times New Roman" w:hAnsi="Tahoma" w:cs="Tahoma"/>
          <w:sz w:val="24"/>
          <w:szCs w:val="24"/>
          <w:lang w:val="es-CO" w:eastAsia="es-ES_tradnl"/>
        </w:rPr>
        <w:t>e</w:t>
      </w:r>
      <w:r w:rsidRPr="00F22AE2">
        <w:rPr>
          <w:rFonts w:ascii="Tahoma" w:eastAsia="Times New Roman" w:hAnsi="Tahoma" w:cs="Tahoma"/>
          <w:sz w:val="24"/>
          <w:szCs w:val="24"/>
          <w:lang w:val="es-CO" w:eastAsia="es-ES_tradnl"/>
        </w:rPr>
        <w:t>l</w:t>
      </w:r>
      <w:r w:rsidR="0039119E" w:rsidRPr="00F22AE2">
        <w:rPr>
          <w:rFonts w:ascii="Tahoma" w:eastAsia="Times New Roman" w:hAnsi="Tahoma" w:cs="Tahoma"/>
          <w:sz w:val="24"/>
          <w:szCs w:val="24"/>
          <w:lang w:val="es-CO" w:eastAsia="es-ES_tradnl"/>
        </w:rPr>
        <w:t xml:space="preserve"> demandante que se declare la</w:t>
      </w:r>
      <w:r w:rsidR="00812CF7" w:rsidRPr="00F22AE2">
        <w:rPr>
          <w:rFonts w:ascii="Tahoma" w:eastAsia="Times New Roman" w:hAnsi="Tahoma" w:cs="Tahoma"/>
          <w:sz w:val="24"/>
          <w:szCs w:val="24"/>
          <w:lang w:val="es-CO" w:eastAsia="es-ES_tradnl"/>
        </w:rPr>
        <w:t xml:space="preserve"> ineficacia</w:t>
      </w:r>
      <w:r w:rsidR="00445596" w:rsidRPr="00F22AE2">
        <w:rPr>
          <w:rFonts w:ascii="Tahoma" w:eastAsia="Times New Roman" w:hAnsi="Tahoma" w:cs="Tahoma"/>
          <w:sz w:val="24"/>
          <w:szCs w:val="24"/>
          <w:lang w:val="es-CO" w:eastAsia="es-ES_tradnl"/>
        </w:rPr>
        <w:t xml:space="preserve"> y/o nulidad del Acto </w:t>
      </w:r>
      <w:r w:rsidR="00971EAB" w:rsidRPr="00F22AE2">
        <w:rPr>
          <w:rFonts w:ascii="Tahoma" w:eastAsia="Times New Roman" w:hAnsi="Tahoma" w:cs="Tahoma"/>
          <w:sz w:val="24"/>
          <w:szCs w:val="24"/>
          <w:lang w:val="es-CO" w:eastAsia="es-ES_tradnl"/>
        </w:rPr>
        <w:t xml:space="preserve">Jurídico de </w:t>
      </w:r>
      <w:r w:rsidR="00D06AA3" w:rsidRPr="00F22AE2">
        <w:rPr>
          <w:rFonts w:ascii="Tahoma" w:eastAsia="Times New Roman" w:hAnsi="Tahoma" w:cs="Tahoma"/>
          <w:sz w:val="24"/>
          <w:szCs w:val="24"/>
          <w:lang w:val="es-CO" w:eastAsia="es-ES_tradnl"/>
        </w:rPr>
        <w:t xml:space="preserve">traslado de Régimen Pensional llevado </w:t>
      </w:r>
      <w:r w:rsidR="008C03DD" w:rsidRPr="00F22AE2">
        <w:rPr>
          <w:rFonts w:ascii="Tahoma" w:eastAsia="Times New Roman" w:hAnsi="Tahoma" w:cs="Tahoma"/>
          <w:sz w:val="24"/>
          <w:szCs w:val="24"/>
          <w:lang w:val="es-CO" w:eastAsia="es-ES_tradnl"/>
        </w:rPr>
        <w:t xml:space="preserve">a cabo </w:t>
      </w:r>
      <w:r w:rsidR="00FB1D7A" w:rsidRPr="00F22AE2">
        <w:rPr>
          <w:rFonts w:ascii="Tahoma" w:eastAsia="Times New Roman" w:hAnsi="Tahoma" w:cs="Tahoma"/>
          <w:sz w:val="24"/>
          <w:szCs w:val="24"/>
          <w:lang w:val="es-CO" w:eastAsia="es-ES_tradnl"/>
        </w:rPr>
        <w:t xml:space="preserve">en junio de 1994, </w:t>
      </w:r>
      <w:r w:rsidR="00812CF7" w:rsidRPr="00F22AE2">
        <w:rPr>
          <w:rFonts w:ascii="Tahoma" w:eastAsia="Times New Roman" w:hAnsi="Tahoma" w:cs="Tahoma"/>
          <w:sz w:val="24"/>
          <w:szCs w:val="24"/>
          <w:lang w:val="es-CO" w:eastAsia="es-ES_tradnl"/>
        </w:rPr>
        <w:t xml:space="preserve">que conllevó al traslado </w:t>
      </w:r>
      <w:r w:rsidR="008A26E7" w:rsidRPr="00F22AE2">
        <w:rPr>
          <w:rFonts w:ascii="Tahoma" w:eastAsia="Times New Roman" w:hAnsi="Tahoma" w:cs="Tahoma"/>
          <w:sz w:val="24"/>
          <w:szCs w:val="24"/>
          <w:lang w:val="es-CO" w:eastAsia="es-ES_tradnl"/>
        </w:rPr>
        <w:t>del</w:t>
      </w:r>
      <w:r w:rsidR="00812CF7" w:rsidRPr="00F22AE2">
        <w:rPr>
          <w:rFonts w:ascii="Tahoma" w:eastAsia="Times New Roman" w:hAnsi="Tahoma" w:cs="Tahoma"/>
          <w:sz w:val="24"/>
          <w:szCs w:val="24"/>
          <w:lang w:val="es-CO" w:eastAsia="es-ES_tradnl"/>
        </w:rPr>
        <w:t xml:space="preserve"> régimen </w:t>
      </w:r>
      <w:r w:rsidR="008A26E7" w:rsidRPr="00F22AE2">
        <w:rPr>
          <w:rFonts w:ascii="Tahoma" w:eastAsia="Times New Roman" w:hAnsi="Tahoma" w:cs="Tahoma"/>
          <w:sz w:val="24"/>
          <w:szCs w:val="24"/>
          <w:lang w:val="es-CO" w:eastAsia="es-ES_tradnl"/>
        </w:rPr>
        <w:t xml:space="preserve">de prima media con prestación definida (en adelante PRM) al </w:t>
      </w:r>
      <w:r w:rsidR="00812CF7" w:rsidRPr="00F22AE2">
        <w:rPr>
          <w:rFonts w:ascii="Tahoma" w:eastAsia="Times New Roman" w:hAnsi="Tahoma" w:cs="Tahoma"/>
          <w:sz w:val="24"/>
          <w:szCs w:val="24"/>
          <w:lang w:val="es-CO" w:eastAsia="es-ES_tradnl"/>
        </w:rPr>
        <w:t xml:space="preserve">de ahorro individual con solidaridad (en adelante RAIS). </w:t>
      </w:r>
    </w:p>
    <w:p w14:paraId="052B5280" w14:textId="77777777" w:rsidR="003F1464" w:rsidRPr="00F22AE2" w:rsidRDefault="003F1464" w:rsidP="00F22AE2">
      <w:pPr>
        <w:spacing w:line="276" w:lineRule="auto"/>
        <w:ind w:firstLine="705"/>
        <w:textAlignment w:val="baseline"/>
        <w:rPr>
          <w:rFonts w:ascii="Tahoma" w:eastAsia="Times New Roman" w:hAnsi="Tahoma" w:cs="Tahoma"/>
          <w:sz w:val="24"/>
          <w:szCs w:val="24"/>
          <w:lang w:val="es-CO" w:eastAsia="es-ES_tradnl"/>
        </w:rPr>
      </w:pPr>
    </w:p>
    <w:p w14:paraId="346A646A" w14:textId="3D1696D7" w:rsidR="00AE56A5" w:rsidRPr="00F22AE2" w:rsidRDefault="00AE56A5"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sz w:val="24"/>
          <w:szCs w:val="24"/>
          <w:lang w:val="es-CO" w:eastAsia="es-ES_tradnl"/>
        </w:rPr>
        <w:t xml:space="preserve">En consecuencia, </w:t>
      </w:r>
      <w:r w:rsidR="008A65C9" w:rsidRPr="00F22AE2">
        <w:rPr>
          <w:rFonts w:ascii="Tahoma" w:eastAsia="Times New Roman" w:hAnsi="Tahoma" w:cs="Tahoma"/>
          <w:sz w:val="24"/>
          <w:szCs w:val="24"/>
          <w:lang w:val="es-CO" w:eastAsia="es-ES_tradnl"/>
        </w:rPr>
        <w:t xml:space="preserve">se condene a Protección S.A. a trasladar a Colpensiones </w:t>
      </w:r>
      <w:r w:rsidR="001D7216" w:rsidRPr="00F22AE2">
        <w:rPr>
          <w:rFonts w:ascii="Tahoma" w:eastAsia="Times New Roman" w:hAnsi="Tahoma" w:cs="Tahoma"/>
          <w:sz w:val="24"/>
          <w:szCs w:val="24"/>
          <w:lang w:val="es-CO" w:eastAsia="es-ES_tradnl"/>
        </w:rPr>
        <w:t xml:space="preserve">el capital ahorrado en la cuenta de ahorro individual, bonos pensionales, y la diferencia entre el valor de lo trasladado a la AFP y lo que hubiere cotizado de haber permanecido en el </w:t>
      </w:r>
      <w:r w:rsidR="003F1464" w:rsidRPr="00F22AE2">
        <w:rPr>
          <w:rFonts w:ascii="Tahoma" w:eastAsia="Times New Roman" w:hAnsi="Tahoma" w:cs="Tahoma"/>
          <w:sz w:val="24"/>
          <w:szCs w:val="24"/>
          <w:lang w:val="es-CO" w:eastAsia="es-ES_tradnl"/>
        </w:rPr>
        <w:t xml:space="preserve">RPM. Asimismo, que se condene a Colpensiones a </w:t>
      </w:r>
      <w:r w:rsidR="00F942DA" w:rsidRPr="00F22AE2">
        <w:rPr>
          <w:rFonts w:ascii="Tahoma" w:eastAsia="Times New Roman" w:hAnsi="Tahoma" w:cs="Tahoma"/>
          <w:sz w:val="24"/>
          <w:szCs w:val="24"/>
          <w:lang w:val="es-CO" w:eastAsia="es-ES_tradnl"/>
        </w:rPr>
        <w:t xml:space="preserve">que </w:t>
      </w:r>
      <w:r w:rsidRPr="00F22AE2">
        <w:rPr>
          <w:rFonts w:ascii="Tahoma" w:eastAsia="Times New Roman" w:hAnsi="Tahoma" w:cs="Tahoma"/>
          <w:sz w:val="24"/>
          <w:szCs w:val="24"/>
          <w:lang w:val="es-CO" w:eastAsia="es-ES_tradnl"/>
        </w:rPr>
        <w:t xml:space="preserve">reestablezca la afiliación </w:t>
      </w:r>
      <w:r w:rsidR="00F942DA" w:rsidRPr="00F22AE2">
        <w:rPr>
          <w:rFonts w:ascii="Tahoma" w:eastAsia="Times New Roman" w:hAnsi="Tahoma" w:cs="Tahoma"/>
          <w:sz w:val="24"/>
          <w:szCs w:val="24"/>
          <w:lang w:val="es-CO" w:eastAsia="es-ES_tradnl"/>
        </w:rPr>
        <w:t xml:space="preserve">y reliquide y pague la pensión que le fue reconocida por </w:t>
      </w:r>
      <w:r w:rsidR="005F70A6" w:rsidRPr="00F22AE2">
        <w:rPr>
          <w:rFonts w:ascii="Tahoma" w:eastAsia="Times New Roman" w:hAnsi="Tahoma" w:cs="Tahoma"/>
          <w:sz w:val="24"/>
          <w:szCs w:val="24"/>
          <w:lang w:val="es-CO" w:eastAsia="es-ES_tradnl"/>
        </w:rPr>
        <w:t>Protección el 3 de diciembre de 2018</w:t>
      </w:r>
      <w:r w:rsidR="004B57D0" w:rsidRPr="00F22AE2">
        <w:rPr>
          <w:rFonts w:ascii="Tahoma" w:eastAsia="Times New Roman" w:hAnsi="Tahoma" w:cs="Tahoma"/>
          <w:sz w:val="24"/>
          <w:szCs w:val="24"/>
          <w:lang w:val="es-CO" w:eastAsia="es-ES_tradnl"/>
        </w:rPr>
        <w:t xml:space="preserve">, lo que se demuestre bajo las facultades ultra y extra petita y las costas procesales en su favor. </w:t>
      </w:r>
    </w:p>
    <w:p w14:paraId="0CD455B5" w14:textId="77777777" w:rsidR="0039119E" w:rsidRPr="00F22AE2" w:rsidRDefault="0039119E" w:rsidP="00F22AE2">
      <w:pPr>
        <w:spacing w:line="276" w:lineRule="auto"/>
        <w:ind w:firstLine="0"/>
        <w:textAlignment w:val="baseline"/>
        <w:rPr>
          <w:rFonts w:ascii="Tahoma" w:eastAsia="Times New Roman" w:hAnsi="Tahoma" w:cs="Tahoma"/>
          <w:sz w:val="24"/>
          <w:szCs w:val="24"/>
          <w:lang w:val="es-CO" w:eastAsia="es-ES_tradnl"/>
        </w:rPr>
      </w:pPr>
    </w:p>
    <w:p w14:paraId="6EB09243" w14:textId="2B9F4DB8" w:rsidR="00826762" w:rsidRPr="00F22AE2" w:rsidRDefault="0039119E"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sz w:val="24"/>
          <w:szCs w:val="24"/>
          <w:lang w:val="es-CO" w:eastAsia="es-ES_tradnl"/>
        </w:rPr>
        <w:t xml:space="preserve">Para </w:t>
      </w:r>
      <w:r w:rsidR="00BB198D" w:rsidRPr="00F22AE2">
        <w:rPr>
          <w:rFonts w:ascii="Tahoma" w:eastAsia="Times New Roman" w:hAnsi="Tahoma" w:cs="Tahoma"/>
          <w:sz w:val="24"/>
          <w:szCs w:val="24"/>
          <w:lang w:val="es-CO" w:eastAsia="es-ES_tradnl"/>
        </w:rPr>
        <w:t xml:space="preserve">fundar tales </w:t>
      </w:r>
      <w:r w:rsidR="008015A5" w:rsidRPr="00F22AE2">
        <w:rPr>
          <w:rFonts w:ascii="Tahoma" w:eastAsia="Times New Roman" w:hAnsi="Tahoma" w:cs="Tahoma"/>
          <w:sz w:val="24"/>
          <w:szCs w:val="24"/>
          <w:lang w:val="es-CO" w:eastAsia="es-ES_tradnl"/>
        </w:rPr>
        <w:t>pretensiones</w:t>
      </w:r>
      <w:r w:rsidR="00BB4B82" w:rsidRPr="00F22AE2">
        <w:rPr>
          <w:rFonts w:ascii="Tahoma" w:eastAsia="Times New Roman" w:hAnsi="Tahoma" w:cs="Tahoma"/>
          <w:sz w:val="24"/>
          <w:szCs w:val="24"/>
          <w:lang w:val="es-CO" w:eastAsia="es-ES_tradnl"/>
        </w:rPr>
        <w:t>,</w:t>
      </w:r>
      <w:r w:rsidR="008015A5" w:rsidRPr="00F22AE2">
        <w:rPr>
          <w:rFonts w:ascii="Tahoma" w:eastAsia="Times New Roman" w:hAnsi="Tahoma" w:cs="Tahoma"/>
          <w:sz w:val="24"/>
          <w:szCs w:val="24"/>
          <w:lang w:val="es-CO" w:eastAsia="es-ES_tradnl"/>
        </w:rPr>
        <w:t xml:space="preserve"> </w:t>
      </w:r>
      <w:r w:rsidR="00600D0A" w:rsidRPr="00F22AE2">
        <w:rPr>
          <w:rFonts w:ascii="Tahoma" w:eastAsia="Times New Roman" w:hAnsi="Tahoma" w:cs="Tahoma"/>
          <w:sz w:val="24"/>
          <w:szCs w:val="24"/>
          <w:lang w:val="es-CO" w:eastAsia="es-ES_tradnl"/>
        </w:rPr>
        <w:t>manifiesta que nació</w:t>
      </w:r>
      <w:r w:rsidR="004F1B4A" w:rsidRPr="00F22AE2">
        <w:rPr>
          <w:rFonts w:ascii="Tahoma" w:eastAsia="Times New Roman" w:hAnsi="Tahoma" w:cs="Tahoma"/>
          <w:sz w:val="24"/>
          <w:szCs w:val="24"/>
          <w:lang w:val="es-CO" w:eastAsia="es-ES_tradnl"/>
        </w:rPr>
        <w:t xml:space="preserve"> el 14 de octubre de 1956, que realizó cotizaciones al RPM desde el 11 de marzo de 1985 hasta</w:t>
      </w:r>
      <w:r w:rsidR="00BB07E4" w:rsidRPr="00F22AE2">
        <w:rPr>
          <w:rFonts w:ascii="Tahoma" w:eastAsia="Times New Roman" w:hAnsi="Tahoma" w:cs="Tahoma"/>
          <w:sz w:val="24"/>
          <w:szCs w:val="24"/>
          <w:lang w:val="es-CO" w:eastAsia="es-ES_tradnl"/>
        </w:rPr>
        <w:t xml:space="preserve"> junio de 1994 cuando suscribió formulario de afiliación a Protección S.A., relata que el asesor de dicha AFP no le otorgó información </w:t>
      </w:r>
      <w:r w:rsidR="00BE56D4" w:rsidRPr="00F22AE2">
        <w:rPr>
          <w:rFonts w:ascii="Tahoma" w:eastAsia="Times New Roman" w:hAnsi="Tahoma" w:cs="Tahoma"/>
          <w:sz w:val="24"/>
          <w:szCs w:val="24"/>
          <w:lang w:val="es-CO" w:eastAsia="es-ES_tradnl"/>
        </w:rPr>
        <w:t xml:space="preserve">plena, cierta y oportuna de las ventajas, desventajas y consecuencias de cada régimen. </w:t>
      </w:r>
    </w:p>
    <w:p w14:paraId="7A73ED01" w14:textId="77777777" w:rsidR="005830AE" w:rsidRPr="00F22AE2" w:rsidRDefault="005830AE" w:rsidP="00F22AE2">
      <w:pPr>
        <w:spacing w:line="276" w:lineRule="auto"/>
        <w:ind w:firstLine="705"/>
        <w:textAlignment w:val="baseline"/>
        <w:rPr>
          <w:rFonts w:ascii="Tahoma" w:eastAsia="Times New Roman" w:hAnsi="Tahoma" w:cs="Tahoma"/>
          <w:sz w:val="24"/>
          <w:szCs w:val="24"/>
          <w:lang w:val="es-CO" w:eastAsia="es-ES_tradnl"/>
        </w:rPr>
      </w:pPr>
    </w:p>
    <w:p w14:paraId="6F213FB7" w14:textId="40D8E833" w:rsidR="005830AE" w:rsidRPr="00F22AE2" w:rsidRDefault="005830AE"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sz w:val="24"/>
          <w:szCs w:val="24"/>
          <w:lang w:val="es-CO" w:eastAsia="es-ES_tradnl"/>
        </w:rPr>
        <w:t>Afirma que el 3 de diciembre de 2018 Protección S.A.</w:t>
      </w:r>
      <w:r w:rsidR="007D5A04" w:rsidRPr="00F22AE2">
        <w:rPr>
          <w:rFonts w:ascii="Tahoma" w:eastAsia="Times New Roman" w:hAnsi="Tahoma" w:cs="Tahoma"/>
          <w:sz w:val="24"/>
          <w:szCs w:val="24"/>
          <w:lang w:val="es-CO" w:eastAsia="es-ES_tradnl"/>
        </w:rPr>
        <w:t xml:space="preserve"> le reconoció pensión de vejez en modalidad de retiro programado</w:t>
      </w:r>
      <w:r w:rsidR="00BF7EB3" w:rsidRPr="00F22AE2">
        <w:rPr>
          <w:rFonts w:ascii="Tahoma" w:eastAsia="Times New Roman" w:hAnsi="Tahoma" w:cs="Tahoma"/>
          <w:sz w:val="24"/>
          <w:szCs w:val="24"/>
          <w:lang w:val="es-CO" w:eastAsia="es-ES_tradnl"/>
        </w:rPr>
        <w:t xml:space="preserve">. Por último, informa que el 16 y 18 de febrero de 2019 solicitó el </w:t>
      </w:r>
      <w:r w:rsidR="00D86945" w:rsidRPr="00F22AE2">
        <w:rPr>
          <w:rFonts w:ascii="Tahoma" w:eastAsia="Times New Roman" w:hAnsi="Tahoma" w:cs="Tahoma"/>
          <w:sz w:val="24"/>
          <w:szCs w:val="24"/>
          <w:lang w:val="es-CO" w:eastAsia="es-ES_tradnl"/>
        </w:rPr>
        <w:t>traslado</w:t>
      </w:r>
      <w:r w:rsidR="00BF7EB3" w:rsidRPr="00F22AE2">
        <w:rPr>
          <w:rFonts w:ascii="Tahoma" w:eastAsia="Times New Roman" w:hAnsi="Tahoma" w:cs="Tahoma"/>
          <w:sz w:val="24"/>
          <w:szCs w:val="24"/>
          <w:lang w:val="es-CO" w:eastAsia="es-ES_tradnl"/>
        </w:rPr>
        <w:t xml:space="preserve"> de régimen a Colpensiones y Protección, respectivamente, empero fue resuelto de forma desfavorable</w:t>
      </w:r>
      <w:r w:rsidR="00D86945" w:rsidRPr="00F22AE2">
        <w:rPr>
          <w:rFonts w:ascii="Tahoma" w:eastAsia="Times New Roman" w:hAnsi="Tahoma" w:cs="Tahoma"/>
          <w:sz w:val="24"/>
          <w:szCs w:val="24"/>
          <w:lang w:val="es-CO" w:eastAsia="es-ES_tradnl"/>
        </w:rPr>
        <w:t>.</w:t>
      </w:r>
    </w:p>
    <w:p w14:paraId="0C04426F" w14:textId="77777777" w:rsidR="00105E6A" w:rsidRPr="00F22AE2" w:rsidRDefault="00105E6A" w:rsidP="00F22AE2">
      <w:pPr>
        <w:spacing w:line="276" w:lineRule="auto"/>
        <w:ind w:firstLine="0"/>
        <w:textAlignment w:val="baseline"/>
        <w:rPr>
          <w:rFonts w:ascii="Tahoma" w:eastAsia="Times New Roman" w:hAnsi="Tahoma" w:cs="Tahoma"/>
          <w:sz w:val="24"/>
          <w:szCs w:val="24"/>
          <w:lang w:val="es-CO" w:eastAsia="es-ES_tradnl"/>
        </w:rPr>
      </w:pPr>
    </w:p>
    <w:p w14:paraId="77B3E354" w14:textId="1A2383B5" w:rsidR="00A07A16" w:rsidRPr="00F22AE2" w:rsidRDefault="00105E6A"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b/>
          <w:sz w:val="24"/>
          <w:szCs w:val="24"/>
          <w:lang w:val="es-CO" w:eastAsia="es-ES_tradnl"/>
        </w:rPr>
        <w:lastRenderedPageBreak/>
        <w:t xml:space="preserve">Colpensiones </w:t>
      </w:r>
      <w:r w:rsidRPr="00F22AE2">
        <w:rPr>
          <w:rFonts w:ascii="Tahoma" w:eastAsia="Times New Roman" w:hAnsi="Tahoma" w:cs="Tahoma"/>
          <w:sz w:val="24"/>
          <w:szCs w:val="24"/>
          <w:lang w:val="es-CO" w:eastAsia="es-ES_tradnl"/>
        </w:rPr>
        <w:t>solicitó que se negaran las pretensiones arguyendo que el traslado aprobado del RPM al RAIS, posee plena validez,</w:t>
      </w:r>
      <w:r w:rsidR="000F795D" w:rsidRPr="00F22AE2">
        <w:rPr>
          <w:rFonts w:ascii="Tahoma" w:eastAsia="Times New Roman" w:hAnsi="Tahoma" w:cs="Tahoma"/>
          <w:sz w:val="24"/>
          <w:szCs w:val="24"/>
          <w:lang w:val="es-CO" w:eastAsia="es-ES_tradnl"/>
        </w:rPr>
        <w:t xml:space="preserve"> debido a que se dio en virtud a la libertad de escogencia de régimen pensional y no a una nulidad por vicio en el consentimiento</w:t>
      </w:r>
      <w:r w:rsidRPr="00F22AE2">
        <w:rPr>
          <w:rFonts w:ascii="Tahoma" w:eastAsia="Times New Roman" w:hAnsi="Tahoma" w:cs="Tahoma"/>
          <w:sz w:val="24"/>
          <w:szCs w:val="24"/>
          <w:lang w:val="es-CO" w:eastAsia="es-ES_tradnl"/>
        </w:rPr>
        <w:t xml:space="preserve">. Bajo tal entendido, esgrimió como excepciones perentorias las de </w:t>
      </w:r>
      <w:r w:rsidR="00A07A16" w:rsidRPr="00F22AE2">
        <w:rPr>
          <w:rFonts w:ascii="Tahoma" w:eastAsia="Times New Roman" w:hAnsi="Tahoma" w:cs="Tahoma"/>
          <w:i/>
          <w:iCs/>
          <w:sz w:val="24"/>
          <w:szCs w:val="24"/>
          <w:lang w:val="es-CO" w:eastAsia="es-ES_tradnl"/>
        </w:rPr>
        <w:t>“validez de la afiliación al RAIS”, “Saneamiento de una presunta nulidad”, “prescripción”, “imposibilidad jurídica para reconocer y pagar derechos por fuera del ordenamiento legal”, “</w:t>
      </w:r>
      <w:r w:rsidR="00D060DE" w:rsidRPr="00F22AE2">
        <w:rPr>
          <w:rFonts w:ascii="Tahoma" w:eastAsia="Times New Roman" w:hAnsi="Tahoma" w:cs="Tahoma"/>
          <w:i/>
          <w:iCs/>
          <w:sz w:val="24"/>
          <w:szCs w:val="24"/>
          <w:lang w:val="es-CO" w:eastAsia="es-ES_tradnl"/>
        </w:rPr>
        <w:t>Buena fe: Colpensiones”, “imposibilidad de condena en costas”, “declaratoria de otras excepciones”.</w:t>
      </w:r>
    </w:p>
    <w:p w14:paraId="19306F1B" w14:textId="77777777" w:rsidR="0039119E" w:rsidRPr="00F22AE2" w:rsidRDefault="0039119E" w:rsidP="00F22AE2">
      <w:pPr>
        <w:spacing w:line="276" w:lineRule="auto"/>
        <w:ind w:firstLine="0"/>
        <w:textAlignment w:val="baseline"/>
        <w:rPr>
          <w:rFonts w:ascii="Tahoma" w:eastAsia="Times New Roman" w:hAnsi="Tahoma" w:cs="Tahoma"/>
          <w:sz w:val="24"/>
          <w:szCs w:val="24"/>
          <w:lang w:val="es-CO" w:eastAsia="es-ES_tradnl"/>
        </w:rPr>
      </w:pPr>
    </w:p>
    <w:p w14:paraId="36D49357" w14:textId="3EE96844" w:rsidR="007761D6" w:rsidRPr="00F22AE2" w:rsidRDefault="007761D6" w:rsidP="00F22AE2">
      <w:pPr>
        <w:spacing w:line="276" w:lineRule="auto"/>
        <w:ind w:firstLine="705"/>
        <w:textAlignment w:val="baseline"/>
        <w:rPr>
          <w:rFonts w:ascii="Tahoma" w:eastAsia="Times New Roman" w:hAnsi="Tahoma" w:cs="Tahoma"/>
          <w:bCs/>
          <w:sz w:val="24"/>
          <w:szCs w:val="24"/>
          <w:lang w:val="es-CO" w:eastAsia="es-ES_tradnl"/>
        </w:rPr>
      </w:pPr>
      <w:r w:rsidRPr="00F22AE2">
        <w:rPr>
          <w:rFonts w:ascii="Tahoma" w:eastAsia="Times New Roman" w:hAnsi="Tahoma" w:cs="Tahoma"/>
          <w:bCs/>
          <w:sz w:val="24"/>
          <w:szCs w:val="24"/>
          <w:lang w:val="es-CO" w:eastAsia="es-ES_tradnl"/>
        </w:rPr>
        <w:t xml:space="preserve">Por su parte, </w:t>
      </w:r>
      <w:r w:rsidR="00BB5EA1" w:rsidRPr="00F22AE2">
        <w:rPr>
          <w:rFonts w:ascii="Tahoma" w:eastAsia="Times New Roman" w:hAnsi="Tahoma" w:cs="Tahoma"/>
          <w:b/>
          <w:sz w:val="24"/>
          <w:szCs w:val="24"/>
          <w:lang w:val="es-CO" w:eastAsia="es-ES_tradnl"/>
        </w:rPr>
        <w:t>P</w:t>
      </w:r>
      <w:r w:rsidR="00CC7942" w:rsidRPr="00F22AE2">
        <w:rPr>
          <w:rFonts w:ascii="Tahoma" w:eastAsia="Times New Roman" w:hAnsi="Tahoma" w:cs="Tahoma"/>
          <w:b/>
          <w:sz w:val="24"/>
          <w:szCs w:val="24"/>
          <w:lang w:val="es-CO" w:eastAsia="es-ES_tradnl"/>
        </w:rPr>
        <w:t xml:space="preserve">rotección </w:t>
      </w:r>
      <w:r w:rsidR="00695D55" w:rsidRPr="00F22AE2">
        <w:rPr>
          <w:rFonts w:ascii="Tahoma" w:eastAsia="Times New Roman" w:hAnsi="Tahoma" w:cs="Tahoma"/>
          <w:b/>
          <w:sz w:val="24"/>
          <w:szCs w:val="24"/>
          <w:lang w:val="es-CO" w:eastAsia="es-ES_tradnl"/>
        </w:rPr>
        <w:t xml:space="preserve">S.A. </w:t>
      </w:r>
      <w:r w:rsidRPr="00F22AE2">
        <w:rPr>
          <w:rFonts w:ascii="Tahoma" w:eastAsia="Times New Roman" w:hAnsi="Tahoma" w:cs="Tahoma"/>
          <w:bCs/>
          <w:sz w:val="24"/>
          <w:szCs w:val="24"/>
          <w:lang w:val="es-CO" w:eastAsia="es-ES_tradnl"/>
        </w:rPr>
        <w:t>aceptó el traslado del demandante desde el 30 de mayo de 1994</w:t>
      </w:r>
      <w:r w:rsidR="004C1506" w:rsidRPr="00F22AE2">
        <w:rPr>
          <w:rFonts w:ascii="Tahoma" w:eastAsia="Times New Roman" w:hAnsi="Tahoma" w:cs="Tahoma"/>
          <w:bCs/>
          <w:sz w:val="24"/>
          <w:szCs w:val="24"/>
          <w:lang w:val="es-CO" w:eastAsia="es-ES_tradnl"/>
        </w:rPr>
        <w:t xml:space="preserve">, que </w:t>
      </w:r>
      <w:r w:rsidRPr="00F22AE2">
        <w:rPr>
          <w:rFonts w:ascii="Tahoma" w:eastAsia="Times New Roman" w:hAnsi="Tahoma" w:cs="Tahoma"/>
          <w:bCs/>
          <w:sz w:val="24"/>
          <w:szCs w:val="24"/>
          <w:lang w:val="es-CO" w:eastAsia="es-ES_tradnl"/>
        </w:rPr>
        <w:t xml:space="preserve">el </w:t>
      </w:r>
      <w:r w:rsidR="004C1506" w:rsidRPr="00F22AE2">
        <w:rPr>
          <w:rFonts w:ascii="Tahoma" w:eastAsia="Times New Roman" w:hAnsi="Tahoma" w:cs="Tahoma"/>
          <w:bCs/>
          <w:sz w:val="24"/>
          <w:szCs w:val="24"/>
          <w:lang w:val="es-CO" w:eastAsia="es-ES_tradnl"/>
        </w:rPr>
        <w:t>3 de diciembre de 2018 reconoció la egida pensional y la solicitud de retorno</w:t>
      </w:r>
      <w:r w:rsidR="00426CFA" w:rsidRPr="00F22AE2">
        <w:rPr>
          <w:rFonts w:ascii="Tahoma" w:eastAsia="Times New Roman" w:hAnsi="Tahoma" w:cs="Tahoma"/>
          <w:bCs/>
          <w:sz w:val="24"/>
          <w:szCs w:val="24"/>
          <w:lang w:val="es-CO" w:eastAsia="es-ES_tradnl"/>
        </w:rPr>
        <w:t>;</w:t>
      </w:r>
      <w:r w:rsidR="004C1506" w:rsidRPr="00F22AE2">
        <w:rPr>
          <w:rFonts w:ascii="Tahoma" w:eastAsia="Times New Roman" w:hAnsi="Tahoma" w:cs="Tahoma"/>
          <w:bCs/>
          <w:sz w:val="24"/>
          <w:szCs w:val="24"/>
          <w:lang w:val="es-CO" w:eastAsia="es-ES_tradnl"/>
        </w:rPr>
        <w:t xml:space="preserve"> negó los demás hechos o indicó que no le constaban y se opuso a la prosperidad de las pretensiones</w:t>
      </w:r>
      <w:r w:rsidR="0034475D" w:rsidRPr="00F22AE2">
        <w:rPr>
          <w:rFonts w:ascii="Tahoma" w:eastAsia="Times New Roman" w:hAnsi="Tahoma" w:cs="Tahoma"/>
          <w:bCs/>
          <w:sz w:val="24"/>
          <w:szCs w:val="24"/>
          <w:lang w:val="es-CO" w:eastAsia="es-ES_tradnl"/>
        </w:rPr>
        <w:t xml:space="preserve"> argumentando que el traslado d</w:t>
      </w:r>
      <w:r w:rsidR="00C216DE" w:rsidRPr="00F22AE2">
        <w:rPr>
          <w:rFonts w:ascii="Tahoma" w:eastAsia="Times New Roman" w:hAnsi="Tahoma" w:cs="Tahoma"/>
          <w:bCs/>
          <w:sz w:val="24"/>
          <w:szCs w:val="24"/>
          <w:lang w:val="es-CO" w:eastAsia="es-ES_tradnl"/>
        </w:rPr>
        <w:t xml:space="preserve">el promotor del litigio </w:t>
      </w:r>
      <w:r w:rsidR="0034475D" w:rsidRPr="00F22AE2">
        <w:rPr>
          <w:rFonts w:ascii="Tahoma" w:eastAsia="Times New Roman" w:hAnsi="Tahoma" w:cs="Tahoma"/>
          <w:bCs/>
          <w:sz w:val="24"/>
          <w:szCs w:val="24"/>
          <w:lang w:val="es-CO" w:eastAsia="es-ES_tradnl"/>
        </w:rPr>
        <w:t>respetó el derecho a la libre selección de régimen consagrada en los artículos 13 y 271 de la Ley 100 de 1993</w:t>
      </w:r>
      <w:r w:rsidR="006570B0" w:rsidRPr="00F22AE2">
        <w:rPr>
          <w:rFonts w:ascii="Tahoma" w:eastAsia="Times New Roman" w:hAnsi="Tahoma" w:cs="Tahoma"/>
          <w:bCs/>
          <w:sz w:val="24"/>
          <w:szCs w:val="24"/>
          <w:lang w:val="es-CO" w:eastAsia="es-ES_tradnl"/>
        </w:rPr>
        <w:t xml:space="preserve">, al punto que </w:t>
      </w:r>
      <w:r w:rsidR="009A1F4E" w:rsidRPr="00F22AE2">
        <w:rPr>
          <w:rFonts w:ascii="Tahoma" w:eastAsia="Times New Roman" w:hAnsi="Tahoma" w:cs="Tahoma"/>
          <w:bCs/>
          <w:sz w:val="24"/>
          <w:szCs w:val="24"/>
          <w:lang w:val="es-CO" w:eastAsia="es-ES_tradnl"/>
        </w:rPr>
        <w:t>el 3 de diciembre de 2018</w:t>
      </w:r>
      <w:r w:rsidR="00426CFA" w:rsidRPr="00F22AE2">
        <w:rPr>
          <w:rFonts w:ascii="Tahoma" w:eastAsia="Times New Roman" w:hAnsi="Tahoma" w:cs="Tahoma"/>
          <w:bCs/>
          <w:sz w:val="24"/>
          <w:szCs w:val="24"/>
          <w:lang w:val="es-CO" w:eastAsia="es-ES_tradnl"/>
        </w:rPr>
        <w:t xml:space="preserve"> </w:t>
      </w:r>
      <w:r w:rsidR="006570B0" w:rsidRPr="00F22AE2">
        <w:rPr>
          <w:rFonts w:ascii="Tahoma" w:eastAsia="Times New Roman" w:hAnsi="Tahoma" w:cs="Tahoma"/>
          <w:bCs/>
          <w:sz w:val="24"/>
          <w:szCs w:val="24"/>
          <w:lang w:val="es-CO" w:eastAsia="es-ES_tradnl"/>
        </w:rPr>
        <w:t xml:space="preserve">obtuvo el estatus de pensionado </w:t>
      </w:r>
      <w:r w:rsidR="00426CFA" w:rsidRPr="00F22AE2">
        <w:rPr>
          <w:rFonts w:ascii="Tahoma" w:eastAsia="Times New Roman" w:hAnsi="Tahoma" w:cs="Tahoma"/>
          <w:bCs/>
          <w:sz w:val="24"/>
          <w:szCs w:val="24"/>
          <w:lang w:val="es-CO" w:eastAsia="es-ES_tradnl"/>
        </w:rPr>
        <w:t xml:space="preserve">en modalidad de retiro programado </w:t>
      </w:r>
      <w:r w:rsidR="0034475D" w:rsidRPr="00F22AE2">
        <w:rPr>
          <w:rFonts w:ascii="Tahoma" w:eastAsia="Times New Roman" w:hAnsi="Tahoma" w:cs="Tahoma"/>
          <w:bCs/>
          <w:sz w:val="24"/>
          <w:szCs w:val="24"/>
          <w:lang w:val="es-CO" w:eastAsia="es-ES_tradnl"/>
        </w:rPr>
        <w:t>y se incluyó en nómina</w:t>
      </w:r>
      <w:r w:rsidR="006406BC" w:rsidRPr="00F22AE2">
        <w:rPr>
          <w:rFonts w:ascii="Tahoma" w:eastAsia="Times New Roman" w:hAnsi="Tahoma" w:cs="Tahoma"/>
          <w:bCs/>
          <w:sz w:val="24"/>
          <w:szCs w:val="24"/>
          <w:lang w:val="es-CO" w:eastAsia="es-ES_tradnl"/>
        </w:rPr>
        <w:t xml:space="preserve">, razón por la cual el traslado peticionado el improcedente de conformidad con el artículo 107 de la Ley 100 de 1993. </w:t>
      </w:r>
    </w:p>
    <w:p w14:paraId="44EE2073" w14:textId="77777777" w:rsidR="00722448" w:rsidRPr="00F22AE2" w:rsidRDefault="00722448" w:rsidP="00F22AE2">
      <w:pPr>
        <w:spacing w:line="276" w:lineRule="auto"/>
        <w:ind w:firstLine="0"/>
        <w:rPr>
          <w:rFonts w:ascii="Tahoma" w:hAnsi="Tahoma" w:cs="Tahoma"/>
          <w:sz w:val="24"/>
          <w:szCs w:val="24"/>
        </w:rPr>
      </w:pPr>
    </w:p>
    <w:p w14:paraId="54F075CC" w14:textId="5444CDB5" w:rsidR="00711B9F" w:rsidRPr="00F22AE2" w:rsidRDefault="00363160" w:rsidP="00F22AE2">
      <w:pPr>
        <w:spacing w:line="276" w:lineRule="auto"/>
        <w:rPr>
          <w:rFonts w:ascii="Tahoma" w:eastAsia="Times New Roman" w:hAnsi="Tahoma" w:cs="Tahoma"/>
          <w:i/>
          <w:iCs/>
          <w:sz w:val="24"/>
          <w:szCs w:val="24"/>
          <w:lang w:val="es-CO" w:eastAsia="es-ES_tradnl"/>
        </w:rPr>
      </w:pPr>
      <w:r w:rsidRPr="00F22AE2">
        <w:rPr>
          <w:rFonts w:ascii="Tahoma" w:eastAsia="Times New Roman" w:hAnsi="Tahoma" w:cs="Tahoma"/>
          <w:sz w:val="24"/>
          <w:szCs w:val="24"/>
          <w:lang w:val="es-CO" w:eastAsia="es-ES_tradnl"/>
        </w:rPr>
        <w:t>En ese orden</w:t>
      </w:r>
      <w:r w:rsidR="00836043" w:rsidRPr="00F22AE2">
        <w:rPr>
          <w:rFonts w:ascii="Tahoma" w:eastAsia="Times New Roman" w:hAnsi="Tahoma" w:cs="Tahoma"/>
          <w:sz w:val="24"/>
          <w:szCs w:val="24"/>
          <w:lang w:val="es-CO" w:eastAsia="es-ES_tradnl"/>
        </w:rPr>
        <w:t xml:space="preserve"> de ideas, p</w:t>
      </w:r>
      <w:r w:rsidR="009C5698" w:rsidRPr="00F22AE2">
        <w:rPr>
          <w:rFonts w:ascii="Tahoma" w:eastAsia="Times New Roman" w:hAnsi="Tahoma" w:cs="Tahoma"/>
          <w:sz w:val="24"/>
          <w:szCs w:val="24"/>
          <w:lang w:val="es-CO" w:eastAsia="es-ES_tradnl"/>
        </w:rPr>
        <w:t xml:space="preserve">ropuso </w:t>
      </w:r>
      <w:r w:rsidR="00680858" w:rsidRPr="00F22AE2">
        <w:rPr>
          <w:rFonts w:ascii="Tahoma" w:eastAsia="Times New Roman" w:hAnsi="Tahoma" w:cs="Tahoma"/>
          <w:sz w:val="24"/>
          <w:szCs w:val="24"/>
          <w:lang w:val="es-CO" w:eastAsia="es-ES_tradnl"/>
        </w:rPr>
        <w:t>las excepciones de mérito que denominó</w:t>
      </w:r>
      <w:r w:rsidR="00B41E4C" w:rsidRPr="00F22AE2">
        <w:rPr>
          <w:rFonts w:ascii="Tahoma" w:eastAsia="Times New Roman" w:hAnsi="Tahoma" w:cs="Tahoma"/>
          <w:sz w:val="24"/>
          <w:szCs w:val="24"/>
          <w:lang w:val="es-CO" w:eastAsia="es-ES_tradnl"/>
        </w:rPr>
        <w:t xml:space="preserve">: </w:t>
      </w:r>
      <w:r w:rsidR="00B41E4C" w:rsidRPr="00F22AE2">
        <w:rPr>
          <w:rFonts w:ascii="Tahoma" w:eastAsia="Times New Roman" w:hAnsi="Tahoma" w:cs="Tahoma"/>
          <w:i/>
          <w:iCs/>
          <w:sz w:val="24"/>
          <w:szCs w:val="24"/>
          <w:lang w:val="es-CO" w:eastAsia="es-ES_tradnl"/>
        </w:rPr>
        <w:t>“inexistencia de la obligación y falta de causa para pedir”, “buena fe”, “pago”, “compensación”, “</w:t>
      </w:r>
      <w:r w:rsidR="00EA164C" w:rsidRPr="00F22AE2">
        <w:rPr>
          <w:rFonts w:ascii="Tahoma" w:eastAsia="Times New Roman" w:hAnsi="Tahoma" w:cs="Tahoma"/>
          <w:i/>
          <w:iCs/>
          <w:sz w:val="24"/>
          <w:szCs w:val="24"/>
          <w:lang w:val="es-CO" w:eastAsia="es-ES_tradnl"/>
        </w:rPr>
        <w:t>prescripción”, “aprovechamiento indebido de los recursos públicos del sistema general del pensiones”,  “inexistencia de la obligación de devolver las cuotas de administración por falta de causa”, “</w:t>
      </w:r>
      <w:r w:rsidR="003C5A63" w:rsidRPr="00F22AE2">
        <w:rPr>
          <w:rFonts w:ascii="Tahoma" w:eastAsia="Times New Roman" w:hAnsi="Tahoma" w:cs="Tahoma"/>
          <w:i/>
          <w:iCs/>
          <w:sz w:val="24"/>
          <w:szCs w:val="24"/>
          <w:lang w:val="es-CO" w:eastAsia="es-ES_tradnl"/>
        </w:rPr>
        <w:t>inexistencia de la obligación de devolver el pago al seguro provisional cuando se declara la nulidad o ineficacia de la afiliación al RAIS”, “innominada o genérica”</w:t>
      </w:r>
      <w:r w:rsidR="00FA50EE" w:rsidRPr="00F22AE2">
        <w:rPr>
          <w:rFonts w:ascii="Tahoma" w:eastAsia="Times New Roman" w:hAnsi="Tahoma" w:cs="Tahoma"/>
          <w:i/>
          <w:iCs/>
          <w:sz w:val="24"/>
          <w:szCs w:val="24"/>
          <w:lang w:val="es-CO" w:eastAsia="es-ES_tradnl"/>
        </w:rPr>
        <w:t>.</w:t>
      </w:r>
    </w:p>
    <w:p w14:paraId="068D1D15" w14:textId="77777777" w:rsidR="00CE6D8F" w:rsidRPr="00F22AE2" w:rsidRDefault="00CE6D8F" w:rsidP="00F22AE2">
      <w:pPr>
        <w:spacing w:line="276" w:lineRule="auto"/>
        <w:rPr>
          <w:rFonts w:ascii="Tahoma" w:eastAsia="Times New Roman" w:hAnsi="Tahoma" w:cs="Tahoma"/>
          <w:i/>
          <w:iCs/>
          <w:sz w:val="24"/>
          <w:szCs w:val="24"/>
          <w:lang w:val="es-CO" w:eastAsia="es-ES_tradnl"/>
        </w:rPr>
      </w:pPr>
    </w:p>
    <w:p w14:paraId="3D943622" w14:textId="4265E7DA" w:rsidR="00CE6D8F" w:rsidRPr="00F22AE2" w:rsidRDefault="00CE6D8F" w:rsidP="00F22AE2">
      <w:pPr>
        <w:spacing w:line="276" w:lineRule="auto"/>
        <w:ind w:firstLine="708"/>
        <w:textAlignment w:val="baseline"/>
        <w:rPr>
          <w:rFonts w:ascii="Tahoma" w:eastAsia="Times New Roman" w:hAnsi="Tahoma" w:cs="Tahoma"/>
          <w:i/>
          <w:iCs/>
          <w:sz w:val="24"/>
          <w:szCs w:val="24"/>
          <w:lang w:val="es-CO" w:eastAsia="es-ES_tradnl"/>
        </w:rPr>
      </w:pPr>
      <w:r w:rsidRPr="00F22AE2">
        <w:rPr>
          <w:rFonts w:ascii="Tahoma" w:eastAsia="Times New Roman" w:hAnsi="Tahoma" w:cs="Tahoma"/>
          <w:sz w:val="24"/>
          <w:szCs w:val="24"/>
          <w:lang w:val="es-CO" w:eastAsia="es-ES_tradnl"/>
        </w:rPr>
        <w:t xml:space="preserve">Por último, </w:t>
      </w:r>
      <w:r w:rsidRPr="00F22AE2">
        <w:rPr>
          <w:rFonts w:ascii="Tahoma" w:eastAsia="Times New Roman" w:hAnsi="Tahoma" w:cs="Tahoma"/>
          <w:bCs/>
          <w:sz w:val="24"/>
          <w:szCs w:val="24"/>
          <w:lang w:val="es-CO" w:eastAsia="es-ES_tradnl"/>
        </w:rPr>
        <w:t>presentó demanda de reconvención en la que</w:t>
      </w:r>
      <w:r w:rsidRPr="00F22AE2">
        <w:rPr>
          <w:rFonts w:ascii="Tahoma" w:eastAsia="Times New Roman" w:hAnsi="Tahoma" w:cs="Tahoma"/>
          <w:b/>
          <w:sz w:val="24"/>
          <w:szCs w:val="24"/>
          <w:lang w:val="es-CO" w:eastAsia="es-ES_tradnl"/>
        </w:rPr>
        <w:t xml:space="preserve"> </w:t>
      </w:r>
      <w:r w:rsidRPr="00F22AE2">
        <w:rPr>
          <w:rFonts w:ascii="Tahoma" w:eastAsia="Times New Roman" w:hAnsi="Tahoma" w:cs="Tahoma"/>
          <w:bCs/>
          <w:sz w:val="24"/>
          <w:szCs w:val="24"/>
          <w:lang w:val="es-CO" w:eastAsia="es-ES_tradnl"/>
        </w:rPr>
        <w:t xml:space="preserve">solicitó que se condene al señor </w:t>
      </w:r>
      <w:r w:rsidR="00623158" w:rsidRPr="00F22AE2">
        <w:rPr>
          <w:rFonts w:ascii="Tahoma" w:eastAsia="Times New Roman" w:hAnsi="Tahoma" w:cs="Tahoma"/>
          <w:bCs/>
          <w:sz w:val="24"/>
          <w:szCs w:val="24"/>
          <w:lang w:val="es-CO" w:eastAsia="es-ES_tradnl"/>
        </w:rPr>
        <w:t xml:space="preserve">Genaro Rosales a reintegrar a dicha sociedad </w:t>
      </w:r>
      <w:r w:rsidRPr="00F22AE2">
        <w:rPr>
          <w:rFonts w:ascii="Tahoma" w:eastAsia="Times New Roman" w:hAnsi="Tahoma" w:cs="Tahoma"/>
          <w:bCs/>
          <w:sz w:val="24"/>
          <w:szCs w:val="24"/>
          <w:lang w:val="es-CO" w:eastAsia="es-ES_tradnl"/>
        </w:rPr>
        <w:t>las sumas recibidas por concepto de pensión de vejez y aportes a salud, debidamente indexadas y, adicionalmente, que proceda a cancelarle las respectivas costas procesales</w:t>
      </w:r>
      <w:r w:rsidR="0043233B" w:rsidRPr="00F22AE2">
        <w:rPr>
          <w:rFonts w:ascii="Tahoma" w:eastAsia="Times New Roman" w:hAnsi="Tahoma" w:cs="Tahoma"/>
          <w:bCs/>
          <w:sz w:val="24"/>
          <w:szCs w:val="24"/>
          <w:lang w:val="es-CO" w:eastAsia="es-ES_tradnl"/>
        </w:rPr>
        <w:t xml:space="preserve">. </w:t>
      </w:r>
      <w:r w:rsidR="0092763E" w:rsidRPr="00F22AE2">
        <w:rPr>
          <w:rFonts w:ascii="Tahoma" w:eastAsia="Times New Roman" w:hAnsi="Tahoma" w:cs="Tahoma"/>
          <w:bCs/>
          <w:sz w:val="24"/>
          <w:szCs w:val="24"/>
          <w:lang w:val="es-CO" w:eastAsia="es-ES_tradnl"/>
        </w:rPr>
        <w:t>El demandante presentó oposición.</w:t>
      </w:r>
    </w:p>
    <w:p w14:paraId="6E287665" w14:textId="77777777" w:rsidR="00711B9F" w:rsidRPr="00F22AE2" w:rsidRDefault="00711B9F" w:rsidP="00F22AE2">
      <w:pPr>
        <w:spacing w:line="276" w:lineRule="auto"/>
        <w:rPr>
          <w:rFonts w:ascii="Tahoma" w:eastAsia="Times New Roman" w:hAnsi="Tahoma" w:cs="Tahoma"/>
          <w:i/>
          <w:sz w:val="24"/>
          <w:szCs w:val="24"/>
          <w:lang w:val="es-CO" w:eastAsia="es-ES_tradnl"/>
        </w:rPr>
      </w:pPr>
    </w:p>
    <w:p w14:paraId="5D840135" w14:textId="097C176E" w:rsidR="00AC15DB" w:rsidRPr="00F22AE2" w:rsidRDefault="00AC15DB" w:rsidP="00F22AE2">
      <w:pPr>
        <w:spacing w:line="276" w:lineRule="auto"/>
        <w:rPr>
          <w:rFonts w:ascii="Tahoma" w:eastAsia="Times New Roman" w:hAnsi="Tahoma" w:cs="Tahoma"/>
          <w:i/>
          <w:sz w:val="24"/>
          <w:szCs w:val="24"/>
          <w:lang w:val="es-CO" w:eastAsia="es-ES_tradnl"/>
        </w:rPr>
      </w:pPr>
      <w:r w:rsidRPr="00F22AE2">
        <w:rPr>
          <w:rFonts w:ascii="Tahoma" w:eastAsia="Times New Roman" w:hAnsi="Tahoma" w:cs="Tahoma"/>
          <w:iCs/>
          <w:sz w:val="24"/>
          <w:szCs w:val="24"/>
          <w:lang w:val="es-CO" w:eastAsia="es-ES_tradnl"/>
        </w:rPr>
        <w:t xml:space="preserve">El 19 de noviembre de 2021 en la etapa de decisión de excepciones previas </w:t>
      </w:r>
      <w:r w:rsidR="001A5027" w:rsidRPr="00F22AE2">
        <w:rPr>
          <w:rFonts w:ascii="Tahoma" w:eastAsia="Times New Roman" w:hAnsi="Tahoma" w:cs="Tahoma"/>
          <w:iCs/>
          <w:sz w:val="24"/>
          <w:szCs w:val="24"/>
          <w:lang w:val="es-CO" w:eastAsia="es-ES_tradnl"/>
        </w:rPr>
        <w:t xml:space="preserve">se resolvió favorablemente la excepción </w:t>
      </w:r>
      <w:r w:rsidR="006E5A4C" w:rsidRPr="00F22AE2">
        <w:rPr>
          <w:rFonts w:ascii="Tahoma" w:eastAsia="Times New Roman" w:hAnsi="Tahoma" w:cs="Tahoma"/>
          <w:iCs/>
          <w:sz w:val="24"/>
          <w:szCs w:val="24"/>
          <w:lang w:val="es-CO" w:eastAsia="es-ES_tradnl"/>
        </w:rPr>
        <w:t xml:space="preserve">de </w:t>
      </w:r>
      <w:r w:rsidR="006E5A4C" w:rsidRPr="00F22AE2">
        <w:rPr>
          <w:rFonts w:ascii="Tahoma" w:eastAsia="Times New Roman" w:hAnsi="Tahoma" w:cs="Tahoma"/>
          <w:i/>
          <w:sz w:val="24"/>
          <w:szCs w:val="24"/>
          <w:lang w:val="es-CO" w:eastAsia="es-ES_tradnl"/>
        </w:rPr>
        <w:t xml:space="preserve">“falta de integración de litis consorcio necesario por pasiva” </w:t>
      </w:r>
      <w:r w:rsidR="006E5A4C" w:rsidRPr="00F22AE2">
        <w:rPr>
          <w:rFonts w:ascii="Tahoma" w:eastAsia="Times New Roman" w:hAnsi="Tahoma" w:cs="Tahoma"/>
          <w:iCs/>
          <w:sz w:val="24"/>
          <w:szCs w:val="24"/>
          <w:lang w:val="es-CO" w:eastAsia="es-ES_tradnl"/>
        </w:rPr>
        <w:t xml:space="preserve"> </w:t>
      </w:r>
      <w:r w:rsidR="00221375" w:rsidRPr="00F22AE2">
        <w:rPr>
          <w:rFonts w:ascii="Tahoma" w:eastAsia="Times New Roman" w:hAnsi="Tahoma" w:cs="Tahoma"/>
          <w:iCs/>
          <w:sz w:val="24"/>
          <w:szCs w:val="24"/>
          <w:lang w:val="es-CO" w:eastAsia="es-ES_tradnl"/>
        </w:rPr>
        <w:t xml:space="preserve">y se ordenó </w:t>
      </w:r>
      <w:r w:rsidR="00CE5C0B" w:rsidRPr="00F22AE2">
        <w:rPr>
          <w:rFonts w:ascii="Tahoma" w:eastAsia="Times New Roman" w:hAnsi="Tahoma" w:cs="Tahoma"/>
          <w:iCs/>
          <w:sz w:val="24"/>
          <w:szCs w:val="24"/>
          <w:lang w:val="es-CO" w:eastAsia="es-ES_tradnl"/>
        </w:rPr>
        <w:t xml:space="preserve">la vinculación </w:t>
      </w:r>
      <w:r w:rsidR="001459B4" w:rsidRPr="00F22AE2">
        <w:rPr>
          <w:rFonts w:ascii="Tahoma" w:eastAsia="Times New Roman" w:hAnsi="Tahoma" w:cs="Tahoma"/>
          <w:iCs/>
          <w:sz w:val="24"/>
          <w:szCs w:val="24"/>
          <w:lang w:val="es-CO" w:eastAsia="es-ES_tradnl"/>
        </w:rPr>
        <w:t xml:space="preserve">del </w:t>
      </w:r>
      <w:r w:rsidR="001459B4" w:rsidRPr="00F22AE2">
        <w:rPr>
          <w:rFonts w:ascii="Tahoma" w:eastAsia="Times New Roman" w:hAnsi="Tahoma" w:cs="Tahoma"/>
          <w:b/>
          <w:bCs/>
          <w:iCs/>
          <w:sz w:val="24"/>
          <w:szCs w:val="24"/>
          <w:lang w:val="es-CO" w:eastAsia="es-ES_tradnl"/>
        </w:rPr>
        <w:t>Ministerio de Hacienda y Crédito Público- Oficina de Bonos Pensionales</w:t>
      </w:r>
      <w:r w:rsidR="00997666" w:rsidRPr="00F22AE2">
        <w:rPr>
          <w:rFonts w:ascii="Tahoma" w:eastAsia="Times New Roman" w:hAnsi="Tahoma" w:cs="Tahoma"/>
          <w:b/>
          <w:bCs/>
          <w:iCs/>
          <w:sz w:val="24"/>
          <w:szCs w:val="24"/>
          <w:lang w:val="es-CO" w:eastAsia="es-ES_tradnl"/>
        </w:rPr>
        <w:t xml:space="preserve">, </w:t>
      </w:r>
      <w:r w:rsidR="00997666" w:rsidRPr="00F22AE2">
        <w:rPr>
          <w:rFonts w:ascii="Tahoma" w:eastAsia="Times New Roman" w:hAnsi="Tahoma" w:cs="Tahoma"/>
          <w:iCs/>
          <w:sz w:val="24"/>
          <w:szCs w:val="24"/>
          <w:lang w:val="es-CO" w:eastAsia="es-ES_tradnl"/>
        </w:rPr>
        <w:t xml:space="preserve">cartera ministerial </w:t>
      </w:r>
      <w:r w:rsidR="00521D06" w:rsidRPr="00F22AE2">
        <w:rPr>
          <w:rFonts w:ascii="Tahoma" w:eastAsia="Times New Roman" w:hAnsi="Tahoma" w:cs="Tahoma"/>
          <w:iCs/>
          <w:sz w:val="24"/>
          <w:szCs w:val="24"/>
          <w:lang w:val="es-CO" w:eastAsia="es-ES_tradnl"/>
        </w:rPr>
        <w:t xml:space="preserve">que igualmente se </w:t>
      </w:r>
      <w:r w:rsidR="0015529B" w:rsidRPr="00F22AE2">
        <w:rPr>
          <w:rFonts w:ascii="Tahoma" w:eastAsia="Times New Roman" w:hAnsi="Tahoma" w:cs="Tahoma"/>
          <w:iCs/>
          <w:sz w:val="24"/>
          <w:szCs w:val="24"/>
          <w:lang w:val="es-CO" w:eastAsia="es-ES_tradnl"/>
        </w:rPr>
        <w:t xml:space="preserve">resistió a las súplicas </w:t>
      </w:r>
      <w:r w:rsidR="004553DB" w:rsidRPr="00F22AE2">
        <w:rPr>
          <w:rFonts w:ascii="Tahoma" w:eastAsia="Times New Roman" w:hAnsi="Tahoma" w:cs="Tahoma"/>
          <w:iCs/>
          <w:sz w:val="24"/>
          <w:szCs w:val="24"/>
          <w:lang w:val="es-CO" w:eastAsia="es-ES_tradnl"/>
        </w:rPr>
        <w:t xml:space="preserve">indicando </w:t>
      </w:r>
      <w:r w:rsidR="00A40495" w:rsidRPr="00F22AE2">
        <w:rPr>
          <w:rFonts w:ascii="Tahoma" w:eastAsia="Times New Roman" w:hAnsi="Tahoma" w:cs="Tahoma"/>
          <w:iCs/>
          <w:sz w:val="24"/>
          <w:szCs w:val="24"/>
          <w:lang w:val="es-CO" w:eastAsia="es-ES_tradnl"/>
        </w:rPr>
        <w:t xml:space="preserve">que desconoce las circunstancias </w:t>
      </w:r>
      <w:r w:rsidR="00CA0406" w:rsidRPr="00F22AE2">
        <w:rPr>
          <w:rFonts w:ascii="Tahoma" w:eastAsia="Times New Roman" w:hAnsi="Tahoma" w:cs="Tahoma"/>
          <w:iCs/>
          <w:sz w:val="24"/>
          <w:szCs w:val="24"/>
          <w:lang w:val="es-CO" w:eastAsia="es-ES_tradnl"/>
        </w:rPr>
        <w:t xml:space="preserve">en que se produjo el trasladó </w:t>
      </w:r>
      <w:r w:rsidR="00713F17" w:rsidRPr="00F22AE2">
        <w:rPr>
          <w:rFonts w:ascii="Tahoma" w:eastAsia="Times New Roman" w:hAnsi="Tahoma" w:cs="Tahoma"/>
          <w:iCs/>
          <w:sz w:val="24"/>
          <w:szCs w:val="24"/>
          <w:lang w:val="es-CO" w:eastAsia="es-ES_tradnl"/>
        </w:rPr>
        <w:t xml:space="preserve">y la información vertida por el asesor, ya que su función se circunscribe </w:t>
      </w:r>
      <w:r w:rsidR="00326C45" w:rsidRPr="00F22AE2">
        <w:rPr>
          <w:rFonts w:ascii="Tahoma" w:eastAsia="Times New Roman" w:hAnsi="Tahoma" w:cs="Tahoma"/>
          <w:iCs/>
          <w:sz w:val="24"/>
          <w:szCs w:val="24"/>
          <w:lang w:val="es-CO" w:eastAsia="es-ES_tradnl"/>
        </w:rPr>
        <w:t xml:space="preserve">únicamente a la liquidación, emisión, expedición, </w:t>
      </w:r>
      <w:r w:rsidR="00EC71F8" w:rsidRPr="00F22AE2">
        <w:rPr>
          <w:rFonts w:ascii="Tahoma" w:eastAsia="Times New Roman" w:hAnsi="Tahoma" w:cs="Tahoma"/>
          <w:iCs/>
          <w:sz w:val="24"/>
          <w:szCs w:val="24"/>
          <w:lang w:val="es-CO" w:eastAsia="es-ES_tradnl"/>
        </w:rPr>
        <w:t>redención</w:t>
      </w:r>
      <w:r w:rsidR="00326C45" w:rsidRPr="00F22AE2">
        <w:rPr>
          <w:rFonts w:ascii="Tahoma" w:eastAsia="Times New Roman" w:hAnsi="Tahoma" w:cs="Tahoma"/>
          <w:iCs/>
          <w:sz w:val="24"/>
          <w:szCs w:val="24"/>
          <w:lang w:val="es-CO" w:eastAsia="es-ES_tradnl"/>
        </w:rPr>
        <w:t xml:space="preserve">, pago o anulación de bonos pensionales o cupones de bonos pensionales </w:t>
      </w:r>
      <w:r w:rsidR="00EC71F8" w:rsidRPr="00F22AE2">
        <w:rPr>
          <w:rFonts w:ascii="Tahoma" w:eastAsia="Times New Roman" w:hAnsi="Tahoma" w:cs="Tahoma"/>
          <w:iCs/>
          <w:sz w:val="24"/>
          <w:szCs w:val="24"/>
          <w:lang w:val="es-CO" w:eastAsia="es-ES_tradnl"/>
        </w:rPr>
        <w:t xml:space="preserve">a cargo </w:t>
      </w:r>
      <w:r w:rsidR="00603C1D" w:rsidRPr="00F22AE2">
        <w:rPr>
          <w:rFonts w:ascii="Tahoma" w:eastAsia="Times New Roman" w:hAnsi="Tahoma" w:cs="Tahoma"/>
          <w:iCs/>
          <w:sz w:val="24"/>
          <w:szCs w:val="24"/>
          <w:lang w:val="es-CO" w:eastAsia="es-ES_tradnl"/>
        </w:rPr>
        <w:t>de la Nación</w:t>
      </w:r>
      <w:r w:rsidR="00E66337" w:rsidRPr="00F22AE2">
        <w:rPr>
          <w:rFonts w:ascii="Tahoma" w:eastAsia="Times New Roman" w:hAnsi="Tahoma" w:cs="Tahoma"/>
          <w:iCs/>
          <w:sz w:val="24"/>
          <w:szCs w:val="24"/>
          <w:lang w:val="es-CO" w:eastAsia="es-ES_tradnl"/>
        </w:rPr>
        <w:t xml:space="preserve">. </w:t>
      </w:r>
      <w:r w:rsidR="00D31FA3" w:rsidRPr="00F22AE2">
        <w:rPr>
          <w:rFonts w:ascii="Tahoma" w:eastAsia="Times New Roman" w:hAnsi="Tahoma" w:cs="Tahoma"/>
          <w:iCs/>
          <w:sz w:val="24"/>
          <w:szCs w:val="24"/>
          <w:lang w:val="es-CO" w:eastAsia="es-ES_tradnl"/>
        </w:rPr>
        <w:t xml:space="preserve">Como medios exceptivos de fondo propuso: </w:t>
      </w:r>
      <w:r w:rsidR="00D31FA3" w:rsidRPr="00F22AE2">
        <w:rPr>
          <w:rFonts w:ascii="Tahoma" w:eastAsia="Times New Roman" w:hAnsi="Tahoma" w:cs="Tahoma"/>
          <w:i/>
          <w:sz w:val="24"/>
          <w:szCs w:val="24"/>
          <w:lang w:val="es-CO" w:eastAsia="es-ES_tradnl"/>
        </w:rPr>
        <w:t>“falta de legitimación en la causa por pasiva: la oficina de bonos pensionales no funge como entidad de previsión social, ni fondo, ni administrador pensional”, “</w:t>
      </w:r>
      <w:r w:rsidR="00CC5111" w:rsidRPr="00F22AE2">
        <w:rPr>
          <w:rFonts w:ascii="Tahoma" w:eastAsia="Times New Roman" w:hAnsi="Tahoma" w:cs="Tahoma"/>
          <w:i/>
          <w:sz w:val="24"/>
          <w:szCs w:val="24"/>
          <w:lang w:val="es-CO" w:eastAsia="es-ES_tradnl"/>
        </w:rPr>
        <w:t xml:space="preserve">la oficina de bonos pensionales del Ministerio de Hacienda y Crédito Público ya cumplió con la emisión </w:t>
      </w:r>
      <w:r w:rsidR="00F8153A" w:rsidRPr="00F22AE2">
        <w:rPr>
          <w:rFonts w:ascii="Tahoma" w:eastAsia="Times New Roman" w:hAnsi="Tahoma" w:cs="Tahoma"/>
          <w:i/>
          <w:sz w:val="24"/>
          <w:szCs w:val="24"/>
          <w:lang w:val="es-CO" w:eastAsia="es-ES_tradnl"/>
        </w:rPr>
        <w:t>y redención del bono pensional del señor Genaro Rosales Sepúlveda”, “</w:t>
      </w:r>
      <w:r w:rsidR="00CC6A6D" w:rsidRPr="00F22AE2">
        <w:rPr>
          <w:rFonts w:ascii="Tahoma" w:eastAsia="Times New Roman" w:hAnsi="Tahoma" w:cs="Tahoma"/>
          <w:i/>
          <w:sz w:val="24"/>
          <w:szCs w:val="24"/>
          <w:lang w:val="es-CO" w:eastAsia="es-ES_tradnl"/>
        </w:rPr>
        <w:t xml:space="preserve">imposibilidad jurídica del traslado de régimen </w:t>
      </w:r>
      <w:r w:rsidR="00CC6A6D" w:rsidRPr="00F22AE2">
        <w:rPr>
          <w:rFonts w:ascii="Tahoma" w:eastAsia="Times New Roman" w:hAnsi="Tahoma" w:cs="Tahoma"/>
          <w:i/>
          <w:sz w:val="24"/>
          <w:szCs w:val="24"/>
          <w:lang w:val="es-CO" w:eastAsia="es-ES_tradnl"/>
        </w:rPr>
        <w:lastRenderedPageBreak/>
        <w:t xml:space="preserve">por la condición de pensionado del actor”, “buena fe”, “prescripción”, “inaplicabilidad del precedente </w:t>
      </w:r>
      <w:r w:rsidR="002267CE" w:rsidRPr="00F22AE2">
        <w:rPr>
          <w:rFonts w:ascii="Tahoma" w:eastAsia="Times New Roman" w:hAnsi="Tahoma" w:cs="Tahoma"/>
          <w:i/>
          <w:sz w:val="24"/>
          <w:szCs w:val="24"/>
          <w:lang w:val="es-CO" w:eastAsia="es-ES_tradnl"/>
        </w:rPr>
        <w:t xml:space="preserve">judicial para el caso concreto”, </w:t>
      </w:r>
      <w:r w:rsidR="007147C6" w:rsidRPr="00F22AE2">
        <w:rPr>
          <w:rFonts w:ascii="Tahoma" w:eastAsia="Times New Roman" w:hAnsi="Tahoma" w:cs="Tahoma"/>
          <w:i/>
          <w:sz w:val="24"/>
          <w:szCs w:val="24"/>
          <w:lang w:val="es-CO" w:eastAsia="es-ES_tradnl"/>
        </w:rPr>
        <w:t xml:space="preserve">y </w:t>
      </w:r>
      <w:r w:rsidR="00E90ADF" w:rsidRPr="00F22AE2">
        <w:rPr>
          <w:rFonts w:ascii="Tahoma" w:eastAsia="Times New Roman" w:hAnsi="Tahoma" w:cs="Tahoma"/>
          <w:i/>
          <w:sz w:val="24"/>
          <w:szCs w:val="24"/>
          <w:lang w:val="es-CO" w:eastAsia="es-ES_tradnl"/>
        </w:rPr>
        <w:t>“</w:t>
      </w:r>
      <w:r w:rsidR="002267CE" w:rsidRPr="00F22AE2">
        <w:rPr>
          <w:rFonts w:ascii="Tahoma" w:eastAsia="Times New Roman" w:hAnsi="Tahoma" w:cs="Tahoma"/>
          <w:i/>
          <w:sz w:val="24"/>
          <w:szCs w:val="24"/>
          <w:lang w:val="es-CO" w:eastAsia="es-ES_tradnl"/>
        </w:rPr>
        <w:t xml:space="preserve">violación al principio constitucional de la sostenibilidad </w:t>
      </w:r>
      <w:r w:rsidR="00E90ADF" w:rsidRPr="00F22AE2">
        <w:rPr>
          <w:rFonts w:ascii="Tahoma" w:eastAsia="Times New Roman" w:hAnsi="Tahoma" w:cs="Tahoma"/>
          <w:i/>
          <w:sz w:val="24"/>
          <w:szCs w:val="24"/>
          <w:lang w:val="es-CO" w:eastAsia="es-ES_tradnl"/>
        </w:rPr>
        <w:t>financiera”</w:t>
      </w:r>
      <w:r w:rsidR="007147C6" w:rsidRPr="00F22AE2">
        <w:rPr>
          <w:rFonts w:ascii="Tahoma" w:eastAsia="Times New Roman" w:hAnsi="Tahoma" w:cs="Tahoma"/>
          <w:i/>
          <w:sz w:val="24"/>
          <w:szCs w:val="24"/>
          <w:lang w:val="es-CO" w:eastAsia="es-ES_tradnl"/>
        </w:rPr>
        <w:t>.</w:t>
      </w:r>
    </w:p>
    <w:p w14:paraId="71F00383" w14:textId="77777777" w:rsidR="00CE4C27" w:rsidRPr="00F22AE2" w:rsidRDefault="00CE4C27" w:rsidP="00F22AE2">
      <w:pPr>
        <w:spacing w:line="276" w:lineRule="auto"/>
        <w:ind w:firstLine="705"/>
        <w:textAlignment w:val="baseline"/>
        <w:rPr>
          <w:rFonts w:ascii="Tahoma" w:eastAsia="Times New Roman" w:hAnsi="Tahoma" w:cs="Tahoma"/>
          <w:iCs/>
          <w:sz w:val="24"/>
          <w:szCs w:val="24"/>
          <w:lang w:val="es-CO" w:eastAsia="es-ES_tradnl"/>
        </w:rPr>
      </w:pPr>
    </w:p>
    <w:p w14:paraId="1D45530A" w14:textId="77777777" w:rsidR="0039119E" w:rsidRPr="00F22AE2" w:rsidRDefault="0039119E" w:rsidP="00F22AE2">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F22AE2">
        <w:rPr>
          <w:rFonts w:ascii="Tahoma" w:eastAsia="Times New Roman" w:hAnsi="Tahoma" w:cs="Tahoma"/>
          <w:b/>
          <w:sz w:val="24"/>
          <w:szCs w:val="24"/>
          <w:lang w:val="es-CO" w:eastAsia="es-ES_tradnl"/>
        </w:rPr>
        <w:t>Sentencia de primera instancia</w:t>
      </w:r>
    </w:p>
    <w:p w14:paraId="51AA2EA1" w14:textId="77777777" w:rsidR="00CE4C27" w:rsidRPr="00F22AE2" w:rsidRDefault="00CE4C27" w:rsidP="00F22AE2">
      <w:pPr>
        <w:spacing w:line="276" w:lineRule="auto"/>
        <w:ind w:firstLine="705"/>
        <w:textAlignment w:val="baseline"/>
        <w:rPr>
          <w:rFonts w:ascii="Tahoma" w:eastAsia="Times New Roman" w:hAnsi="Tahoma" w:cs="Tahoma"/>
          <w:sz w:val="24"/>
          <w:szCs w:val="24"/>
          <w:lang w:val="es-CO" w:eastAsia="es-ES_tradnl"/>
        </w:rPr>
      </w:pPr>
    </w:p>
    <w:p w14:paraId="2BC16083" w14:textId="11146668" w:rsidR="00BF1328" w:rsidRPr="00F22AE2" w:rsidRDefault="0039119E"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sz w:val="24"/>
          <w:szCs w:val="24"/>
          <w:lang w:val="es-CO" w:eastAsia="es-ES_tradnl"/>
        </w:rPr>
        <w:t>La Jueza de primer grado</w:t>
      </w:r>
      <w:r w:rsidR="00CE4C27" w:rsidRPr="00F22AE2">
        <w:rPr>
          <w:rFonts w:ascii="Tahoma" w:eastAsia="Times New Roman" w:hAnsi="Tahoma" w:cs="Tahoma"/>
          <w:sz w:val="24"/>
          <w:szCs w:val="24"/>
          <w:lang w:val="es-CO" w:eastAsia="es-ES_tradnl"/>
        </w:rPr>
        <w:t xml:space="preserve"> </w:t>
      </w:r>
      <w:r w:rsidR="007A1071" w:rsidRPr="00F22AE2">
        <w:rPr>
          <w:rFonts w:ascii="Tahoma" w:eastAsia="Times New Roman" w:hAnsi="Tahoma" w:cs="Tahoma"/>
          <w:sz w:val="24"/>
          <w:szCs w:val="24"/>
          <w:lang w:val="es-CO" w:eastAsia="es-ES_tradnl"/>
        </w:rPr>
        <w:t>negó la totalidad de las pretensiones de la demanda</w:t>
      </w:r>
      <w:r w:rsidR="008C7780" w:rsidRPr="00F22AE2">
        <w:rPr>
          <w:rFonts w:ascii="Tahoma" w:eastAsia="Times New Roman" w:hAnsi="Tahoma" w:cs="Tahoma"/>
          <w:sz w:val="24"/>
          <w:szCs w:val="24"/>
          <w:lang w:val="es-CO" w:eastAsia="es-ES_tradnl"/>
        </w:rPr>
        <w:t>, y condenó</w:t>
      </w:r>
      <w:r w:rsidR="007A1071" w:rsidRPr="00F22AE2">
        <w:rPr>
          <w:rFonts w:ascii="Tahoma" w:eastAsia="Times New Roman" w:hAnsi="Tahoma" w:cs="Tahoma"/>
          <w:sz w:val="24"/>
          <w:szCs w:val="24"/>
          <w:lang w:val="es-CO" w:eastAsia="es-ES_tradnl"/>
        </w:rPr>
        <w:t xml:space="preserve"> en costas a la parte actora en favor de Colpensiones y Protección S.A. </w:t>
      </w:r>
    </w:p>
    <w:p w14:paraId="07B28A3A" w14:textId="77777777" w:rsidR="008C7780" w:rsidRPr="00F22AE2" w:rsidRDefault="008C7780" w:rsidP="00F22AE2">
      <w:pPr>
        <w:spacing w:line="276" w:lineRule="auto"/>
        <w:ind w:firstLine="705"/>
        <w:textAlignment w:val="baseline"/>
        <w:rPr>
          <w:rFonts w:ascii="Tahoma" w:eastAsia="Times New Roman" w:hAnsi="Tahoma" w:cs="Tahoma"/>
          <w:sz w:val="24"/>
          <w:szCs w:val="24"/>
          <w:lang w:val="es-CO" w:eastAsia="es-ES_tradnl"/>
        </w:rPr>
      </w:pPr>
    </w:p>
    <w:p w14:paraId="059AED46" w14:textId="6CA18C7D" w:rsidR="00BB4B82" w:rsidRPr="00F22AE2" w:rsidRDefault="0039119E" w:rsidP="00F22AE2">
      <w:pPr>
        <w:spacing w:line="276" w:lineRule="auto"/>
        <w:ind w:firstLine="705"/>
        <w:textAlignment w:val="baseline"/>
        <w:rPr>
          <w:rFonts w:ascii="Tahoma" w:eastAsia="Times New Roman" w:hAnsi="Tahoma" w:cs="Tahoma"/>
          <w:sz w:val="24"/>
          <w:szCs w:val="24"/>
          <w:lang w:val="es-CO" w:eastAsia="es-ES"/>
        </w:rPr>
      </w:pPr>
      <w:r w:rsidRPr="00F22AE2">
        <w:rPr>
          <w:rFonts w:ascii="Tahoma" w:eastAsia="Times New Roman" w:hAnsi="Tahoma" w:cs="Tahoma"/>
          <w:sz w:val="24"/>
          <w:szCs w:val="24"/>
          <w:lang w:val="es-CO" w:eastAsia="es-ES"/>
        </w:rPr>
        <w:t xml:space="preserve">Para fundar dicha decisión indicó que, de conformidad con el precedente de la </w:t>
      </w:r>
      <w:r w:rsidR="00EF39DA" w:rsidRPr="00F22AE2">
        <w:rPr>
          <w:rFonts w:ascii="Tahoma" w:eastAsia="Times New Roman" w:hAnsi="Tahoma" w:cs="Tahoma"/>
          <w:sz w:val="24"/>
          <w:szCs w:val="24"/>
          <w:lang w:val="es-CO" w:eastAsia="es-ES"/>
        </w:rPr>
        <w:t>Sala de Casación Laboral de la Corte Suprema de Just</w:t>
      </w:r>
      <w:r w:rsidR="00BF1328" w:rsidRPr="00F22AE2">
        <w:rPr>
          <w:rFonts w:ascii="Tahoma" w:eastAsia="Times New Roman" w:hAnsi="Tahoma" w:cs="Tahoma"/>
          <w:sz w:val="24"/>
          <w:szCs w:val="24"/>
          <w:lang w:val="es-CO" w:eastAsia="es-ES"/>
        </w:rPr>
        <w:t>icia, la condición de pensionad</w:t>
      </w:r>
      <w:r w:rsidR="005135AD" w:rsidRPr="00F22AE2">
        <w:rPr>
          <w:rFonts w:ascii="Tahoma" w:eastAsia="Times New Roman" w:hAnsi="Tahoma" w:cs="Tahoma"/>
          <w:sz w:val="24"/>
          <w:szCs w:val="24"/>
          <w:lang w:val="es-CO" w:eastAsia="es-ES"/>
        </w:rPr>
        <w:t>o</w:t>
      </w:r>
      <w:r w:rsidR="00BF1328" w:rsidRPr="00F22AE2">
        <w:rPr>
          <w:rFonts w:ascii="Tahoma" w:eastAsia="Times New Roman" w:hAnsi="Tahoma" w:cs="Tahoma"/>
          <w:sz w:val="24"/>
          <w:szCs w:val="24"/>
          <w:lang w:val="es-CO" w:eastAsia="es-ES"/>
        </w:rPr>
        <w:t xml:space="preserve"> que ostenta </w:t>
      </w:r>
      <w:r w:rsidR="005135AD" w:rsidRPr="00F22AE2">
        <w:rPr>
          <w:rFonts w:ascii="Tahoma" w:eastAsia="Times New Roman" w:hAnsi="Tahoma" w:cs="Tahoma"/>
          <w:sz w:val="24"/>
          <w:szCs w:val="24"/>
          <w:lang w:val="es-CO" w:eastAsia="es-ES"/>
        </w:rPr>
        <w:t>e</w:t>
      </w:r>
      <w:r w:rsidR="00EF39DA" w:rsidRPr="00F22AE2">
        <w:rPr>
          <w:rFonts w:ascii="Tahoma" w:eastAsia="Times New Roman" w:hAnsi="Tahoma" w:cs="Tahoma"/>
          <w:sz w:val="24"/>
          <w:szCs w:val="24"/>
          <w:lang w:val="es-CO" w:eastAsia="es-ES"/>
        </w:rPr>
        <w:t>l</w:t>
      </w:r>
      <w:r w:rsidR="00BF1328" w:rsidRPr="00F22AE2">
        <w:rPr>
          <w:rFonts w:ascii="Tahoma" w:eastAsia="Times New Roman" w:hAnsi="Tahoma" w:cs="Tahoma"/>
          <w:sz w:val="24"/>
          <w:szCs w:val="24"/>
          <w:lang w:val="es-CO" w:eastAsia="es-ES"/>
        </w:rPr>
        <w:t xml:space="preserve"> demandante imposibilita</w:t>
      </w:r>
      <w:r w:rsidR="00EF39DA" w:rsidRPr="00F22AE2">
        <w:rPr>
          <w:rFonts w:ascii="Tahoma" w:eastAsia="Times New Roman" w:hAnsi="Tahoma" w:cs="Tahoma"/>
          <w:sz w:val="24"/>
          <w:szCs w:val="24"/>
          <w:lang w:val="es-CO" w:eastAsia="es-ES"/>
        </w:rPr>
        <w:t xml:space="preserve"> su retorno al RPM, pues</w:t>
      </w:r>
      <w:r w:rsidR="005C0518" w:rsidRPr="00F22AE2">
        <w:rPr>
          <w:rFonts w:ascii="Tahoma" w:eastAsia="Times New Roman" w:hAnsi="Tahoma" w:cs="Tahoma"/>
          <w:sz w:val="24"/>
          <w:szCs w:val="24"/>
          <w:lang w:val="es-CO" w:eastAsia="es-ES"/>
        </w:rPr>
        <w:t xml:space="preserve"> </w:t>
      </w:r>
      <w:r w:rsidR="00C94FF6" w:rsidRPr="00F22AE2">
        <w:rPr>
          <w:rFonts w:ascii="Tahoma" w:eastAsia="Times New Roman" w:hAnsi="Tahoma" w:cs="Tahoma"/>
          <w:sz w:val="24"/>
          <w:szCs w:val="24"/>
          <w:lang w:val="es-CO" w:eastAsia="es-ES"/>
        </w:rPr>
        <w:t xml:space="preserve">si se retrotrajeran </w:t>
      </w:r>
      <w:r w:rsidR="005C0518" w:rsidRPr="00F22AE2">
        <w:rPr>
          <w:rFonts w:ascii="Tahoma" w:eastAsia="Times New Roman" w:hAnsi="Tahoma" w:cs="Tahoma"/>
          <w:sz w:val="24"/>
          <w:szCs w:val="24"/>
          <w:lang w:val="es-CO" w:eastAsia="es-ES"/>
        </w:rPr>
        <w:t>las actuaciones que se llevaron a cabo</w:t>
      </w:r>
      <w:r w:rsidR="0028350C" w:rsidRPr="00F22AE2">
        <w:rPr>
          <w:rFonts w:ascii="Tahoma" w:eastAsia="Times New Roman" w:hAnsi="Tahoma" w:cs="Tahoma"/>
          <w:sz w:val="24"/>
          <w:szCs w:val="24"/>
          <w:lang w:val="es-CO" w:eastAsia="es-ES"/>
        </w:rPr>
        <w:t xml:space="preserve"> </w:t>
      </w:r>
      <w:r w:rsidR="00C94FF6" w:rsidRPr="00F22AE2">
        <w:rPr>
          <w:rFonts w:ascii="Tahoma" w:eastAsia="Times New Roman" w:hAnsi="Tahoma" w:cs="Tahoma"/>
          <w:sz w:val="24"/>
          <w:szCs w:val="24"/>
          <w:lang w:val="es-CO" w:eastAsia="es-ES"/>
        </w:rPr>
        <w:t xml:space="preserve">para </w:t>
      </w:r>
      <w:r w:rsidR="008404E9" w:rsidRPr="00F22AE2">
        <w:rPr>
          <w:rFonts w:ascii="Tahoma" w:eastAsia="Times New Roman" w:hAnsi="Tahoma" w:cs="Tahoma"/>
          <w:sz w:val="24"/>
          <w:szCs w:val="24"/>
          <w:lang w:val="es-CO" w:eastAsia="es-ES"/>
        </w:rPr>
        <w:t>concederle su derecho pensional</w:t>
      </w:r>
      <w:r w:rsidR="00C94FF6" w:rsidRPr="00F22AE2">
        <w:rPr>
          <w:rFonts w:ascii="Tahoma" w:eastAsia="Times New Roman" w:hAnsi="Tahoma" w:cs="Tahoma"/>
          <w:sz w:val="24"/>
          <w:szCs w:val="24"/>
          <w:lang w:val="es-CO" w:eastAsia="es-ES"/>
        </w:rPr>
        <w:t>, se afectaría a distintos agentes que intervinieron en la c</w:t>
      </w:r>
      <w:r w:rsidR="00BF1328" w:rsidRPr="00F22AE2">
        <w:rPr>
          <w:rFonts w:ascii="Tahoma" w:eastAsia="Times New Roman" w:hAnsi="Tahoma" w:cs="Tahoma"/>
          <w:sz w:val="24"/>
          <w:szCs w:val="24"/>
          <w:lang w:val="es-CO" w:eastAsia="es-ES"/>
        </w:rPr>
        <w:t xml:space="preserve">onsolidación </w:t>
      </w:r>
      <w:r w:rsidR="008404E9" w:rsidRPr="00F22AE2">
        <w:rPr>
          <w:rFonts w:ascii="Tahoma" w:eastAsia="Times New Roman" w:hAnsi="Tahoma" w:cs="Tahoma"/>
          <w:sz w:val="24"/>
          <w:szCs w:val="24"/>
          <w:lang w:val="es-CO" w:eastAsia="es-ES"/>
        </w:rPr>
        <w:t>del mismo</w:t>
      </w:r>
      <w:r w:rsidR="00BF1328" w:rsidRPr="00F22AE2">
        <w:rPr>
          <w:rFonts w:ascii="Tahoma" w:eastAsia="Times New Roman" w:hAnsi="Tahoma" w:cs="Tahoma"/>
          <w:sz w:val="24"/>
          <w:szCs w:val="24"/>
          <w:lang w:val="es-CO" w:eastAsia="es-ES"/>
        </w:rPr>
        <w:t>. Adicional a ello</w:t>
      </w:r>
      <w:r w:rsidR="00C94FF6" w:rsidRPr="00F22AE2">
        <w:rPr>
          <w:rFonts w:ascii="Tahoma" w:eastAsia="Times New Roman" w:hAnsi="Tahoma" w:cs="Tahoma"/>
          <w:sz w:val="24"/>
          <w:szCs w:val="24"/>
          <w:lang w:val="es-CO" w:eastAsia="es-ES"/>
        </w:rPr>
        <w:t xml:space="preserve">, </w:t>
      </w:r>
      <w:r w:rsidR="00EF39DA" w:rsidRPr="00F22AE2">
        <w:rPr>
          <w:rFonts w:ascii="Tahoma" w:eastAsia="Times New Roman" w:hAnsi="Tahoma" w:cs="Tahoma"/>
          <w:sz w:val="24"/>
          <w:szCs w:val="24"/>
          <w:lang w:val="es-CO" w:eastAsia="es-ES"/>
        </w:rPr>
        <w:t>al encontrarse consolidad</w:t>
      </w:r>
      <w:r w:rsidR="00C94FF6" w:rsidRPr="00F22AE2">
        <w:rPr>
          <w:rFonts w:ascii="Tahoma" w:eastAsia="Times New Roman" w:hAnsi="Tahoma" w:cs="Tahoma"/>
          <w:sz w:val="24"/>
          <w:szCs w:val="24"/>
          <w:lang w:val="es-CO" w:eastAsia="es-ES"/>
        </w:rPr>
        <w:t>a</w:t>
      </w:r>
      <w:r w:rsidR="00EF39DA" w:rsidRPr="00F22AE2">
        <w:rPr>
          <w:rFonts w:ascii="Tahoma" w:eastAsia="Times New Roman" w:hAnsi="Tahoma" w:cs="Tahoma"/>
          <w:sz w:val="24"/>
          <w:szCs w:val="24"/>
          <w:lang w:val="es-CO" w:eastAsia="es-ES"/>
        </w:rPr>
        <w:t xml:space="preserve"> su </w:t>
      </w:r>
      <w:r w:rsidR="00846C66" w:rsidRPr="00F22AE2">
        <w:rPr>
          <w:rFonts w:ascii="Tahoma" w:eastAsia="Times New Roman" w:hAnsi="Tahoma" w:cs="Tahoma"/>
          <w:sz w:val="24"/>
          <w:szCs w:val="24"/>
          <w:lang w:val="es-CO" w:eastAsia="es-ES"/>
        </w:rPr>
        <w:t>condición de pensionad</w:t>
      </w:r>
      <w:r w:rsidR="005135AD" w:rsidRPr="00F22AE2">
        <w:rPr>
          <w:rFonts w:ascii="Tahoma" w:eastAsia="Times New Roman" w:hAnsi="Tahoma" w:cs="Tahoma"/>
          <w:sz w:val="24"/>
          <w:szCs w:val="24"/>
          <w:lang w:val="es-CO" w:eastAsia="es-ES"/>
        </w:rPr>
        <w:t>o</w:t>
      </w:r>
      <w:r w:rsidR="00846C66" w:rsidRPr="00F22AE2">
        <w:rPr>
          <w:rFonts w:ascii="Tahoma" w:eastAsia="Times New Roman" w:hAnsi="Tahoma" w:cs="Tahoma"/>
          <w:sz w:val="24"/>
          <w:szCs w:val="24"/>
          <w:lang w:val="es-CO" w:eastAsia="es-ES"/>
        </w:rPr>
        <w:t>, se encuentra excluida</w:t>
      </w:r>
      <w:r w:rsidR="770A2395" w:rsidRPr="00F22AE2">
        <w:rPr>
          <w:rFonts w:ascii="Tahoma" w:eastAsia="Times New Roman" w:hAnsi="Tahoma" w:cs="Tahoma"/>
          <w:sz w:val="24"/>
          <w:szCs w:val="24"/>
          <w:lang w:val="es-CO" w:eastAsia="es-ES"/>
        </w:rPr>
        <w:t xml:space="preserve">, </w:t>
      </w:r>
      <w:r w:rsidR="008404E9" w:rsidRPr="00F22AE2">
        <w:rPr>
          <w:rFonts w:ascii="Tahoma" w:eastAsia="Times New Roman" w:hAnsi="Tahoma" w:cs="Tahoma"/>
          <w:sz w:val="24"/>
          <w:szCs w:val="24"/>
          <w:lang w:val="es-CO" w:eastAsia="es-ES"/>
        </w:rPr>
        <w:t>por la legislación</w:t>
      </w:r>
      <w:r w:rsidR="5AD0C55C" w:rsidRPr="00F22AE2">
        <w:rPr>
          <w:rFonts w:ascii="Tahoma" w:eastAsia="Times New Roman" w:hAnsi="Tahoma" w:cs="Tahoma"/>
          <w:sz w:val="24"/>
          <w:szCs w:val="24"/>
          <w:lang w:val="es-CO" w:eastAsia="es-ES"/>
        </w:rPr>
        <w:t xml:space="preserve">, </w:t>
      </w:r>
      <w:r w:rsidR="008404E9" w:rsidRPr="00F22AE2">
        <w:rPr>
          <w:rFonts w:ascii="Tahoma" w:eastAsia="Times New Roman" w:hAnsi="Tahoma" w:cs="Tahoma"/>
          <w:sz w:val="24"/>
          <w:szCs w:val="24"/>
          <w:lang w:val="es-CO" w:eastAsia="es-ES"/>
        </w:rPr>
        <w:t>la posibilidad de movilizarse dentro del esquema de seguridad social, puesto que dicho beneficio s</w:t>
      </w:r>
      <w:r w:rsidR="00423DFB" w:rsidRPr="00F22AE2">
        <w:rPr>
          <w:rFonts w:ascii="Tahoma" w:eastAsia="Times New Roman" w:hAnsi="Tahoma" w:cs="Tahoma"/>
          <w:sz w:val="24"/>
          <w:szCs w:val="24"/>
          <w:lang w:val="es-CO" w:eastAsia="es-ES"/>
        </w:rPr>
        <w:t>ó</w:t>
      </w:r>
      <w:r w:rsidR="008404E9" w:rsidRPr="00F22AE2">
        <w:rPr>
          <w:rFonts w:ascii="Tahoma" w:eastAsia="Times New Roman" w:hAnsi="Tahoma" w:cs="Tahoma"/>
          <w:sz w:val="24"/>
          <w:szCs w:val="24"/>
          <w:lang w:val="es-CO" w:eastAsia="es-ES"/>
        </w:rPr>
        <w:t>lo cobija a quienes presentan condición de afiliados al régimen pensional y no a quienes ostentan la calidad de pensionados, pues solo a los primeros les está permitido transferir voluntariamente los valores que poseen en su cuenta de ahorro individual a diferentes planes de capitalización e incluso, a diferentes regímenes pensionales.</w:t>
      </w:r>
    </w:p>
    <w:p w14:paraId="3427540B" w14:textId="77777777" w:rsidR="0091488B" w:rsidRPr="00F22AE2" w:rsidRDefault="0091488B" w:rsidP="00F22AE2">
      <w:pPr>
        <w:spacing w:line="276" w:lineRule="auto"/>
        <w:ind w:firstLine="705"/>
        <w:textAlignment w:val="baseline"/>
        <w:rPr>
          <w:rFonts w:ascii="Tahoma" w:eastAsia="Times New Roman" w:hAnsi="Tahoma" w:cs="Tahoma"/>
          <w:sz w:val="24"/>
          <w:szCs w:val="24"/>
          <w:lang w:val="es-CO" w:eastAsia="es-ES_tradnl"/>
        </w:rPr>
      </w:pPr>
    </w:p>
    <w:p w14:paraId="0D4F67C6" w14:textId="622D5845" w:rsidR="0039119E" w:rsidRPr="00F22AE2" w:rsidRDefault="0039119E" w:rsidP="00F22AE2">
      <w:pPr>
        <w:numPr>
          <w:ilvl w:val="0"/>
          <w:numId w:val="2"/>
        </w:numPr>
        <w:spacing w:line="276" w:lineRule="auto"/>
        <w:jc w:val="center"/>
        <w:textAlignment w:val="baseline"/>
        <w:rPr>
          <w:rFonts w:ascii="Tahoma" w:eastAsia="Times New Roman" w:hAnsi="Tahoma" w:cs="Tahoma"/>
          <w:b/>
          <w:sz w:val="24"/>
          <w:szCs w:val="24"/>
          <w:lang w:val="es-CO" w:eastAsia="es-ES_tradnl"/>
        </w:rPr>
      </w:pPr>
      <w:r w:rsidRPr="00F22AE2">
        <w:rPr>
          <w:rFonts w:ascii="Tahoma" w:eastAsia="Times New Roman" w:hAnsi="Tahoma" w:cs="Tahoma"/>
          <w:b/>
          <w:sz w:val="24"/>
          <w:szCs w:val="24"/>
          <w:lang w:val="es-CO" w:eastAsia="es-ES_tradnl"/>
        </w:rPr>
        <w:t>Recurso de apelación</w:t>
      </w:r>
    </w:p>
    <w:p w14:paraId="0C7025BE" w14:textId="77777777" w:rsidR="000860F6" w:rsidRPr="00F22AE2" w:rsidRDefault="000860F6" w:rsidP="00F22AE2">
      <w:pPr>
        <w:spacing w:line="276" w:lineRule="auto"/>
        <w:jc w:val="center"/>
        <w:textAlignment w:val="baseline"/>
        <w:rPr>
          <w:rFonts w:ascii="Tahoma" w:eastAsia="Times New Roman" w:hAnsi="Tahoma" w:cs="Tahoma"/>
          <w:b/>
          <w:sz w:val="24"/>
          <w:szCs w:val="24"/>
          <w:lang w:val="es-CO" w:eastAsia="es-ES_tradnl"/>
        </w:rPr>
      </w:pPr>
    </w:p>
    <w:p w14:paraId="5835B61B" w14:textId="0771D745" w:rsidR="0073792D" w:rsidRPr="00F22AE2" w:rsidRDefault="000860F6" w:rsidP="00F22AE2">
      <w:pPr>
        <w:spacing w:line="276" w:lineRule="auto"/>
        <w:textAlignment w:val="baseline"/>
        <w:rPr>
          <w:rFonts w:ascii="Tahoma" w:eastAsia="Times New Roman" w:hAnsi="Tahoma" w:cs="Tahoma"/>
          <w:bCs/>
          <w:sz w:val="24"/>
          <w:szCs w:val="24"/>
          <w:lang w:val="es-CO" w:eastAsia="es-ES_tradnl"/>
        </w:rPr>
      </w:pPr>
      <w:r w:rsidRPr="00F22AE2">
        <w:rPr>
          <w:rFonts w:ascii="Tahoma" w:eastAsia="Times New Roman" w:hAnsi="Tahoma" w:cs="Tahoma"/>
          <w:bCs/>
          <w:sz w:val="24"/>
          <w:szCs w:val="24"/>
          <w:lang w:val="es-CO" w:eastAsia="es-ES_tradnl"/>
        </w:rPr>
        <w:t>La apoderada judicial del demandante sustentó la apelación arguyendo que la sentencia de instancia estuvo fundada en un cambio jurisprudencial que tuvo la Corte Suprema de Justicia en febrero de 2021</w:t>
      </w:r>
      <w:r w:rsidR="00B52AA4" w:rsidRPr="00F22AE2">
        <w:rPr>
          <w:rFonts w:ascii="Tahoma" w:eastAsia="Times New Roman" w:hAnsi="Tahoma" w:cs="Tahoma"/>
          <w:bCs/>
          <w:sz w:val="24"/>
          <w:szCs w:val="24"/>
          <w:lang w:val="es-CO" w:eastAsia="es-ES_tradnl"/>
        </w:rPr>
        <w:t>,</w:t>
      </w:r>
      <w:r w:rsidR="00364B69" w:rsidRPr="00F22AE2">
        <w:rPr>
          <w:rFonts w:ascii="Tahoma" w:eastAsia="Times New Roman" w:hAnsi="Tahoma" w:cs="Tahoma"/>
          <w:bCs/>
          <w:sz w:val="24"/>
          <w:szCs w:val="24"/>
          <w:lang w:val="es-CO" w:eastAsia="es-ES_tradnl"/>
        </w:rPr>
        <w:t xml:space="preserve"> por medio del cual dispuso </w:t>
      </w:r>
      <w:r w:rsidR="00262A45" w:rsidRPr="00F22AE2">
        <w:rPr>
          <w:rFonts w:ascii="Tahoma" w:eastAsia="Times New Roman" w:hAnsi="Tahoma" w:cs="Tahoma"/>
          <w:bCs/>
          <w:sz w:val="24"/>
          <w:szCs w:val="24"/>
          <w:lang w:val="es-CO" w:eastAsia="es-ES_tradnl"/>
        </w:rPr>
        <w:t>que,</w:t>
      </w:r>
      <w:r w:rsidR="00364B69" w:rsidRPr="00F22AE2">
        <w:rPr>
          <w:rFonts w:ascii="Tahoma" w:eastAsia="Times New Roman" w:hAnsi="Tahoma" w:cs="Tahoma"/>
          <w:bCs/>
          <w:sz w:val="24"/>
          <w:szCs w:val="24"/>
          <w:lang w:val="es-CO" w:eastAsia="es-ES_tradnl"/>
        </w:rPr>
        <w:t xml:space="preserve"> en el caso de los pensionados, deb</w:t>
      </w:r>
      <w:r w:rsidR="00AB3DAC" w:rsidRPr="00F22AE2">
        <w:rPr>
          <w:rFonts w:ascii="Tahoma" w:eastAsia="Times New Roman" w:hAnsi="Tahoma" w:cs="Tahoma"/>
          <w:bCs/>
          <w:sz w:val="24"/>
          <w:szCs w:val="24"/>
          <w:lang w:val="es-CO" w:eastAsia="es-ES_tradnl"/>
        </w:rPr>
        <w:t xml:space="preserve">ían acudir a la acción de resarcimiento de perjuicios y no a la ineficacia del traslado. Agregó que dicho cambio fue intempestivo para el demandante porque la demanda se </w:t>
      </w:r>
      <w:r w:rsidR="003B6AFE" w:rsidRPr="00F22AE2">
        <w:rPr>
          <w:rFonts w:ascii="Tahoma" w:eastAsia="Times New Roman" w:hAnsi="Tahoma" w:cs="Tahoma"/>
          <w:bCs/>
          <w:sz w:val="24"/>
          <w:szCs w:val="24"/>
          <w:lang w:val="es-CO" w:eastAsia="es-ES_tradnl"/>
        </w:rPr>
        <w:t>instauró 18 meses antes del cambio jurisprudencial, cuando no le era dable retirar o modificar la demanda. Razón por la cual le correspondía a</w:t>
      </w:r>
      <w:r w:rsidR="00D64CD8" w:rsidRPr="00F22AE2">
        <w:rPr>
          <w:rFonts w:ascii="Tahoma" w:eastAsia="Times New Roman" w:hAnsi="Tahoma" w:cs="Tahoma"/>
          <w:bCs/>
          <w:sz w:val="24"/>
          <w:szCs w:val="24"/>
          <w:lang w:val="es-CO" w:eastAsia="es-ES_tradnl"/>
        </w:rPr>
        <w:t>l fallador</w:t>
      </w:r>
      <w:r w:rsidR="003B6AFE" w:rsidRPr="00F22AE2">
        <w:rPr>
          <w:rFonts w:ascii="Tahoma" w:eastAsia="Times New Roman" w:hAnsi="Tahoma" w:cs="Tahoma"/>
          <w:bCs/>
          <w:sz w:val="24"/>
          <w:szCs w:val="24"/>
          <w:lang w:val="es-CO" w:eastAsia="es-ES_tradnl"/>
        </w:rPr>
        <w:t xml:space="preserve"> con las facultades ultra y extra petita </w:t>
      </w:r>
      <w:r w:rsidR="0073792D" w:rsidRPr="00F22AE2">
        <w:rPr>
          <w:rFonts w:ascii="Tahoma" w:eastAsia="Times New Roman" w:hAnsi="Tahoma" w:cs="Tahoma"/>
          <w:bCs/>
          <w:sz w:val="24"/>
          <w:szCs w:val="24"/>
          <w:lang w:val="es-CO" w:eastAsia="es-ES_tradnl"/>
        </w:rPr>
        <w:t xml:space="preserve">conjurar el daño por medio de la indemnización del perjuicio producto de la falta del deber de información por parte de la demandada que estaba plenamente acreditado. </w:t>
      </w:r>
    </w:p>
    <w:p w14:paraId="5229252F" w14:textId="77777777" w:rsidR="00952AA2" w:rsidRPr="00F22AE2" w:rsidRDefault="00952AA2" w:rsidP="00F22AE2">
      <w:pPr>
        <w:spacing w:line="276" w:lineRule="auto"/>
        <w:textAlignment w:val="baseline"/>
        <w:rPr>
          <w:rFonts w:ascii="Tahoma" w:eastAsia="Times New Roman" w:hAnsi="Tahoma" w:cs="Tahoma"/>
          <w:bCs/>
          <w:sz w:val="24"/>
          <w:szCs w:val="24"/>
          <w:lang w:val="es-CO" w:eastAsia="es-ES_tradnl"/>
        </w:rPr>
      </w:pPr>
    </w:p>
    <w:p w14:paraId="658FC4C5" w14:textId="2BD64F31" w:rsidR="00952AA2" w:rsidRPr="00F22AE2" w:rsidRDefault="00952AA2" w:rsidP="00F22AE2">
      <w:pPr>
        <w:spacing w:line="276" w:lineRule="auto"/>
        <w:textAlignment w:val="baseline"/>
        <w:rPr>
          <w:rFonts w:ascii="Tahoma" w:eastAsia="Times New Roman" w:hAnsi="Tahoma" w:cs="Tahoma"/>
          <w:bCs/>
          <w:sz w:val="24"/>
          <w:szCs w:val="24"/>
          <w:lang w:val="es-CO" w:eastAsia="es-ES_tradnl"/>
        </w:rPr>
      </w:pPr>
      <w:r w:rsidRPr="00F22AE2">
        <w:rPr>
          <w:rFonts w:ascii="Tahoma" w:eastAsia="Times New Roman" w:hAnsi="Tahoma" w:cs="Tahoma"/>
          <w:bCs/>
          <w:sz w:val="24"/>
          <w:szCs w:val="24"/>
          <w:lang w:val="es-CO" w:eastAsia="es-ES_tradnl"/>
        </w:rPr>
        <w:t>Por último, peticiona la absolución en costas procesales, argumentando que la sentencia de instancia se profirió con base en un cambio jurisprudencial.</w:t>
      </w:r>
    </w:p>
    <w:p w14:paraId="04B396EE" w14:textId="77777777" w:rsidR="00DA4180" w:rsidRPr="00F22AE2" w:rsidRDefault="00DA4180" w:rsidP="00F22AE2">
      <w:pPr>
        <w:spacing w:line="276" w:lineRule="auto"/>
        <w:ind w:firstLine="0"/>
        <w:textAlignment w:val="baseline"/>
        <w:rPr>
          <w:rFonts w:ascii="Tahoma" w:eastAsia="Times New Roman" w:hAnsi="Tahoma" w:cs="Tahoma"/>
          <w:sz w:val="24"/>
          <w:szCs w:val="24"/>
          <w:lang w:eastAsia="es-ES_tradnl"/>
        </w:rPr>
      </w:pPr>
    </w:p>
    <w:p w14:paraId="65786ACD" w14:textId="77777777" w:rsidR="0039119E" w:rsidRPr="00F22AE2" w:rsidRDefault="0039119E" w:rsidP="00F22AE2">
      <w:pPr>
        <w:numPr>
          <w:ilvl w:val="0"/>
          <w:numId w:val="2"/>
        </w:numPr>
        <w:spacing w:line="276" w:lineRule="auto"/>
        <w:ind w:left="0" w:firstLine="0"/>
        <w:jc w:val="center"/>
        <w:textAlignment w:val="baseline"/>
        <w:rPr>
          <w:rFonts w:ascii="Tahoma" w:eastAsia="Times New Roman" w:hAnsi="Tahoma" w:cs="Tahoma"/>
          <w:b/>
          <w:sz w:val="24"/>
          <w:szCs w:val="24"/>
          <w:lang w:eastAsia="es-ES_tradnl"/>
        </w:rPr>
      </w:pPr>
      <w:r w:rsidRPr="00F22AE2">
        <w:rPr>
          <w:rFonts w:ascii="Tahoma" w:eastAsia="Times New Roman" w:hAnsi="Tahoma" w:cs="Tahoma"/>
          <w:b/>
          <w:sz w:val="24"/>
          <w:szCs w:val="24"/>
          <w:lang w:eastAsia="es-ES_tradnl"/>
        </w:rPr>
        <w:t>Alegatos de conclusión</w:t>
      </w:r>
    </w:p>
    <w:p w14:paraId="57A6210C" w14:textId="77777777" w:rsidR="0039119E" w:rsidRPr="00F22AE2" w:rsidRDefault="0039119E" w:rsidP="00F22AE2">
      <w:pPr>
        <w:spacing w:line="276" w:lineRule="auto"/>
        <w:ind w:firstLine="705"/>
        <w:textAlignment w:val="baseline"/>
        <w:rPr>
          <w:rFonts w:ascii="Tahoma" w:eastAsia="Times New Roman" w:hAnsi="Tahoma" w:cs="Tahoma"/>
          <w:sz w:val="24"/>
          <w:szCs w:val="24"/>
          <w:lang w:eastAsia="es-ES_tradnl"/>
        </w:rPr>
      </w:pPr>
    </w:p>
    <w:p w14:paraId="1B4EBCC0" w14:textId="53D90CD9" w:rsidR="0039119E" w:rsidRPr="00F22AE2" w:rsidRDefault="0039119E" w:rsidP="00F22AE2">
      <w:pPr>
        <w:spacing w:line="276" w:lineRule="auto"/>
        <w:ind w:firstLine="705"/>
        <w:textAlignment w:val="baseline"/>
        <w:rPr>
          <w:rFonts w:ascii="Tahoma" w:eastAsia="Times New Roman" w:hAnsi="Tahoma" w:cs="Tahoma"/>
          <w:sz w:val="24"/>
          <w:szCs w:val="24"/>
          <w:lang w:eastAsia="es-ES_tradnl"/>
        </w:rPr>
      </w:pPr>
      <w:r w:rsidRPr="00F22AE2">
        <w:rPr>
          <w:rFonts w:ascii="Tahoma" w:eastAsia="Times New Roman" w:hAnsi="Tahoma" w:cs="Tahoma"/>
          <w:sz w:val="24"/>
          <w:szCs w:val="24"/>
          <w:lang w:eastAsia="es-ES_tradnl"/>
        </w:rPr>
        <w:t xml:space="preserve">Analizados los alegatos </w:t>
      </w:r>
      <w:r w:rsidR="001F44A0" w:rsidRPr="00F22AE2">
        <w:rPr>
          <w:rFonts w:ascii="Tahoma" w:eastAsia="Times New Roman" w:hAnsi="Tahoma" w:cs="Tahoma"/>
          <w:sz w:val="24"/>
          <w:szCs w:val="24"/>
          <w:lang w:eastAsia="es-ES_tradnl"/>
        </w:rPr>
        <w:t>presentados de forma escrita</w:t>
      </w:r>
      <w:r w:rsidRPr="00F22AE2">
        <w:rPr>
          <w:rFonts w:ascii="Tahoma" w:eastAsia="Times New Roman" w:hAnsi="Tahoma" w:cs="Tahoma"/>
          <w:sz w:val="24"/>
          <w:szCs w:val="24"/>
          <w:lang w:eastAsia="es-ES_tradnl"/>
        </w:rPr>
        <w:t xml:space="preserve"> por</w:t>
      </w:r>
      <w:r w:rsidR="00637C49" w:rsidRPr="00F22AE2">
        <w:rPr>
          <w:rFonts w:ascii="Tahoma" w:eastAsia="Times New Roman" w:hAnsi="Tahoma" w:cs="Tahoma"/>
          <w:sz w:val="24"/>
          <w:szCs w:val="24"/>
          <w:lang w:eastAsia="es-ES_tradnl"/>
        </w:rPr>
        <w:t xml:space="preserve"> el demandante y Colpensiones</w:t>
      </w:r>
      <w:r w:rsidRPr="00F22AE2">
        <w:rPr>
          <w:rFonts w:ascii="Tahoma" w:eastAsia="Times New Roman" w:hAnsi="Tahoma" w:cs="Tahoma"/>
          <w:sz w:val="24"/>
          <w:szCs w:val="24"/>
          <w:lang w:eastAsia="es-ES_tradnl"/>
        </w:rPr>
        <w:t>, mismos que obran en el expediente digital</w:t>
      </w:r>
      <w:r w:rsidR="00DA4180"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y a los cuales nos remitimos por economía procesal en virtud del artículo 280 del C.G.P., la Sala encuentra que</w:t>
      </w:r>
      <w:r w:rsidR="001F44A0"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los argumentos</w:t>
      </w:r>
      <w:r w:rsidR="00DA4180"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fácticos</w:t>
      </w:r>
      <w:r w:rsidR="00826F65"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y jurídicos</w:t>
      </w:r>
      <w:r w:rsidR="00DA4180"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expresados</w:t>
      </w:r>
      <w:r w:rsidR="00DA4180"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concuerdan</w:t>
      </w:r>
      <w:r w:rsidR="00826F65"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 xml:space="preserve">con </w:t>
      </w:r>
      <w:r w:rsidR="00DA4180" w:rsidRPr="00F22AE2">
        <w:rPr>
          <w:rFonts w:ascii="Tahoma" w:eastAsia="Times New Roman" w:hAnsi="Tahoma" w:cs="Tahoma"/>
          <w:sz w:val="24"/>
          <w:szCs w:val="24"/>
          <w:lang w:eastAsia="es-ES_tradnl"/>
        </w:rPr>
        <w:t>los puntos objeto</w:t>
      </w:r>
      <w:r w:rsidR="00785337"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de</w:t>
      </w:r>
      <w:r w:rsidR="00DA4180" w:rsidRPr="00F22AE2">
        <w:rPr>
          <w:rFonts w:ascii="Tahoma" w:eastAsia="Times New Roman" w:hAnsi="Tahoma" w:cs="Tahoma"/>
          <w:sz w:val="24"/>
          <w:szCs w:val="24"/>
          <w:lang w:eastAsia="es-ES_tradnl"/>
        </w:rPr>
        <w:t xml:space="preserve"> </w:t>
      </w:r>
      <w:r w:rsidRPr="00F22AE2">
        <w:rPr>
          <w:rFonts w:ascii="Tahoma" w:eastAsia="Times New Roman" w:hAnsi="Tahoma" w:cs="Tahoma"/>
          <w:sz w:val="24"/>
          <w:szCs w:val="24"/>
          <w:lang w:eastAsia="es-ES_tradnl"/>
        </w:rPr>
        <w:t xml:space="preserve">discusión en esta instancia y se relacionan con el problema jurídico que se expresará </w:t>
      </w:r>
      <w:r w:rsidRPr="00F22AE2">
        <w:rPr>
          <w:rFonts w:ascii="Tahoma" w:eastAsia="Times New Roman" w:hAnsi="Tahoma" w:cs="Tahoma"/>
          <w:sz w:val="24"/>
          <w:szCs w:val="24"/>
          <w:lang w:eastAsia="es-ES_tradnl"/>
        </w:rPr>
        <w:lastRenderedPageBreak/>
        <w:t>más adelante.</w:t>
      </w:r>
      <w:r w:rsidR="00DA4180" w:rsidRPr="00F22AE2">
        <w:rPr>
          <w:rFonts w:ascii="Tahoma" w:eastAsia="Times New Roman" w:hAnsi="Tahoma" w:cs="Tahoma"/>
          <w:sz w:val="24"/>
          <w:szCs w:val="24"/>
          <w:lang w:eastAsia="es-ES_tradnl"/>
        </w:rPr>
        <w:t xml:space="preserve"> </w:t>
      </w:r>
      <w:r w:rsidR="005F1D5F" w:rsidRPr="00F22AE2">
        <w:rPr>
          <w:rFonts w:ascii="Tahoma" w:eastAsia="Times New Roman" w:hAnsi="Tahoma" w:cs="Tahoma"/>
          <w:sz w:val="24"/>
          <w:szCs w:val="24"/>
          <w:lang w:eastAsia="es-ES_tradnl"/>
        </w:rPr>
        <w:t xml:space="preserve">Las demás partes dejaron transcurrir el término otorgado en silencio y </w:t>
      </w:r>
      <w:r w:rsidRPr="00F22AE2">
        <w:rPr>
          <w:rFonts w:ascii="Tahoma" w:eastAsia="Times New Roman" w:hAnsi="Tahoma" w:cs="Tahoma"/>
          <w:sz w:val="24"/>
          <w:szCs w:val="24"/>
          <w:lang w:eastAsia="es-ES_tradnl"/>
        </w:rPr>
        <w:t>el Ministerio Público no rindió concepto en este asunto.</w:t>
      </w:r>
    </w:p>
    <w:p w14:paraId="4E975E0B" w14:textId="77777777" w:rsidR="00F27214" w:rsidRPr="00F22AE2" w:rsidRDefault="00F27214" w:rsidP="00F22AE2">
      <w:pPr>
        <w:spacing w:line="276" w:lineRule="auto"/>
        <w:ind w:firstLine="705"/>
        <w:textAlignment w:val="baseline"/>
        <w:rPr>
          <w:rFonts w:ascii="Tahoma" w:eastAsia="Times New Roman" w:hAnsi="Tahoma" w:cs="Tahoma"/>
          <w:b/>
          <w:sz w:val="24"/>
          <w:szCs w:val="24"/>
          <w:lang w:eastAsia="es-ES_tradnl"/>
        </w:rPr>
      </w:pPr>
    </w:p>
    <w:p w14:paraId="7AE763A1" w14:textId="1D953C98" w:rsidR="0039119E" w:rsidRPr="00F22AE2" w:rsidRDefault="0039119E" w:rsidP="00F22AE2">
      <w:pPr>
        <w:numPr>
          <w:ilvl w:val="0"/>
          <w:numId w:val="2"/>
        </w:numPr>
        <w:tabs>
          <w:tab w:val="left" w:pos="284"/>
        </w:tabs>
        <w:spacing w:line="276" w:lineRule="auto"/>
        <w:ind w:left="0" w:firstLine="0"/>
        <w:jc w:val="center"/>
        <w:textAlignment w:val="baseline"/>
        <w:rPr>
          <w:rFonts w:ascii="Tahoma" w:eastAsia="Times New Roman" w:hAnsi="Tahoma" w:cs="Tahoma"/>
          <w:b/>
          <w:sz w:val="24"/>
          <w:szCs w:val="24"/>
          <w:lang w:val="es-CO" w:eastAsia="es-ES_tradnl"/>
        </w:rPr>
      </w:pPr>
      <w:r w:rsidRPr="00F22AE2">
        <w:rPr>
          <w:rFonts w:ascii="Tahoma" w:eastAsia="Times New Roman" w:hAnsi="Tahoma" w:cs="Tahoma"/>
          <w:b/>
          <w:bCs/>
          <w:sz w:val="24"/>
          <w:szCs w:val="24"/>
          <w:lang w:val="es-CO" w:eastAsia="es-ES_tradnl"/>
        </w:rPr>
        <w:t>Problema</w:t>
      </w:r>
      <w:r w:rsidR="00355DD1" w:rsidRPr="00F22AE2">
        <w:rPr>
          <w:rFonts w:ascii="Tahoma" w:eastAsia="Times New Roman" w:hAnsi="Tahoma" w:cs="Tahoma"/>
          <w:b/>
          <w:bCs/>
          <w:sz w:val="24"/>
          <w:szCs w:val="24"/>
          <w:lang w:val="es-CO" w:eastAsia="es-ES_tradnl"/>
        </w:rPr>
        <w:t>s</w:t>
      </w:r>
      <w:r w:rsidRPr="00F22AE2">
        <w:rPr>
          <w:rFonts w:ascii="Tahoma" w:eastAsia="Times New Roman" w:hAnsi="Tahoma" w:cs="Tahoma"/>
          <w:b/>
          <w:bCs/>
          <w:sz w:val="24"/>
          <w:szCs w:val="24"/>
          <w:lang w:val="es-CO" w:eastAsia="es-ES_tradnl"/>
        </w:rPr>
        <w:t xml:space="preserve"> jurídico</w:t>
      </w:r>
      <w:r w:rsidR="00355DD1" w:rsidRPr="00F22AE2">
        <w:rPr>
          <w:rFonts w:ascii="Tahoma" w:eastAsia="Times New Roman" w:hAnsi="Tahoma" w:cs="Tahoma"/>
          <w:b/>
          <w:bCs/>
          <w:sz w:val="24"/>
          <w:szCs w:val="24"/>
          <w:lang w:val="es-CO" w:eastAsia="es-ES_tradnl"/>
        </w:rPr>
        <w:t>s</w:t>
      </w:r>
      <w:r w:rsidRPr="00F22AE2">
        <w:rPr>
          <w:rFonts w:ascii="Tahoma" w:eastAsia="Times New Roman" w:hAnsi="Tahoma" w:cs="Tahoma"/>
          <w:b/>
          <w:bCs/>
          <w:sz w:val="24"/>
          <w:szCs w:val="24"/>
          <w:lang w:val="es-CO" w:eastAsia="es-ES_tradnl"/>
        </w:rPr>
        <w:t xml:space="preserve"> por resolver</w:t>
      </w:r>
    </w:p>
    <w:p w14:paraId="19E618BE" w14:textId="77777777" w:rsidR="0039119E" w:rsidRPr="00F22AE2" w:rsidRDefault="0039119E"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sz w:val="24"/>
          <w:szCs w:val="24"/>
          <w:lang w:val="es-CO" w:eastAsia="es-ES_tradnl"/>
        </w:rPr>
        <w:t> </w:t>
      </w:r>
    </w:p>
    <w:p w14:paraId="2E5B2948" w14:textId="6308EA96" w:rsidR="00D263AA" w:rsidRPr="00F22AE2" w:rsidRDefault="0044754C" w:rsidP="00F22AE2">
      <w:pPr>
        <w:spacing w:line="276" w:lineRule="auto"/>
        <w:ind w:firstLine="705"/>
        <w:textAlignment w:val="baseline"/>
        <w:rPr>
          <w:rFonts w:ascii="Tahoma" w:eastAsia="Times New Roman" w:hAnsi="Tahoma" w:cs="Tahoma"/>
          <w:sz w:val="24"/>
          <w:szCs w:val="24"/>
          <w:lang w:eastAsia="es-ES_tradnl"/>
        </w:rPr>
      </w:pPr>
      <w:r w:rsidRPr="00F22AE2">
        <w:rPr>
          <w:rFonts w:ascii="Tahoma" w:eastAsia="Times New Roman" w:hAnsi="Tahoma" w:cs="Tahoma"/>
          <w:sz w:val="24"/>
          <w:szCs w:val="24"/>
          <w:lang w:eastAsia="es-ES_tradnl"/>
        </w:rPr>
        <w:t>De acuerdo con el esquema del recurso de apelación</w:t>
      </w:r>
      <w:r w:rsidR="00F64617" w:rsidRPr="00F22AE2">
        <w:rPr>
          <w:rFonts w:ascii="Tahoma" w:eastAsia="Times New Roman" w:hAnsi="Tahoma" w:cs="Tahoma"/>
          <w:sz w:val="24"/>
          <w:szCs w:val="24"/>
          <w:lang w:eastAsia="es-ES_tradnl"/>
        </w:rPr>
        <w:t xml:space="preserve"> impetrado por la parte actora</w:t>
      </w:r>
      <w:r w:rsidRPr="00F22AE2">
        <w:rPr>
          <w:rFonts w:ascii="Tahoma" w:eastAsia="Times New Roman" w:hAnsi="Tahoma" w:cs="Tahoma"/>
          <w:sz w:val="24"/>
          <w:szCs w:val="24"/>
          <w:lang w:eastAsia="es-ES_tradnl"/>
        </w:rPr>
        <w:t xml:space="preserve">, le corresponde a la Sala establecer si, ante el cambio jurisprudencial en virtud del cual </w:t>
      </w:r>
      <w:r w:rsidR="004058D9" w:rsidRPr="00F22AE2">
        <w:rPr>
          <w:rFonts w:ascii="Tahoma" w:eastAsia="Times New Roman" w:hAnsi="Tahoma" w:cs="Tahoma"/>
          <w:sz w:val="24"/>
          <w:szCs w:val="24"/>
          <w:lang w:eastAsia="es-ES_tradnl"/>
        </w:rPr>
        <w:t>se determinó la i</w:t>
      </w:r>
      <w:r w:rsidR="004F014C" w:rsidRPr="00F22AE2">
        <w:rPr>
          <w:rFonts w:ascii="Tahoma" w:eastAsia="Times New Roman" w:hAnsi="Tahoma" w:cs="Tahoma"/>
          <w:sz w:val="24"/>
          <w:szCs w:val="24"/>
          <w:lang w:eastAsia="es-ES_tradnl"/>
        </w:rPr>
        <w:t>mposibilidad</w:t>
      </w:r>
      <w:r w:rsidR="004058D9" w:rsidRPr="00F22AE2">
        <w:rPr>
          <w:rFonts w:ascii="Tahoma" w:eastAsia="Times New Roman" w:hAnsi="Tahoma" w:cs="Tahoma"/>
          <w:sz w:val="24"/>
          <w:szCs w:val="24"/>
          <w:lang w:eastAsia="es-ES_tradnl"/>
        </w:rPr>
        <w:t xml:space="preserve"> de </w:t>
      </w:r>
      <w:r w:rsidR="004F014C" w:rsidRPr="00F22AE2">
        <w:rPr>
          <w:rFonts w:ascii="Tahoma" w:eastAsia="Times New Roman" w:hAnsi="Tahoma" w:cs="Tahoma"/>
          <w:sz w:val="24"/>
          <w:szCs w:val="24"/>
          <w:lang w:eastAsia="es-ES_tradnl"/>
        </w:rPr>
        <w:t>declarar la</w:t>
      </w:r>
      <w:r w:rsidR="004058D9" w:rsidRPr="00F22AE2">
        <w:rPr>
          <w:rFonts w:ascii="Tahoma" w:eastAsia="Times New Roman" w:hAnsi="Tahoma" w:cs="Tahoma"/>
          <w:sz w:val="24"/>
          <w:szCs w:val="24"/>
          <w:lang w:eastAsia="es-ES_tradnl"/>
        </w:rPr>
        <w:t xml:space="preserve"> ineficacia del traslado de régimen</w:t>
      </w:r>
      <w:r w:rsidR="00F64617" w:rsidRPr="00F22AE2">
        <w:rPr>
          <w:rFonts w:ascii="Tahoma" w:eastAsia="Times New Roman" w:hAnsi="Tahoma" w:cs="Tahoma"/>
          <w:sz w:val="24"/>
          <w:szCs w:val="24"/>
          <w:lang w:eastAsia="es-ES_tradnl"/>
        </w:rPr>
        <w:t xml:space="preserve"> pensional</w:t>
      </w:r>
      <w:r w:rsidR="004058D9" w:rsidRPr="00F22AE2">
        <w:rPr>
          <w:rFonts w:ascii="Tahoma" w:eastAsia="Times New Roman" w:hAnsi="Tahoma" w:cs="Tahoma"/>
          <w:sz w:val="24"/>
          <w:szCs w:val="24"/>
          <w:lang w:eastAsia="es-ES_tradnl"/>
        </w:rPr>
        <w:t xml:space="preserve"> de personas ya pensionadas por el RAIS, </w:t>
      </w:r>
      <w:r w:rsidR="004F014C" w:rsidRPr="00F22AE2">
        <w:rPr>
          <w:rFonts w:ascii="Tahoma" w:eastAsia="Times New Roman" w:hAnsi="Tahoma" w:cs="Tahoma"/>
          <w:sz w:val="24"/>
          <w:szCs w:val="24"/>
          <w:lang w:eastAsia="es-ES_tradnl"/>
        </w:rPr>
        <w:t>resulta posib</w:t>
      </w:r>
      <w:r w:rsidR="00F64617" w:rsidRPr="00F22AE2">
        <w:rPr>
          <w:rFonts w:ascii="Tahoma" w:eastAsia="Times New Roman" w:hAnsi="Tahoma" w:cs="Tahoma"/>
          <w:sz w:val="24"/>
          <w:szCs w:val="24"/>
          <w:lang w:eastAsia="es-ES_tradnl"/>
        </w:rPr>
        <w:t>le condenar de oficio al resar</w:t>
      </w:r>
      <w:r w:rsidR="003E530E" w:rsidRPr="00F22AE2">
        <w:rPr>
          <w:rFonts w:ascii="Tahoma" w:eastAsia="Times New Roman" w:hAnsi="Tahoma" w:cs="Tahoma"/>
          <w:sz w:val="24"/>
          <w:szCs w:val="24"/>
          <w:lang w:eastAsia="es-ES_tradnl"/>
        </w:rPr>
        <w:t>cimiento de perjuicios por la violación del deber de información, pese a que no haya pretensión, ni principal ni subsidiaria, en tal sentido.</w:t>
      </w:r>
    </w:p>
    <w:p w14:paraId="3CA90C01" w14:textId="77777777" w:rsidR="0091488B" w:rsidRPr="00F22AE2" w:rsidRDefault="0091488B" w:rsidP="00F22AE2">
      <w:pPr>
        <w:spacing w:line="276" w:lineRule="auto"/>
        <w:ind w:firstLine="705"/>
        <w:textAlignment w:val="baseline"/>
        <w:rPr>
          <w:rFonts w:ascii="Tahoma" w:eastAsia="Times New Roman" w:hAnsi="Tahoma" w:cs="Tahoma"/>
          <w:sz w:val="24"/>
          <w:szCs w:val="24"/>
          <w:lang w:eastAsia="es-ES_tradnl"/>
        </w:rPr>
      </w:pPr>
    </w:p>
    <w:p w14:paraId="0983C6CA" w14:textId="63057FC7" w:rsidR="0039119E" w:rsidRPr="00F22AE2" w:rsidRDefault="0039119E" w:rsidP="00F22AE2">
      <w:pPr>
        <w:pStyle w:val="Prrafodelista"/>
        <w:numPr>
          <w:ilvl w:val="0"/>
          <w:numId w:val="7"/>
        </w:numPr>
        <w:spacing w:line="276" w:lineRule="auto"/>
        <w:jc w:val="center"/>
        <w:textAlignment w:val="baseline"/>
        <w:rPr>
          <w:rFonts w:ascii="Tahoma" w:hAnsi="Tahoma" w:cs="Tahoma"/>
          <w:b/>
          <w:lang w:eastAsia="es-ES_tradnl"/>
        </w:rPr>
      </w:pPr>
      <w:r w:rsidRPr="00F22AE2">
        <w:rPr>
          <w:rFonts w:ascii="Tahoma" w:hAnsi="Tahoma" w:cs="Tahoma"/>
          <w:b/>
          <w:lang w:eastAsia="es-ES_tradnl"/>
        </w:rPr>
        <w:t>Consideraciones</w:t>
      </w:r>
    </w:p>
    <w:p w14:paraId="057BE2E9" w14:textId="77777777" w:rsidR="00F52F79" w:rsidRPr="00F22AE2" w:rsidRDefault="00F52F79" w:rsidP="00F22AE2">
      <w:pPr>
        <w:spacing w:line="276" w:lineRule="auto"/>
        <w:ind w:firstLine="705"/>
        <w:textAlignment w:val="baseline"/>
        <w:rPr>
          <w:rFonts w:ascii="Tahoma" w:eastAsia="Times New Roman" w:hAnsi="Tahoma" w:cs="Tahoma"/>
          <w:b/>
          <w:sz w:val="24"/>
          <w:szCs w:val="24"/>
          <w:lang w:eastAsia="es-ES_tradnl"/>
        </w:rPr>
      </w:pPr>
    </w:p>
    <w:p w14:paraId="2BB57293" w14:textId="77777777" w:rsidR="00CD2CB5" w:rsidRPr="00CD2CB5" w:rsidRDefault="00CD2CB5" w:rsidP="00CD2CB5">
      <w:pPr>
        <w:numPr>
          <w:ilvl w:val="1"/>
          <w:numId w:val="7"/>
        </w:numPr>
        <w:spacing w:line="276" w:lineRule="auto"/>
        <w:ind w:left="1429"/>
        <w:textAlignment w:val="baseline"/>
        <w:rPr>
          <w:rFonts w:ascii="Tahoma" w:eastAsia="Times New Roman" w:hAnsi="Tahoma" w:cs="Tahoma"/>
          <w:b/>
          <w:sz w:val="24"/>
          <w:szCs w:val="24"/>
          <w:lang w:eastAsia="es-ES_tradnl"/>
        </w:rPr>
      </w:pPr>
      <w:r w:rsidRPr="00CD2CB5">
        <w:rPr>
          <w:rFonts w:ascii="Tahoma" w:eastAsia="Times New Roman" w:hAnsi="Tahoma" w:cs="Tahoma"/>
          <w:b/>
          <w:sz w:val="24"/>
          <w:szCs w:val="24"/>
          <w:lang w:eastAsia="es-ES_tradnl"/>
        </w:rPr>
        <w:t xml:space="preserve">Precedente vertical: la tesis de la Corte Suprema de Justicia respecto al tema de la ineficacia del traslado de personas pensionadas </w:t>
      </w:r>
    </w:p>
    <w:p w14:paraId="6AF93150" w14:textId="77777777" w:rsidR="00CD2CB5" w:rsidRPr="00CD2CB5" w:rsidRDefault="00CD2CB5" w:rsidP="00CD2CB5">
      <w:pPr>
        <w:spacing w:line="276" w:lineRule="auto"/>
        <w:ind w:firstLine="705"/>
        <w:textAlignment w:val="baseline"/>
        <w:rPr>
          <w:rFonts w:ascii="Tahoma" w:eastAsia="Times New Roman" w:hAnsi="Tahoma" w:cs="Tahoma"/>
          <w:sz w:val="24"/>
          <w:szCs w:val="24"/>
          <w:lang w:val="es-CO" w:eastAsia="es-ES_tradnl"/>
        </w:rPr>
      </w:pPr>
    </w:p>
    <w:p w14:paraId="74E5C7F0"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r w:rsidRPr="00CD2CB5">
        <w:rPr>
          <w:rFonts w:ascii="Tahoma" w:eastAsia="Times New Roman" w:hAnsi="Tahoma" w:cs="Tahoma"/>
          <w:sz w:val="24"/>
          <w:szCs w:val="24"/>
          <w:lang w:eastAsia="es-ES_tradnl"/>
        </w:rPr>
        <w:t>A efectos de absolver la censura planteada por la togada apelante, se dirá que, tal como se expusiera en la sentencia de primer grado, la Sala de Casación Laboral de la Corte Suprema de Justicia en sentencia SL373-2021, proferida el 10 de febrero de 2021, M.P. Clara Cecilia Dueñas Quevedo, sentó un precedente que cumple como derrotero en aquellos casos en los que se procura la ineficacia de la afiliación al régimen de ahorro individual con solidaridad, y con el cual tomó distancia del criterio establecido por la misma Corporación en la sentencia emitida el 9 septiembre 2008, dentro del proceso radicado con el número 31989.</w:t>
      </w:r>
    </w:p>
    <w:p w14:paraId="2E344863"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p>
    <w:p w14:paraId="26C9BDBB"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r w:rsidRPr="00CD2CB5">
        <w:rPr>
          <w:rFonts w:ascii="Tahoma" w:eastAsia="Times New Roman" w:hAnsi="Tahoma" w:cs="Tahoma"/>
          <w:sz w:val="24"/>
          <w:szCs w:val="24"/>
          <w:lang w:eastAsia="es-ES_tradnl"/>
        </w:rPr>
        <w:t xml:space="preserve"> 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las entidades que intervienen, directa o indirectamente, en la consolidación, reconocimiento y pago de la garantía pensional. Sobre algunas de estas consecuencias explicó la Corte:</w:t>
      </w:r>
    </w:p>
    <w:p w14:paraId="24807884"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p>
    <w:p w14:paraId="6F9C21AA"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 xml:space="preserve">“Desde el punto de vista de los bonos pensionales, puede ocurrir que se haya pagado el cupón principal por el emisor y las cuotas partes por los contribuyentes </w:t>
      </w:r>
      <w:r w:rsidRPr="00CD2CB5">
        <w:rPr>
          <w:rFonts w:ascii="Tahoma" w:eastAsia="Times New Roman" w:hAnsi="Tahoma" w:cs="Tahoma"/>
          <w:i/>
          <w:iCs/>
          <w:szCs w:val="24"/>
          <w:lang w:eastAsia="es-ES_tradnl"/>
        </w:rPr>
        <w:t xml:space="preserve">y, además, </w:t>
      </w:r>
      <w:r w:rsidRPr="00CD2CB5">
        <w:rPr>
          <w:rFonts w:ascii="Tahoma" w:eastAsia="Times New Roman" w:hAnsi="Tahoma" w:cs="Tahoma"/>
          <w:szCs w:val="24"/>
          <w:lang w:eastAsia="es-ES_tradnl"/>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53C45C0F"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p>
    <w:p w14:paraId="2F0C9B78"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 xml:space="preserve">Desde el ángulo de las modalidades pensionales, en la actualidad las entidades ofrecen un diverso portafolio de alternativas pensionales. Algunas son retiro programado, renta vitalicia inmediata, retiro programado con renta vitalicia diferida, </w:t>
      </w:r>
      <w:r w:rsidRPr="00CD2CB5">
        <w:rPr>
          <w:rFonts w:ascii="Tahoma" w:eastAsia="Times New Roman" w:hAnsi="Tahoma" w:cs="Tahoma"/>
          <w:szCs w:val="24"/>
          <w:lang w:eastAsia="es-ES_tradnl"/>
        </w:rPr>
        <w:lastRenderedPageBreak/>
        <w:t>renta temporal cierta con renta vitalicia de diferimiento cierto, renta temporal con renta vitalicia diferida, renta temporal variable con renta vitalicia inmediata.</w:t>
      </w:r>
    </w:p>
    <w:p w14:paraId="11B51347"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p>
    <w:p w14:paraId="6AB1459C"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2DC86211"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p>
    <w:p w14:paraId="7B66EB55"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365F0ED2"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p>
    <w:p w14:paraId="77C85A57"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 xml:space="preserve">Si se trata de una garantía de pensión mínima, volver las cosas a su estado anterior, implicaría dejar sin piso los actos administrativos que mediaron en el reconocimiento de la garantía. Como La Nación asume el pago de dicha prerrogativa, se requería la intervención de la Oficina de Bonos Pensionales del Ministerio de Hacienda y Crédito Público para que defienda los intereses del Estado que se verían afectados por la 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5C3EA374"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p>
    <w:p w14:paraId="6A11900D"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p>
    <w:p w14:paraId="3ED026AD"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p>
    <w:p w14:paraId="5268A086"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r w:rsidRPr="00CD2CB5">
        <w:rPr>
          <w:rFonts w:ascii="Tahoma" w:eastAsia="Times New Roman" w:hAnsi="Tahoma" w:cs="Tahoma"/>
          <w:sz w:val="24"/>
          <w:szCs w:val="24"/>
          <w:lang w:eastAsia="es-ES_tradnl"/>
        </w:rPr>
        <w:t>Pese a lo anterior, 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12E3212E"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p>
    <w:p w14:paraId="2E7C95CA"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7C8B2312"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p>
    <w:p w14:paraId="00CD6EB1"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641C273C"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p>
    <w:p w14:paraId="271A05B6" w14:textId="77777777" w:rsidR="00CD2CB5" w:rsidRPr="00CD2CB5" w:rsidRDefault="00CD2CB5" w:rsidP="00CD2CB5">
      <w:pPr>
        <w:spacing w:line="240" w:lineRule="auto"/>
        <w:ind w:left="426" w:right="420" w:firstLine="0"/>
        <w:textAlignment w:val="baseline"/>
        <w:rPr>
          <w:rFonts w:ascii="Tahoma" w:eastAsia="Times New Roman" w:hAnsi="Tahoma" w:cs="Tahoma"/>
          <w:szCs w:val="24"/>
          <w:lang w:eastAsia="es-ES_tradnl"/>
        </w:rPr>
      </w:pPr>
      <w:r w:rsidRPr="00CD2CB5">
        <w:rPr>
          <w:rFonts w:ascii="Tahoma" w:eastAsia="Times New Roman" w:hAnsi="Tahoma" w:cs="Tahoma"/>
          <w:szCs w:val="24"/>
          <w:lang w:eastAsia="es-ES_tradnl"/>
        </w:rPr>
        <w:lastRenderedPageBreak/>
        <w:t>En la medida que el daño es perceptible o apreciable en toda su magnitud desde el momento en que se tiene la calidad de pensionado, el término de prescripción de la acción debe contarse desde este momento”.</w:t>
      </w:r>
    </w:p>
    <w:p w14:paraId="2C59DF0D"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p>
    <w:p w14:paraId="0ECEB797"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r w:rsidRPr="00CD2CB5">
        <w:rPr>
          <w:rFonts w:ascii="Tahoma" w:eastAsia="Times New Roman" w:hAnsi="Tahoma" w:cs="Tahoma"/>
          <w:sz w:val="24"/>
          <w:szCs w:val="24"/>
          <w:lang w:eastAsia="es-ES_tradnl"/>
        </w:rPr>
        <w:t>Esta postura fue adoptada por la presente Sala de decisión en sentencia del 8 de marzo de 2021, radicado 2017-00577, con ponencia de quien aquí cumple igual encargo, variando la tesis que venía sosteniendo hasta la fecha respecto de la viabilidad de la ineficacia de traslado de personas pensionadas.</w:t>
      </w:r>
    </w:p>
    <w:p w14:paraId="2B65C25F"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p>
    <w:p w14:paraId="79DE77EC"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r w:rsidRPr="00CD2CB5">
        <w:rPr>
          <w:rFonts w:ascii="Tahoma" w:eastAsia="Times New Roman" w:hAnsi="Tahoma" w:cs="Tahoma"/>
          <w:sz w:val="24"/>
          <w:szCs w:val="24"/>
          <w:lang w:eastAsia="es-ES_tradnl"/>
        </w:rPr>
        <w:t>Asimismo, en sentencia del 3 de marzo de 2021, proferida dentro del proceso radicado con el número 2016-00304, M.P. Julio César Salazar Muñoz, esta Sala expuso lo siguiente:</w:t>
      </w:r>
    </w:p>
    <w:p w14:paraId="66AB8886" w14:textId="77777777" w:rsidR="00CD2CB5" w:rsidRPr="00CD2CB5" w:rsidRDefault="00CD2CB5" w:rsidP="00CD2CB5">
      <w:pPr>
        <w:spacing w:line="276" w:lineRule="auto"/>
        <w:ind w:firstLine="705"/>
        <w:textAlignment w:val="baseline"/>
        <w:rPr>
          <w:rFonts w:ascii="Tahoma" w:eastAsia="Times New Roman" w:hAnsi="Tahoma" w:cs="Tahoma"/>
          <w:sz w:val="24"/>
          <w:szCs w:val="24"/>
          <w:lang w:eastAsia="es-ES_tradnl"/>
        </w:rPr>
      </w:pPr>
    </w:p>
    <w:p w14:paraId="5DA17D2E" w14:textId="77777777" w:rsidR="00CD2CB5" w:rsidRPr="00CD2CB5" w:rsidRDefault="00CD2CB5" w:rsidP="00CD2CB5">
      <w:pPr>
        <w:spacing w:line="240" w:lineRule="auto"/>
        <w:ind w:left="426" w:right="420" w:firstLine="0"/>
        <w:textAlignment w:val="baseline"/>
        <w:rPr>
          <w:rFonts w:ascii="Tahoma" w:eastAsia="Times New Roman" w:hAnsi="Tahoma" w:cs="Tahoma"/>
          <w:i/>
          <w:szCs w:val="24"/>
          <w:lang w:eastAsia="es-ES_tradnl"/>
        </w:rPr>
      </w:pPr>
      <w:r w:rsidRPr="00CD2CB5">
        <w:rPr>
          <w:rFonts w:ascii="Tahoma" w:eastAsia="Times New Roman" w:hAnsi="Tahoma" w:cs="Tahoma"/>
          <w:i/>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CD2CB5">
        <w:rPr>
          <w:rFonts w:ascii="Tahoma" w:eastAsia="Times New Roman" w:hAnsi="Tahoma" w:cs="Tahoma"/>
          <w:b/>
          <w:bCs/>
          <w:i/>
          <w:szCs w:val="24"/>
          <w:lang w:eastAsia="es-CO"/>
        </w:rPr>
        <w:t>que están próximos a concretar el derecho a la pensión de vejez</w:t>
      </w:r>
      <w:r w:rsidRPr="00CD2CB5">
        <w:rPr>
          <w:rFonts w:ascii="Tahoma" w:eastAsia="Times New Roman" w:hAnsi="Tahoma" w:cs="Tahoma"/>
          <w:i/>
          <w:szCs w:val="24"/>
          <w:lang w:eastAsia="es-CO"/>
        </w:rPr>
        <w:t>, 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w:t>
      </w:r>
      <w:r w:rsidRPr="00CD2CB5">
        <w:rPr>
          <w:rFonts w:ascii="Tahoma" w:eastAsia="Times New Roman" w:hAnsi="Tahoma" w:cs="Tahoma"/>
          <w:b/>
          <w:bCs/>
          <w:i/>
          <w:szCs w:val="24"/>
          <w:lang w:eastAsia="es-CO"/>
        </w:rPr>
        <w:t>todos los afiliados al régimen de ahorro individual con solidaridad</w:t>
      </w:r>
      <w:r w:rsidRPr="00CD2CB5">
        <w:rPr>
          <w:rFonts w:ascii="Tahoma" w:eastAsia="Times New Roman" w:hAnsi="Tahoma" w:cs="Tahoma"/>
          <w:i/>
          <w:szCs w:val="24"/>
          <w:lang w:eastAsia="es-CO"/>
        </w:rPr>
        <w:t> </w:t>
      </w:r>
      <w:r w:rsidRPr="00CD2CB5">
        <w:rPr>
          <w:rFonts w:ascii="Tahoma" w:eastAsia="Times New Roman" w:hAnsi="Tahoma" w:cs="Tahoma"/>
          <w:b/>
          <w:bCs/>
          <w:i/>
          <w:szCs w:val="24"/>
          <w:u w:val="single"/>
          <w:lang w:eastAsia="es-CO"/>
        </w:rPr>
        <w:t>y que no haya adquirido la calidad de pensionado</w:t>
      </w:r>
      <w:r w:rsidRPr="00CD2CB5">
        <w:rPr>
          <w:rFonts w:ascii="Tahoma" w:eastAsia="Times New Roman" w:hAnsi="Tahoma" w:cs="Tahoma"/>
          <w:i/>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CD2CB5">
        <w:rPr>
          <w:rFonts w:ascii="Tahoma" w:eastAsia="Times New Roman" w:hAnsi="Tahoma" w:cs="Tahoma"/>
          <w:b/>
          <w:bCs/>
          <w:i/>
          <w:iCs/>
          <w:szCs w:val="24"/>
          <w:lang w:eastAsia="es-CO"/>
        </w:rPr>
        <w:t>y que no haya adquirido la calidad de pensionado” </w:t>
      </w:r>
      <w:r w:rsidRPr="00CD2CB5">
        <w:rPr>
          <w:rFonts w:ascii="Tahoma" w:eastAsia="Times New Roman" w:hAnsi="Tahoma" w:cs="Tahoma"/>
          <w:i/>
          <w:szCs w:val="24"/>
          <w:lang w:eastAsia="es-CO"/>
        </w:rPr>
        <w:t>contenida en el referido artículo 107 de la ley 100 de 1993, concluyendo al respecto que “</w:t>
      </w:r>
      <w:r w:rsidRPr="00CD2CB5">
        <w:rPr>
          <w:rFonts w:ascii="Tahoma" w:eastAsia="Times New Roman" w:hAnsi="Tahoma" w:cs="Tahoma"/>
          <w:b/>
          <w:bCs/>
          <w:i/>
          <w:iCs/>
          <w:color w:val="2D2D2D"/>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CD2CB5">
        <w:rPr>
          <w:rFonts w:ascii="Tahoma" w:eastAsia="Times New Roman" w:hAnsi="Tahoma" w:cs="Tahoma"/>
          <w:i/>
          <w:iCs/>
          <w:color w:val="2D2D2D"/>
          <w:szCs w:val="24"/>
          <w:lang w:eastAsia="es-CO"/>
        </w:rPr>
        <w:t>.”</w:t>
      </w:r>
    </w:p>
    <w:p w14:paraId="2B93CC78" w14:textId="77777777" w:rsidR="00F27214" w:rsidRPr="00F22AE2" w:rsidRDefault="00F27214" w:rsidP="00F22AE2">
      <w:pPr>
        <w:spacing w:line="276" w:lineRule="auto"/>
        <w:ind w:firstLine="705"/>
        <w:textAlignment w:val="baseline"/>
        <w:rPr>
          <w:rFonts w:ascii="Tahoma" w:eastAsia="Times New Roman" w:hAnsi="Tahoma" w:cs="Tahoma"/>
          <w:sz w:val="24"/>
          <w:szCs w:val="24"/>
          <w:lang w:eastAsia="es-ES_tradnl"/>
        </w:rPr>
      </w:pPr>
    </w:p>
    <w:p w14:paraId="0048D280" w14:textId="77777777" w:rsidR="00F52F79" w:rsidRPr="00F22AE2" w:rsidRDefault="00F52F79" w:rsidP="00F22AE2">
      <w:pPr>
        <w:numPr>
          <w:ilvl w:val="1"/>
          <w:numId w:val="7"/>
        </w:numPr>
        <w:spacing w:line="276" w:lineRule="auto"/>
        <w:ind w:left="1429"/>
        <w:textAlignment w:val="baseline"/>
        <w:rPr>
          <w:rFonts w:ascii="Tahoma" w:eastAsia="Times New Roman" w:hAnsi="Tahoma" w:cs="Tahoma"/>
          <w:b/>
          <w:sz w:val="24"/>
          <w:szCs w:val="24"/>
          <w:lang w:eastAsia="es-ES_tradnl"/>
        </w:rPr>
      </w:pPr>
      <w:r w:rsidRPr="00F22AE2">
        <w:rPr>
          <w:rFonts w:ascii="Tahoma" w:eastAsia="Times New Roman" w:hAnsi="Tahoma" w:cs="Tahoma"/>
          <w:b/>
          <w:sz w:val="24"/>
          <w:szCs w:val="24"/>
          <w:lang w:eastAsia="es-ES_tradnl"/>
        </w:rPr>
        <w:t>Caso concreto</w:t>
      </w:r>
    </w:p>
    <w:p w14:paraId="04C028E9" w14:textId="77777777"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p>
    <w:p w14:paraId="10627CCA" w14:textId="27DC4AB0" w:rsidR="00412A69" w:rsidRPr="00F22AE2" w:rsidRDefault="00F52F79" w:rsidP="00F22AE2">
      <w:pPr>
        <w:spacing w:line="276" w:lineRule="auto"/>
        <w:ind w:firstLine="705"/>
        <w:textAlignment w:val="baseline"/>
        <w:rPr>
          <w:rFonts w:ascii="Tahoma" w:eastAsia="Times New Roman" w:hAnsi="Tahoma" w:cs="Tahoma"/>
          <w:sz w:val="24"/>
          <w:szCs w:val="24"/>
          <w:lang w:eastAsia="es-ES_tradnl"/>
        </w:rPr>
      </w:pPr>
      <w:r w:rsidRPr="00F22AE2">
        <w:rPr>
          <w:rFonts w:ascii="Tahoma" w:eastAsia="Times New Roman" w:hAnsi="Tahoma" w:cs="Tahoma"/>
          <w:sz w:val="24"/>
          <w:szCs w:val="24"/>
          <w:lang w:eastAsia="es-ES_tradnl"/>
        </w:rPr>
        <w:t>En el caso que concita la atención de la Sala</w:t>
      </w:r>
      <w:r w:rsidR="0091046F" w:rsidRPr="00F22AE2">
        <w:rPr>
          <w:rFonts w:ascii="Tahoma" w:eastAsia="Times New Roman" w:hAnsi="Tahoma" w:cs="Tahoma"/>
          <w:sz w:val="24"/>
          <w:szCs w:val="24"/>
          <w:lang w:eastAsia="es-ES_tradnl"/>
        </w:rPr>
        <w:t>,</w:t>
      </w:r>
      <w:r w:rsidRPr="00F22AE2">
        <w:rPr>
          <w:rFonts w:ascii="Tahoma" w:eastAsia="Times New Roman" w:hAnsi="Tahoma" w:cs="Tahoma"/>
          <w:sz w:val="24"/>
          <w:szCs w:val="24"/>
          <w:lang w:eastAsia="es-ES_tradnl"/>
        </w:rPr>
        <w:t xml:space="preserve"> se encuentra plenamente acreditado</w:t>
      </w:r>
      <w:r w:rsidR="00412A69" w:rsidRPr="00F22AE2">
        <w:rPr>
          <w:rFonts w:ascii="Tahoma" w:eastAsia="Times New Roman" w:hAnsi="Tahoma" w:cs="Tahoma"/>
          <w:sz w:val="24"/>
          <w:szCs w:val="24"/>
          <w:lang w:eastAsia="es-ES_tradnl"/>
        </w:rPr>
        <w:t xml:space="preserve"> que el actor suscribió formulario de traslado de régimen el 30 de mayo de 1994</w:t>
      </w:r>
      <w:r w:rsidR="00045AC2" w:rsidRPr="00F22AE2">
        <w:rPr>
          <w:rStyle w:val="Refdenotaalpie"/>
          <w:rFonts w:ascii="Tahoma" w:eastAsia="Times New Roman" w:hAnsi="Tahoma" w:cs="Tahoma"/>
          <w:sz w:val="24"/>
          <w:szCs w:val="24"/>
          <w:lang w:eastAsia="es-ES_tradnl"/>
        </w:rPr>
        <w:footnoteReference w:id="1"/>
      </w:r>
      <w:r w:rsidR="004F57F4" w:rsidRPr="00F22AE2">
        <w:rPr>
          <w:rFonts w:ascii="Tahoma" w:eastAsia="Times New Roman" w:hAnsi="Tahoma" w:cs="Tahoma"/>
          <w:sz w:val="24"/>
          <w:szCs w:val="24"/>
          <w:lang w:eastAsia="es-ES_tradnl"/>
        </w:rPr>
        <w:t xml:space="preserve"> por medio de la AFP Protección S.A., misma administradora </w:t>
      </w:r>
      <w:r w:rsidR="00925750" w:rsidRPr="00F22AE2">
        <w:rPr>
          <w:rFonts w:ascii="Tahoma" w:eastAsia="Times New Roman" w:hAnsi="Tahoma" w:cs="Tahoma"/>
          <w:sz w:val="24"/>
          <w:szCs w:val="24"/>
          <w:lang w:eastAsia="es-ES_tradnl"/>
        </w:rPr>
        <w:t>que</w:t>
      </w:r>
      <w:r w:rsidR="0091046F" w:rsidRPr="00F22AE2">
        <w:rPr>
          <w:rFonts w:ascii="Tahoma" w:eastAsia="Times New Roman" w:hAnsi="Tahoma" w:cs="Tahoma"/>
          <w:sz w:val="24"/>
          <w:szCs w:val="24"/>
          <w:lang w:eastAsia="es-ES_tradnl"/>
        </w:rPr>
        <w:t xml:space="preserve"> le</w:t>
      </w:r>
      <w:r w:rsidR="00925750" w:rsidRPr="00F22AE2">
        <w:rPr>
          <w:rFonts w:ascii="Tahoma" w:eastAsia="Times New Roman" w:hAnsi="Tahoma" w:cs="Tahoma"/>
          <w:sz w:val="24"/>
          <w:szCs w:val="24"/>
          <w:lang w:eastAsia="es-ES_tradnl"/>
        </w:rPr>
        <w:t xml:space="preserve"> reconoció pensión de vejez en modalidad de retiro programado desde el 3 de diciembre de 2018</w:t>
      </w:r>
      <w:r w:rsidR="00657823" w:rsidRPr="00F22AE2">
        <w:rPr>
          <w:rStyle w:val="Refdenotaalpie"/>
          <w:rFonts w:ascii="Tahoma" w:eastAsia="Times New Roman" w:hAnsi="Tahoma" w:cs="Tahoma"/>
          <w:sz w:val="24"/>
          <w:szCs w:val="24"/>
          <w:lang w:eastAsia="es-ES_tradnl"/>
        </w:rPr>
        <w:footnoteReference w:id="2"/>
      </w:r>
      <w:r w:rsidR="00953B7B" w:rsidRPr="00F22AE2">
        <w:rPr>
          <w:rFonts w:ascii="Tahoma" w:eastAsia="Times New Roman" w:hAnsi="Tahoma" w:cs="Tahoma"/>
          <w:sz w:val="24"/>
          <w:szCs w:val="24"/>
          <w:lang w:eastAsia="es-ES_tradnl"/>
        </w:rPr>
        <w:t>.</w:t>
      </w:r>
    </w:p>
    <w:p w14:paraId="2B31D2E4" w14:textId="77777777" w:rsidR="00F52F79" w:rsidRPr="00F22AE2" w:rsidRDefault="00F52F79" w:rsidP="00F22AE2">
      <w:pPr>
        <w:spacing w:line="276" w:lineRule="auto"/>
        <w:ind w:firstLine="0"/>
        <w:textAlignment w:val="baseline"/>
        <w:rPr>
          <w:rFonts w:ascii="Tahoma" w:eastAsia="Times New Roman" w:hAnsi="Tahoma" w:cs="Tahoma"/>
          <w:sz w:val="24"/>
          <w:szCs w:val="24"/>
          <w:lang w:eastAsia="es-ES_tradnl"/>
        </w:rPr>
      </w:pPr>
    </w:p>
    <w:p w14:paraId="3174405B" w14:textId="77777777" w:rsidR="00F52F79" w:rsidRPr="00F22AE2" w:rsidRDefault="00F52F79" w:rsidP="00F22AE2">
      <w:pPr>
        <w:spacing w:line="276" w:lineRule="auto"/>
        <w:ind w:firstLine="705"/>
        <w:textAlignment w:val="baseline"/>
        <w:rPr>
          <w:rFonts w:ascii="Tahoma" w:eastAsia="Times New Roman" w:hAnsi="Tahoma" w:cs="Tahoma"/>
          <w:sz w:val="24"/>
          <w:szCs w:val="24"/>
          <w:lang w:val="es-CO" w:eastAsia="es-ES_tradnl"/>
        </w:rPr>
      </w:pPr>
      <w:bookmarkStart w:id="5" w:name="_Hlk142139126"/>
      <w:r w:rsidRPr="00F22AE2">
        <w:rPr>
          <w:rFonts w:ascii="Tahoma" w:eastAsia="Times New Roman" w:hAnsi="Tahoma" w:cs="Tahoma"/>
          <w:sz w:val="24"/>
          <w:szCs w:val="24"/>
          <w:lang w:val="es-CO" w:eastAsia="es-ES_tradnl"/>
        </w:rPr>
        <w:t xml:space="preserve">Lo anterior permite concluir que, a las luces del literal b) del artículo 13 de la Ley 100 de 1993 modificado por el artículo 2° de la Ley 797 de 2003, hoy por hoy se encuentra extinto el derecho que tenía el actor, como afiliado al sistema general de pensiones, a movilizarse entre los dos regímenes pensionales que lo conforman, pues </w:t>
      </w:r>
      <w:r w:rsidRPr="00F22AE2">
        <w:rPr>
          <w:rFonts w:ascii="Tahoma" w:eastAsia="Times New Roman" w:hAnsi="Tahoma" w:cs="Tahoma"/>
          <w:sz w:val="24"/>
          <w:szCs w:val="24"/>
          <w:lang w:val="es-CO" w:eastAsia="es-ES_tradnl"/>
        </w:rPr>
        <w:lastRenderedPageBreak/>
        <w:t>al adquirir la calidad de pensionado su situación jurídica quedó definida y consolidada bajo el régimen jurídico que regenta a quienes ostentan la pensión de vejez, prestación que, dependió de una serie de actos que comprometen recursos y responsabilidades obligacionales de terceros de buena fe.</w:t>
      </w:r>
    </w:p>
    <w:bookmarkEnd w:id="5"/>
    <w:p w14:paraId="53D5C07E" w14:textId="77777777" w:rsidR="00F52F79" w:rsidRPr="00F22AE2" w:rsidRDefault="00F52F79" w:rsidP="00F22AE2">
      <w:pPr>
        <w:spacing w:line="276" w:lineRule="auto"/>
        <w:ind w:firstLine="705"/>
        <w:textAlignment w:val="baseline"/>
        <w:rPr>
          <w:rFonts w:ascii="Tahoma" w:eastAsia="Times New Roman" w:hAnsi="Tahoma" w:cs="Tahoma"/>
          <w:sz w:val="24"/>
          <w:szCs w:val="24"/>
          <w:lang w:val="es-CO" w:eastAsia="es-ES_tradnl"/>
        </w:rPr>
      </w:pPr>
    </w:p>
    <w:p w14:paraId="4A468F05" w14:textId="01CF8708"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r w:rsidRPr="00F22AE2">
        <w:rPr>
          <w:rFonts w:ascii="Tahoma" w:eastAsia="Times New Roman" w:hAnsi="Tahoma" w:cs="Tahoma"/>
          <w:sz w:val="24"/>
          <w:szCs w:val="24"/>
          <w:lang w:eastAsia="es-ES_tradnl"/>
        </w:rPr>
        <w:t>En efecto, la pensión que actualmente percibe el demandante fue financiada con los recursos de su cuenta de ahorro individual y el bono pensional cuya emisión dependió de la gestión que se adelantara por Protección S.A</w:t>
      </w:r>
      <w:r w:rsidR="001B13FA" w:rsidRPr="00F22AE2">
        <w:rPr>
          <w:rFonts w:ascii="Tahoma" w:eastAsia="Times New Roman" w:hAnsi="Tahoma" w:cs="Tahoma"/>
          <w:sz w:val="24"/>
          <w:szCs w:val="24"/>
          <w:lang w:eastAsia="es-ES_tradnl"/>
        </w:rPr>
        <w:t>.</w:t>
      </w:r>
      <w:r w:rsidRPr="00F22AE2">
        <w:rPr>
          <w:rFonts w:ascii="Tahoma" w:eastAsia="Times New Roman" w:hAnsi="Tahoma" w:cs="Tahoma"/>
          <w:sz w:val="24"/>
          <w:szCs w:val="24"/>
          <w:lang w:eastAsia="es-ES_tradnl"/>
        </w:rPr>
        <w:t xml:space="preserve"> ante la Nación - Ministerio de Hacienda y Crédito Público. Este panorama, en términos de la sentencia traída a colación, imposibilita que se acceda a las pretensiones vertidas en el libelo genitor</w:t>
      </w:r>
      <w:r w:rsidR="00E454AC" w:rsidRPr="00F22AE2">
        <w:rPr>
          <w:rFonts w:ascii="Tahoma" w:eastAsia="Times New Roman" w:hAnsi="Tahoma" w:cs="Tahoma"/>
          <w:sz w:val="24"/>
          <w:szCs w:val="24"/>
          <w:lang w:eastAsia="es-ES_tradnl"/>
        </w:rPr>
        <w:t>.</w:t>
      </w:r>
    </w:p>
    <w:p w14:paraId="0FE98637" w14:textId="77777777"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p>
    <w:p w14:paraId="1CF2CCA3" w14:textId="7D2D759C" w:rsidR="00FC5D8F" w:rsidRPr="00F22AE2" w:rsidRDefault="2B5DF4E5" w:rsidP="00F22AE2">
      <w:pPr>
        <w:spacing w:line="276" w:lineRule="auto"/>
        <w:ind w:firstLine="705"/>
        <w:textAlignment w:val="baseline"/>
        <w:rPr>
          <w:rFonts w:ascii="Tahoma" w:eastAsia="Times New Roman" w:hAnsi="Tahoma" w:cs="Tahoma"/>
          <w:sz w:val="24"/>
          <w:szCs w:val="24"/>
          <w:lang w:eastAsia="es-ES"/>
        </w:rPr>
      </w:pPr>
      <w:r w:rsidRPr="00F22AE2">
        <w:rPr>
          <w:rFonts w:ascii="Tahoma" w:eastAsia="Times New Roman" w:hAnsi="Tahoma" w:cs="Tahoma"/>
          <w:sz w:val="24"/>
          <w:szCs w:val="24"/>
          <w:lang w:eastAsia="es-ES"/>
        </w:rPr>
        <w:t>Ahora bien, fr</w:t>
      </w:r>
      <w:r w:rsidR="08953702" w:rsidRPr="00F22AE2">
        <w:rPr>
          <w:rFonts w:ascii="Tahoma" w:eastAsia="Times New Roman" w:hAnsi="Tahoma" w:cs="Tahoma"/>
          <w:sz w:val="24"/>
          <w:szCs w:val="24"/>
          <w:lang w:eastAsia="es-ES"/>
        </w:rPr>
        <w:t xml:space="preserve">ente a los argumentos expuestos en la censura, </w:t>
      </w:r>
      <w:r w:rsidR="70C5ED2F" w:rsidRPr="00F22AE2">
        <w:rPr>
          <w:rFonts w:ascii="Tahoma" w:eastAsia="Times New Roman" w:hAnsi="Tahoma" w:cs="Tahoma"/>
          <w:sz w:val="24"/>
          <w:szCs w:val="24"/>
          <w:lang w:eastAsia="es-ES"/>
        </w:rPr>
        <w:t xml:space="preserve">conviene </w:t>
      </w:r>
      <w:r w:rsidR="3B117CA0" w:rsidRPr="00F22AE2">
        <w:rPr>
          <w:rFonts w:ascii="Tahoma" w:eastAsia="Times New Roman" w:hAnsi="Tahoma" w:cs="Tahoma"/>
          <w:sz w:val="24"/>
          <w:szCs w:val="24"/>
          <w:lang w:eastAsia="es-ES"/>
        </w:rPr>
        <w:t xml:space="preserve">precisar que en virtud del principio de congruencia, el juez </w:t>
      </w:r>
      <w:r w:rsidR="3EE3AB99" w:rsidRPr="00F22AE2">
        <w:rPr>
          <w:rFonts w:ascii="Tahoma" w:eastAsia="Times New Roman" w:hAnsi="Tahoma" w:cs="Tahoma"/>
          <w:sz w:val="24"/>
          <w:szCs w:val="24"/>
          <w:lang w:eastAsia="es-ES"/>
        </w:rPr>
        <w:t>está</w:t>
      </w:r>
      <w:r w:rsidR="3B117CA0" w:rsidRPr="00F22AE2">
        <w:rPr>
          <w:rFonts w:ascii="Tahoma" w:eastAsia="Times New Roman" w:hAnsi="Tahoma" w:cs="Tahoma"/>
          <w:sz w:val="24"/>
          <w:szCs w:val="24"/>
          <w:lang w:eastAsia="es-ES"/>
        </w:rPr>
        <w:t xml:space="preserve"> sometido al marco jurídico procesal que le fijen las partes, mismo que</w:t>
      </w:r>
      <w:r w:rsidR="285DAF7C" w:rsidRPr="00F22AE2">
        <w:rPr>
          <w:rFonts w:ascii="Tahoma" w:eastAsia="Times New Roman" w:hAnsi="Tahoma" w:cs="Tahoma"/>
          <w:sz w:val="24"/>
          <w:szCs w:val="24"/>
          <w:lang w:eastAsia="es-ES"/>
        </w:rPr>
        <w:t>,</w:t>
      </w:r>
      <w:r w:rsidR="3B117CA0" w:rsidRPr="00F22AE2">
        <w:rPr>
          <w:rFonts w:ascii="Tahoma" w:eastAsia="Times New Roman" w:hAnsi="Tahoma" w:cs="Tahoma"/>
          <w:sz w:val="24"/>
          <w:szCs w:val="24"/>
          <w:lang w:eastAsia="es-ES"/>
        </w:rPr>
        <w:t xml:space="preserve"> en materia laboral admite excepciones</w:t>
      </w:r>
      <w:r w:rsidR="7A85E130" w:rsidRPr="00F22AE2">
        <w:rPr>
          <w:rFonts w:ascii="Tahoma" w:eastAsia="Times New Roman" w:hAnsi="Tahoma" w:cs="Tahoma"/>
          <w:sz w:val="24"/>
          <w:szCs w:val="24"/>
          <w:lang w:eastAsia="es-ES"/>
        </w:rPr>
        <w:t>,</w:t>
      </w:r>
      <w:r w:rsidR="3B117CA0" w:rsidRPr="00F22AE2">
        <w:rPr>
          <w:rFonts w:ascii="Tahoma" w:eastAsia="Times New Roman" w:hAnsi="Tahoma" w:cs="Tahoma"/>
          <w:sz w:val="24"/>
          <w:szCs w:val="24"/>
          <w:lang w:eastAsia="es-ES"/>
        </w:rPr>
        <w:t xml:space="preserve"> bien por la concurrencia de derechos </w:t>
      </w:r>
      <w:r w:rsidR="70EE7D16" w:rsidRPr="00F22AE2">
        <w:rPr>
          <w:rFonts w:ascii="Tahoma" w:eastAsia="Times New Roman" w:hAnsi="Tahoma" w:cs="Tahoma"/>
          <w:sz w:val="24"/>
          <w:szCs w:val="24"/>
          <w:lang w:eastAsia="es-ES"/>
        </w:rPr>
        <w:t>mínimos</w:t>
      </w:r>
      <w:r w:rsidR="3B117CA0" w:rsidRPr="00F22AE2">
        <w:rPr>
          <w:rFonts w:ascii="Tahoma" w:eastAsia="Times New Roman" w:hAnsi="Tahoma" w:cs="Tahoma"/>
          <w:sz w:val="24"/>
          <w:szCs w:val="24"/>
          <w:lang w:eastAsia="es-ES"/>
        </w:rPr>
        <w:t xml:space="preserve"> e irrenunciables que no escapan de la esfera </w:t>
      </w:r>
      <w:r w:rsidR="70EE7D16" w:rsidRPr="00F22AE2">
        <w:rPr>
          <w:rFonts w:ascii="Tahoma" w:eastAsia="Times New Roman" w:hAnsi="Tahoma" w:cs="Tahoma"/>
          <w:sz w:val="24"/>
          <w:szCs w:val="24"/>
          <w:lang w:eastAsia="es-ES"/>
        </w:rPr>
        <w:t xml:space="preserve">decisoria en ninguna de las instancias procesales de conformidad con </w:t>
      </w:r>
      <w:r w:rsidR="24625947" w:rsidRPr="00F22AE2">
        <w:rPr>
          <w:rFonts w:ascii="Tahoma" w:eastAsia="Times New Roman" w:hAnsi="Tahoma" w:cs="Tahoma"/>
          <w:sz w:val="24"/>
          <w:szCs w:val="24"/>
          <w:lang w:eastAsia="es-ES"/>
        </w:rPr>
        <w:t xml:space="preserve">la exequibilidad condicionada del principio de consonancia consagrado en el </w:t>
      </w:r>
      <w:r w:rsidR="70EE7D16" w:rsidRPr="00F22AE2">
        <w:rPr>
          <w:rFonts w:ascii="Tahoma" w:eastAsia="Times New Roman" w:hAnsi="Tahoma" w:cs="Tahoma"/>
          <w:sz w:val="24"/>
          <w:szCs w:val="24"/>
          <w:lang w:eastAsia="es-ES"/>
        </w:rPr>
        <w:t>artículo</w:t>
      </w:r>
      <w:r w:rsidR="24625947" w:rsidRPr="00F22AE2">
        <w:rPr>
          <w:rFonts w:ascii="Tahoma" w:eastAsia="Times New Roman" w:hAnsi="Tahoma" w:cs="Tahoma"/>
          <w:sz w:val="24"/>
          <w:szCs w:val="24"/>
          <w:lang w:eastAsia="es-ES"/>
        </w:rPr>
        <w:t xml:space="preserve">s 66A </w:t>
      </w:r>
      <w:r w:rsidR="7A85E130" w:rsidRPr="00F22AE2">
        <w:rPr>
          <w:rFonts w:ascii="Tahoma" w:eastAsia="Times New Roman" w:hAnsi="Tahoma" w:cs="Tahoma"/>
          <w:sz w:val="24"/>
          <w:szCs w:val="24"/>
          <w:lang w:eastAsia="es-ES"/>
        </w:rPr>
        <w:t>del CPTSS</w:t>
      </w:r>
      <w:r w:rsidR="70EE7D16" w:rsidRPr="00F22AE2">
        <w:rPr>
          <w:rFonts w:ascii="Tahoma" w:eastAsia="Times New Roman" w:hAnsi="Tahoma" w:cs="Tahoma"/>
          <w:sz w:val="24"/>
          <w:szCs w:val="24"/>
          <w:lang w:eastAsia="es-ES"/>
        </w:rPr>
        <w:t xml:space="preserve">, ora por las facultades ultra y extra petita, </w:t>
      </w:r>
      <w:r w:rsidR="1FB929B6" w:rsidRPr="00F22AE2">
        <w:rPr>
          <w:rFonts w:ascii="Tahoma" w:eastAsia="Times New Roman" w:hAnsi="Tahoma" w:cs="Tahoma"/>
          <w:sz w:val="24"/>
          <w:szCs w:val="24"/>
          <w:lang w:eastAsia="es-ES"/>
        </w:rPr>
        <w:t>reservadas a los jueces de primera y única instancia</w:t>
      </w:r>
      <w:r w:rsidR="7B986FB0" w:rsidRPr="00F22AE2">
        <w:rPr>
          <w:rFonts w:ascii="Tahoma" w:eastAsia="Times New Roman" w:hAnsi="Tahoma" w:cs="Tahoma"/>
          <w:sz w:val="24"/>
          <w:szCs w:val="24"/>
          <w:lang w:eastAsia="es-ES"/>
        </w:rPr>
        <w:t>, conforme</w:t>
      </w:r>
      <w:r w:rsidR="234D3E10" w:rsidRPr="00F22AE2">
        <w:rPr>
          <w:rFonts w:ascii="Tahoma" w:eastAsia="Times New Roman" w:hAnsi="Tahoma" w:cs="Tahoma"/>
          <w:sz w:val="24"/>
          <w:szCs w:val="24"/>
          <w:lang w:eastAsia="es-ES"/>
        </w:rPr>
        <w:t xml:space="preserve"> ha sido</w:t>
      </w:r>
      <w:r w:rsidR="7B986FB0" w:rsidRPr="00F22AE2">
        <w:rPr>
          <w:rFonts w:ascii="Tahoma" w:eastAsia="Times New Roman" w:hAnsi="Tahoma" w:cs="Tahoma"/>
          <w:sz w:val="24"/>
          <w:szCs w:val="24"/>
          <w:lang w:eastAsia="es-ES"/>
        </w:rPr>
        <w:t xml:space="preserve"> adoctrinado</w:t>
      </w:r>
      <w:r w:rsidR="234D3E10" w:rsidRPr="00F22AE2">
        <w:rPr>
          <w:rFonts w:ascii="Tahoma" w:eastAsia="Times New Roman" w:hAnsi="Tahoma" w:cs="Tahoma"/>
          <w:sz w:val="24"/>
          <w:szCs w:val="24"/>
          <w:lang w:eastAsia="es-ES"/>
        </w:rPr>
        <w:t xml:space="preserve"> por</w:t>
      </w:r>
      <w:r w:rsidR="7B986FB0" w:rsidRPr="00F22AE2">
        <w:rPr>
          <w:rFonts w:ascii="Tahoma" w:eastAsia="Times New Roman" w:hAnsi="Tahoma" w:cs="Tahoma"/>
          <w:sz w:val="24"/>
          <w:szCs w:val="24"/>
          <w:lang w:eastAsia="es-ES"/>
        </w:rPr>
        <w:t xml:space="preserve"> la Sala Laboral de la Corte Suprema de Justicia </w:t>
      </w:r>
      <w:r w:rsidR="19F34205" w:rsidRPr="00F22AE2">
        <w:rPr>
          <w:rFonts w:ascii="Tahoma" w:eastAsia="Times New Roman" w:hAnsi="Tahoma" w:cs="Tahoma"/>
          <w:sz w:val="24"/>
          <w:szCs w:val="24"/>
          <w:lang w:eastAsia="es-ES"/>
        </w:rPr>
        <w:t xml:space="preserve">en las </w:t>
      </w:r>
      <w:r w:rsidR="7B986FB0" w:rsidRPr="00F22AE2">
        <w:rPr>
          <w:rFonts w:ascii="Tahoma" w:eastAsia="Times New Roman" w:hAnsi="Tahoma" w:cs="Tahoma"/>
          <w:sz w:val="24"/>
          <w:szCs w:val="24"/>
          <w:lang w:eastAsia="es-ES"/>
        </w:rPr>
        <w:t>sentencias</w:t>
      </w:r>
      <w:r w:rsidR="761D5F21" w:rsidRPr="00F22AE2">
        <w:rPr>
          <w:rFonts w:ascii="Tahoma" w:eastAsia="Times New Roman" w:hAnsi="Tahoma" w:cs="Tahoma"/>
          <w:sz w:val="24"/>
          <w:szCs w:val="24"/>
          <w:lang w:eastAsia="es-ES"/>
        </w:rPr>
        <w:t xml:space="preserve"> CSJ SL 2266-2022</w:t>
      </w:r>
      <w:r w:rsidR="19F34205" w:rsidRPr="00F22AE2">
        <w:rPr>
          <w:rFonts w:ascii="Tahoma" w:eastAsia="Times New Roman" w:hAnsi="Tahoma" w:cs="Tahoma"/>
          <w:sz w:val="24"/>
          <w:szCs w:val="24"/>
          <w:lang w:eastAsia="es-ES"/>
        </w:rPr>
        <w:t xml:space="preserve">, </w:t>
      </w:r>
      <w:r w:rsidR="13D08545" w:rsidRPr="00F22AE2">
        <w:rPr>
          <w:rFonts w:ascii="Tahoma" w:eastAsia="Times New Roman" w:hAnsi="Tahoma" w:cs="Tahoma"/>
          <w:sz w:val="24"/>
          <w:szCs w:val="24"/>
          <w:lang w:eastAsia="es-ES"/>
        </w:rPr>
        <w:t>CSJ SL 4487-2021</w:t>
      </w:r>
      <w:r w:rsidR="4556810D" w:rsidRPr="00F22AE2">
        <w:rPr>
          <w:rFonts w:ascii="Tahoma" w:eastAsia="Times New Roman" w:hAnsi="Tahoma" w:cs="Tahoma"/>
          <w:sz w:val="24"/>
          <w:szCs w:val="24"/>
          <w:lang w:eastAsia="es-ES"/>
        </w:rPr>
        <w:t>, CSJ SL 2510-2021, CSJ SL 3144-2021</w:t>
      </w:r>
      <w:r w:rsidR="3DD321EF" w:rsidRPr="00F22AE2">
        <w:rPr>
          <w:rFonts w:ascii="Tahoma" w:eastAsia="Times New Roman" w:hAnsi="Tahoma" w:cs="Tahoma"/>
          <w:sz w:val="24"/>
          <w:szCs w:val="24"/>
          <w:lang w:eastAsia="es-ES"/>
        </w:rPr>
        <w:t>, CSJ SL 3850-2020, CSJ SL 3790-2019</w:t>
      </w:r>
      <w:r w:rsidR="275C847F" w:rsidRPr="00F22AE2">
        <w:rPr>
          <w:rFonts w:ascii="Tahoma" w:eastAsia="Times New Roman" w:hAnsi="Tahoma" w:cs="Tahoma"/>
          <w:sz w:val="24"/>
          <w:szCs w:val="24"/>
          <w:lang w:eastAsia="es-ES"/>
        </w:rPr>
        <w:t>, CSJ SL2808-2018</w:t>
      </w:r>
      <w:r w:rsidR="7BD24359" w:rsidRPr="00F22AE2">
        <w:rPr>
          <w:rFonts w:ascii="Tahoma" w:eastAsia="Times New Roman" w:hAnsi="Tahoma" w:cs="Tahoma"/>
          <w:sz w:val="24"/>
          <w:szCs w:val="24"/>
          <w:lang w:eastAsia="es-ES"/>
        </w:rPr>
        <w:t xml:space="preserve">, </w:t>
      </w:r>
      <w:r w:rsidR="4649719F" w:rsidRPr="00F22AE2">
        <w:rPr>
          <w:rFonts w:ascii="Tahoma" w:eastAsia="Times New Roman" w:hAnsi="Tahoma" w:cs="Tahoma"/>
          <w:sz w:val="24"/>
          <w:szCs w:val="24"/>
          <w:lang w:eastAsia="es-ES"/>
        </w:rPr>
        <w:t xml:space="preserve">CSJ SL 1530-2017, CSJ SL </w:t>
      </w:r>
      <w:r w:rsidR="6335F1E2" w:rsidRPr="00F22AE2">
        <w:rPr>
          <w:rFonts w:ascii="Tahoma" w:eastAsia="Times New Roman" w:hAnsi="Tahoma" w:cs="Tahoma"/>
          <w:sz w:val="24"/>
          <w:szCs w:val="24"/>
          <w:lang w:eastAsia="es-ES"/>
        </w:rPr>
        <w:t>3843</w:t>
      </w:r>
      <w:r w:rsidR="4649719F" w:rsidRPr="00F22AE2">
        <w:rPr>
          <w:rFonts w:ascii="Tahoma" w:eastAsia="Times New Roman" w:hAnsi="Tahoma" w:cs="Tahoma"/>
          <w:sz w:val="24"/>
          <w:szCs w:val="24"/>
          <w:lang w:eastAsia="es-ES"/>
        </w:rPr>
        <w:t>-2015</w:t>
      </w:r>
      <w:r w:rsidR="68567244" w:rsidRPr="00F22AE2">
        <w:rPr>
          <w:rFonts w:ascii="Tahoma" w:eastAsia="Times New Roman" w:hAnsi="Tahoma" w:cs="Tahoma"/>
          <w:sz w:val="24"/>
          <w:szCs w:val="24"/>
          <w:lang w:eastAsia="es-ES"/>
        </w:rPr>
        <w:t xml:space="preserve">, </w:t>
      </w:r>
      <w:r w:rsidR="7BD24359" w:rsidRPr="00F22AE2">
        <w:rPr>
          <w:rFonts w:ascii="Tahoma" w:eastAsia="Times New Roman" w:hAnsi="Tahoma" w:cs="Tahoma"/>
          <w:sz w:val="24"/>
          <w:szCs w:val="24"/>
          <w:lang w:eastAsia="es-ES"/>
        </w:rPr>
        <w:t>entre otras.</w:t>
      </w:r>
    </w:p>
    <w:p w14:paraId="1B8A97C2" w14:textId="77777777" w:rsidR="00F53E78" w:rsidRPr="00F22AE2" w:rsidRDefault="00F53E78" w:rsidP="00F22AE2">
      <w:pPr>
        <w:spacing w:line="276" w:lineRule="auto"/>
        <w:ind w:firstLine="705"/>
        <w:textAlignment w:val="baseline"/>
        <w:rPr>
          <w:rFonts w:ascii="Tahoma" w:eastAsia="Times New Roman" w:hAnsi="Tahoma" w:cs="Tahoma"/>
          <w:sz w:val="24"/>
          <w:szCs w:val="24"/>
          <w:lang w:eastAsia="es-ES_tradnl"/>
        </w:rPr>
      </w:pPr>
    </w:p>
    <w:p w14:paraId="0BB397BD" w14:textId="71E9911D" w:rsidR="00C51D33" w:rsidRPr="00F22AE2" w:rsidRDefault="0AF25AAC" w:rsidP="00F22AE2">
      <w:pPr>
        <w:spacing w:line="276" w:lineRule="auto"/>
        <w:ind w:firstLine="705"/>
        <w:textAlignment w:val="baseline"/>
        <w:rPr>
          <w:rFonts w:ascii="Tahoma" w:eastAsia="Times New Roman" w:hAnsi="Tahoma" w:cs="Tahoma"/>
          <w:sz w:val="24"/>
          <w:szCs w:val="24"/>
          <w:lang w:eastAsia="es-ES"/>
        </w:rPr>
      </w:pPr>
      <w:r w:rsidRPr="00F22AE2">
        <w:rPr>
          <w:rFonts w:ascii="Tahoma" w:eastAsia="Times New Roman" w:hAnsi="Tahoma" w:cs="Tahoma"/>
          <w:sz w:val="24"/>
          <w:szCs w:val="24"/>
          <w:lang w:eastAsia="es-ES"/>
        </w:rPr>
        <w:t xml:space="preserve">Como puede verse, </w:t>
      </w:r>
      <w:r w:rsidR="3E6643F4" w:rsidRPr="00F22AE2">
        <w:rPr>
          <w:rFonts w:ascii="Tahoma" w:eastAsia="Times New Roman" w:hAnsi="Tahoma" w:cs="Tahoma"/>
          <w:sz w:val="24"/>
          <w:szCs w:val="24"/>
          <w:lang w:eastAsia="es-ES"/>
        </w:rPr>
        <w:t xml:space="preserve">en este caso la pretensión del demandante se contrajo a la ineficacia de la afiliación y la vuelta al estado </w:t>
      </w:r>
      <w:r w:rsidR="4E33C142" w:rsidRPr="00F22AE2">
        <w:rPr>
          <w:rFonts w:ascii="Tahoma" w:eastAsia="Times New Roman" w:hAnsi="Tahoma" w:cs="Tahoma"/>
          <w:sz w:val="24"/>
          <w:szCs w:val="24"/>
          <w:lang w:eastAsia="es-ES"/>
        </w:rPr>
        <w:t>de cosas anterior con el objetivo de pensionarse en el régimen de prima media con prestación definida, por lo tanto</w:t>
      </w:r>
      <w:r w:rsidR="2161AF9B" w:rsidRPr="00F22AE2">
        <w:rPr>
          <w:rFonts w:ascii="Tahoma" w:eastAsia="Times New Roman" w:hAnsi="Tahoma" w:cs="Tahoma"/>
          <w:sz w:val="24"/>
          <w:szCs w:val="24"/>
          <w:lang w:eastAsia="es-ES"/>
        </w:rPr>
        <w:t>,</w:t>
      </w:r>
      <w:r w:rsidR="4E33C142" w:rsidRPr="00F22AE2">
        <w:rPr>
          <w:rFonts w:ascii="Tahoma" w:eastAsia="Times New Roman" w:hAnsi="Tahoma" w:cs="Tahoma"/>
          <w:sz w:val="24"/>
          <w:szCs w:val="24"/>
          <w:lang w:eastAsia="es-ES"/>
        </w:rPr>
        <w:t xml:space="preserve"> al no reclamar la reparación de perjuicios no podría la Sala de oficio</w:t>
      </w:r>
      <w:r w:rsidR="234D3E10" w:rsidRPr="00F22AE2">
        <w:rPr>
          <w:rFonts w:ascii="Tahoma" w:eastAsia="Times New Roman" w:hAnsi="Tahoma" w:cs="Tahoma"/>
          <w:sz w:val="24"/>
          <w:szCs w:val="24"/>
          <w:lang w:eastAsia="es-ES"/>
        </w:rPr>
        <w:t>, como lo pretende el apelante,</w:t>
      </w:r>
      <w:r w:rsidR="4E33C142" w:rsidRPr="00F22AE2">
        <w:rPr>
          <w:rFonts w:ascii="Tahoma" w:eastAsia="Times New Roman" w:hAnsi="Tahoma" w:cs="Tahoma"/>
          <w:sz w:val="24"/>
          <w:szCs w:val="24"/>
          <w:lang w:eastAsia="es-ES"/>
        </w:rPr>
        <w:t xml:space="preserve"> entrar a evaluar esta posibilidad,</w:t>
      </w:r>
      <w:r w:rsidR="3FFFD28A" w:rsidRPr="00F22AE2">
        <w:rPr>
          <w:rFonts w:ascii="Tahoma" w:eastAsia="Times New Roman" w:hAnsi="Tahoma" w:cs="Tahoma"/>
          <w:sz w:val="24"/>
          <w:szCs w:val="24"/>
          <w:lang w:eastAsia="es-ES"/>
        </w:rPr>
        <w:t xml:space="preserve"> y menos</w:t>
      </w:r>
      <w:r w:rsidR="3CB361B4" w:rsidRPr="00F22AE2">
        <w:rPr>
          <w:rFonts w:ascii="Tahoma" w:eastAsia="Times New Roman" w:hAnsi="Tahoma" w:cs="Tahoma"/>
          <w:sz w:val="24"/>
          <w:szCs w:val="24"/>
          <w:lang w:eastAsia="es-ES"/>
        </w:rPr>
        <w:t xml:space="preserve"> </w:t>
      </w:r>
      <w:r w:rsidR="46468BE0" w:rsidRPr="00F22AE2">
        <w:rPr>
          <w:rFonts w:ascii="Tahoma" w:eastAsia="Times New Roman" w:hAnsi="Tahoma" w:cs="Tahoma"/>
          <w:sz w:val="24"/>
          <w:szCs w:val="24"/>
          <w:lang w:eastAsia="es-ES"/>
        </w:rPr>
        <w:t>bajo las facultades ultra y extra petita,</w:t>
      </w:r>
      <w:r w:rsidR="3FFFD28A" w:rsidRPr="00F22AE2">
        <w:rPr>
          <w:rFonts w:ascii="Tahoma" w:eastAsia="Times New Roman" w:hAnsi="Tahoma" w:cs="Tahoma"/>
          <w:sz w:val="24"/>
          <w:szCs w:val="24"/>
          <w:lang w:eastAsia="es-ES"/>
        </w:rPr>
        <w:t xml:space="preserve"> dado que dicha facultad se encuentra vedada</w:t>
      </w:r>
      <w:r w:rsidR="46468BE0" w:rsidRPr="00F22AE2">
        <w:rPr>
          <w:rFonts w:ascii="Tahoma" w:eastAsia="Times New Roman" w:hAnsi="Tahoma" w:cs="Tahoma"/>
          <w:sz w:val="24"/>
          <w:szCs w:val="24"/>
          <w:lang w:eastAsia="es-ES"/>
        </w:rPr>
        <w:t xml:space="preserve"> para los jueces de segundo grad</w:t>
      </w:r>
      <w:r w:rsidR="0C42BBD5" w:rsidRPr="00F22AE2">
        <w:rPr>
          <w:rFonts w:ascii="Tahoma" w:eastAsia="Times New Roman" w:hAnsi="Tahoma" w:cs="Tahoma"/>
          <w:sz w:val="24"/>
          <w:szCs w:val="24"/>
          <w:lang w:eastAsia="es-ES"/>
        </w:rPr>
        <w:t xml:space="preserve">o. </w:t>
      </w:r>
      <w:r w:rsidR="4CBC9D4E" w:rsidRPr="00F22AE2">
        <w:rPr>
          <w:rFonts w:ascii="Tahoma" w:eastAsia="Times New Roman" w:hAnsi="Tahoma" w:cs="Tahoma"/>
          <w:sz w:val="24"/>
          <w:szCs w:val="24"/>
          <w:lang w:eastAsia="es-ES"/>
        </w:rPr>
        <w:t xml:space="preserve"> </w:t>
      </w:r>
    </w:p>
    <w:p w14:paraId="2870FC13" w14:textId="77777777" w:rsidR="00F245F2" w:rsidRPr="00F22AE2" w:rsidRDefault="00F245F2" w:rsidP="00F22AE2">
      <w:pPr>
        <w:spacing w:line="276" w:lineRule="auto"/>
        <w:ind w:firstLine="705"/>
        <w:textAlignment w:val="baseline"/>
        <w:rPr>
          <w:rFonts w:ascii="Tahoma" w:eastAsia="Times New Roman" w:hAnsi="Tahoma" w:cs="Tahoma"/>
          <w:sz w:val="24"/>
          <w:szCs w:val="24"/>
          <w:lang w:eastAsia="es-ES"/>
        </w:rPr>
      </w:pPr>
    </w:p>
    <w:p w14:paraId="59D34FC8" w14:textId="427C0238" w:rsidR="002A016E" w:rsidRPr="00F22AE2" w:rsidRDefault="00E25AE7" w:rsidP="00F22AE2">
      <w:pPr>
        <w:spacing w:line="276" w:lineRule="auto"/>
        <w:ind w:firstLine="705"/>
        <w:textAlignment w:val="baseline"/>
        <w:rPr>
          <w:rFonts w:ascii="Tahoma" w:eastAsia="Times New Roman" w:hAnsi="Tahoma" w:cs="Tahoma"/>
          <w:sz w:val="24"/>
          <w:szCs w:val="24"/>
          <w:lang w:eastAsia="es-ES"/>
        </w:rPr>
      </w:pPr>
      <w:r w:rsidRPr="00F22AE2">
        <w:rPr>
          <w:rFonts w:ascii="Tahoma" w:eastAsia="Times New Roman" w:hAnsi="Tahoma" w:cs="Tahoma"/>
          <w:sz w:val="24"/>
          <w:szCs w:val="24"/>
          <w:lang w:eastAsia="es-ES"/>
        </w:rPr>
        <w:t>Finalmente</w:t>
      </w:r>
      <w:r w:rsidR="00C51D33" w:rsidRPr="00F22AE2">
        <w:rPr>
          <w:rFonts w:ascii="Tahoma" w:eastAsia="Times New Roman" w:hAnsi="Tahoma" w:cs="Tahoma"/>
          <w:sz w:val="24"/>
          <w:szCs w:val="24"/>
          <w:lang w:eastAsia="es-ES"/>
        </w:rPr>
        <w:t xml:space="preserve">, </w:t>
      </w:r>
      <w:r w:rsidR="004E3A9E" w:rsidRPr="00F22AE2">
        <w:rPr>
          <w:rFonts w:ascii="Tahoma" w:eastAsia="Times New Roman" w:hAnsi="Tahoma" w:cs="Tahoma"/>
          <w:sz w:val="24"/>
          <w:szCs w:val="24"/>
          <w:lang w:eastAsia="es-ES"/>
        </w:rPr>
        <w:t xml:space="preserve">frente </w:t>
      </w:r>
      <w:r w:rsidR="00C51D33" w:rsidRPr="00F22AE2">
        <w:rPr>
          <w:rFonts w:ascii="Tahoma" w:eastAsia="Times New Roman" w:hAnsi="Tahoma" w:cs="Tahoma"/>
          <w:sz w:val="24"/>
          <w:szCs w:val="24"/>
          <w:lang w:eastAsia="es-ES"/>
        </w:rPr>
        <w:t xml:space="preserve">al cambio jurisprudencial intempestivo </w:t>
      </w:r>
      <w:r w:rsidR="00DF0D69" w:rsidRPr="00F22AE2">
        <w:rPr>
          <w:rFonts w:ascii="Tahoma" w:eastAsia="Times New Roman" w:hAnsi="Tahoma" w:cs="Tahoma"/>
          <w:sz w:val="24"/>
          <w:szCs w:val="24"/>
          <w:lang w:eastAsia="es-ES"/>
        </w:rPr>
        <w:t>que,</w:t>
      </w:r>
      <w:r w:rsidR="00C51D33" w:rsidRPr="00F22AE2">
        <w:rPr>
          <w:rFonts w:ascii="Tahoma" w:eastAsia="Times New Roman" w:hAnsi="Tahoma" w:cs="Tahoma"/>
          <w:sz w:val="24"/>
          <w:szCs w:val="24"/>
          <w:lang w:eastAsia="es-ES"/>
        </w:rPr>
        <w:t xml:space="preserve"> a juicio del promotor del litigio, cercen</w:t>
      </w:r>
      <w:r w:rsidR="00B82761" w:rsidRPr="00F22AE2">
        <w:rPr>
          <w:rFonts w:ascii="Tahoma" w:eastAsia="Times New Roman" w:hAnsi="Tahoma" w:cs="Tahoma"/>
          <w:sz w:val="24"/>
          <w:szCs w:val="24"/>
          <w:lang w:eastAsia="es-ES"/>
        </w:rPr>
        <w:t>ó</w:t>
      </w:r>
      <w:r w:rsidR="00C51D33" w:rsidRPr="00F22AE2">
        <w:rPr>
          <w:rFonts w:ascii="Tahoma" w:eastAsia="Times New Roman" w:hAnsi="Tahoma" w:cs="Tahoma"/>
          <w:sz w:val="24"/>
          <w:szCs w:val="24"/>
          <w:lang w:eastAsia="es-ES"/>
        </w:rPr>
        <w:t xml:space="preserve"> su derecho de </w:t>
      </w:r>
      <w:r w:rsidR="00B96ADB" w:rsidRPr="00F22AE2">
        <w:rPr>
          <w:rFonts w:ascii="Tahoma" w:eastAsia="Times New Roman" w:hAnsi="Tahoma" w:cs="Tahoma"/>
          <w:sz w:val="24"/>
          <w:szCs w:val="24"/>
          <w:lang w:eastAsia="es-ES"/>
        </w:rPr>
        <w:t>reformar</w:t>
      </w:r>
      <w:r w:rsidR="00766707" w:rsidRPr="00F22AE2">
        <w:rPr>
          <w:rFonts w:ascii="Tahoma" w:eastAsia="Times New Roman" w:hAnsi="Tahoma" w:cs="Tahoma"/>
          <w:sz w:val="24"/>
          <w:szCs w:val="24"/>
          <w:lang w:eastAsia="es-ES"/>
        </w:rPr>
        <w:t xml:space="preserve"> o retirar</w:t>
      </w:r>
      <w:r w:rsidR="00B96ADB" w:rsidRPr="00F22AE2">
        <w:rPr>
          <w:rFonts w:ascii="Tahoma" w:eastAsia="Times New Roman" w:hAnsi="Tahoma" w:cs="Tahoma"/>
          <w:sz w:val="24"/>
          <w:szCs w:val="24"/>
          <w:lang w:eastAsia="es-ES"/>
        </w:rPr>
        <w:t xml:space="preserve"> la demanda, debe decirse </w:t>
      </w:r>
      <w:r w:rsidR="00DF0D69" w:rsidRPr="00F22AE2">
        <w:rPr>
          <w:rFonts w:ascii="Tahoma" w:eastAsia="Times New Roman" w:hAnsi="Tahoma" w:cs="Tahoma"/>
          <w:sz w:val="24"/>
          <w:szCs w:val="24"/>
          <w:lang w:eastAsia="es-ES"/>
        </w:rPr>
        <w:t>que,</w:t>
      </w:r>
      <w:r w:rsidR="00B96ADB" w:rsidRPr="00F22AE2">
        <w:rPr>
          <w:rFonts w:ascii="Tahoma" w:eastAsia="Times New Roman" w:hAnsi="Tahoma" w:cs="Tahoma"/>
          <w:sz w:val="24"/>
          <w:szCs w:val="24"/>
          <w:lang w:eastAsia="es-ES"/>
        </w:rPr>
        <w:t xml:space="preserve"> </w:t>
      </w:r>
      <w:r w:rsidR="00766707" w:rsidRPr="00F22AE2">
        <w:rPr>
          <w:rFonts w:ascii="Tahoma" w:eastAsia="Times New Roman" w:hAnsi="Tahoma" w:cs="Tahoma"/>
          <w:sz w:val="24"/>
          <w:szCs w:val="24"/>
          <w:lang w:eastAsia="es-ES"/>
        </w:rPr>
        <w:t xml:space="preserve">en efecto, </w:t>
      </w:r>
      <w:r w:rsidR="00311548" w:rsidRPr="00F22AE2">
        <w:rPr>
          <w:rFonts w:ascii="Tahoma" w:eastAsia="Times New Roman" w:hAnsi="Tahoma" w:cs="Tahoma"/>
          <w:sz w:val="24"/>
          <w:szCs w:val="24"/>
          <w:lang w:eastAsia="es-ES"/>
        </w:rPr>
        <w:t>tal como se desprende d</w:t>
      </w:r>
      <w:r w:rsidR="00766707" w:rsidRPr="00F22AE2">
        <w:rPr>
          <w:rFonts w:ascii="Tahoma" w:eastAsia="Times New Roman" w:hAnsi="Tahoma" w:cs="Tahoma"/>
          <w:sz w:val="24"/>
          <w:szCs w:val="24"/>
          <w:lang w:eastAsia="es-ES"/>
        </w:rPr>
        <w:t xml:space="preserve">el auto del 28 de agosto de </w:t>
      </w:r>
      <w:r w:rsidR="00DF0D69" w:rsidRPr="00F22AE2">
        <w:rPr>
          <w:rFonts w:ascii="Tahoma" w:eastAsia="Times New Roman" w:hAnsi="Tahoma" w:cs="Tahoma"/>
          <w:sz w:val="24"/>
          <w:szCs w:val="24"/>
          <w:lang w:eastAsia="es-ES"/>
        </w:rPr>
        <w:t>2020</w:t>
      </w:r>
      <w:r w:rsidR="00DF0D69" w:rsidRPr="00F22AE2">
        <w:rPr>
          <w:rStyle w:val="Refdenotaalpie"/>
          <w:rFonts w:ascii="Tahoma" w:eastAsia="Times New Roman" w:hAnsi="Tahoma" w:cs="Tahoma"/>
          <w:sz w:val="24"/>
          <w:szCs w:val="24"/>
          <w:lang w:eastAsia="es-ES"/>
        </w:rPr>
        <w:footnoteReference w:id="3"/>
      </w:r>
      <w:r w:rsidR="00311548" w:rsidRPr="00F22AE2">
        <w:rPr>
          <w:rFonts w:ascii="Tahoma" w:eastAsia="Times New Roman" w:hAnsi="Tahoma" w:cs="Tahoma"/>
          <w:sz w:val="24"/>
          <w:szCs w:val="24"/>
          <w:lang w:eastAsia="es-ES"/>
        </w:rPr>
        <w:t>,</w:t>
      </w:r>
      <w:r w:rsidR="00DF0D69" w:rsidRPr="00F22AE2">
        <w:rPr>
          <w:rFonts w:ascii="Tahoma" w:eastAsia="Times New Roman" w:hAnsi="Tahoma" w:cs="Tahoma"/>
          <w:sz w:val="24"/>
          <w:szCs w:val="24"/>
          <w:lang w:eastAsia="es-ES"/>
        </w:rPr>
        <w:t xml:space="preserve"> el t</w:t>
      </w:r>
      <w:r w:rsidR="02591635" w:rsidRPr="00F22AE2">
        <w:rPr>
          <w:rFonts w:ascii="Tahoma" w:eastAsia="Times New Roman" w:hAnsi="Tahoma" w:cs="Tahoma"/>
          <w:sz w:val="24"/>
          <w:szCs w:val="24"/>
          <w:lang w:eastAsia="es-ES"/>
        </w:rPr>
        <w:t>é</w:t>
      </w:r>
      <w:r w:rsidR="00DF0D69" w:rsidRPr="00F22AE2">
        <w:rPr>
          <w:rFonts w:ascii="Tahoma" w:eastAsia="Times New Roman" w:hAnsi="Tahoma" w:cs="Tahoma"/>
          <w:sz w:val="24"/>
          <w:szCs w:val="24"/>
          <w:highlight w:val="yellow"/>
          <w:lang w:eastAsia="es-ES"/>
        </w:rPr>
        <w:t>r</w:t>
      </w:r>
      <w:r w:rsidR="00DF0D69" w:rsidRPr="00F22AE2">
        <w:rPr>
          <w:rFonts w:ascii="Tahoma" w:eastAsia="Times New Roman" w:hAnsi="Tahoma" w:cs="Tahoma"/>
          <w:sz w:val="24"/>
          <w:szCs w:val="24"/>
          <w:lang w:eastAsia="es-ES"/>
        </w:rPr>
        <w:t>min</w:t>
      </w:r>
      <w:r w:rsidR="65331E3C" w:rsidRPr="00F22AE2">
        <w:rPr>
          <w:rFonts w:ascii="Tahoma" w:eastAsia="Times New Roman" w:hAnsi="Tahoma" w:cs="Tahoma"/>
          <w:sz w:val="24"/>
          <w:szCs w:val="24"/>
          <w:lang w:eastAsia="es-ES"/>
        </w:rPr>
        <w:t>o</w:t>
      </w:r>
      <w:r w:rsidR="00DF0D69" w:rsidRPr="00F22AE2">
        <w:rPr>
          <w:rFonts w:ascii="Tahoma" w:eastAsia="Times New Roman" w:hAnsi="Tahoma" w:cs="Tahoma"/>
          <w:sz w:val="24"/>
          <w:szCs w:val="24"/>
          <w:lang w:eastAsia="es-ES"/>
        </w:rPr>
        <w:t xml:space="preserve"> para reformar la demanda precluyó</w:t>
      </w:r>
      <w:r w:rsidR="00F51266" w:rsidRPr="00F22AE2">
        <w:rPr>
          <w:rFonts w:ascii="Tahoma" w:eastAsia="Times New Roman" w:hAnsi="Tahoma" w:cs="Tahoma"/>
          <w:sz w:val="24"/>
          <w:szCs w:val="24"/>
          <w:lang w:eastAsia="es-ES"/>
        </w:rPr>
        <w:t xml:space="preserve"> el 11 de marzo de 2020, esto es,</w:t>
      </w:r>
      <w:r w:rsidR="00DF0D69" w:rsidRPr="00F22AE2">
        <w:rPr>
          <w:rFonts w:ascii="Tahoma" w:eastAsia="Times New Roman" w:hAnsi="Tahoma" w:cs="Tahoma"/>
          <w:sz w:val="24"/>
          <w:szCs w:val="24"/>
          <w:lang w:eastAsia="es-ES"/>
        </w:rPr>
        <w:t xml:space="preserve"> con anterioridad </w:t>
      </w:r>
      <w:r w:rsidR="00F51266" w:rsidRPr="00F22AE2">
        <w:rPr>
          <w:rFonts w:ascii="Tahoma" w:eastAsia="Times New Roman" w:hAnsi="Tahoma" w:cs="Tahoma"/>
          <w:sz w:val="24"/>
          <w:szCs w:val="24"/>
          <w:lang w:eastAsia="es-ES"/>
        </w:rPr>
        <w:t>al cambio jurisprudencial</w:t>
      </w:r>
      <w:r w:rsidR="00311548" w:rsidRPr="00F22AE2">
        <w:rPr>
          <w:rFonts w:ascii="Tahoma" w:eastAsia="Times New Roman" w:hAnsi="Tahoma" w:cs="Tahoma"/>
          <w:sz w:val="24"/>
          <w:szCs w:val="24"/>
          <w:lang w:eastAsia="es-ES"/>
        </w:rPr>
        <w:t xml:space="preserve"> en estudio</w:t>
      </w:r>
      <w:r w:rsidR="0D5F6884" w:rsidRPr="00F22AE2">
        <w:rPr>
          <w:rFonts w:ascii="Tahoma" w:eastAsia="Times New Roman" w:hAnsi="Tahoma" w:cs="Tahoma"/>
          <w:sz w:val="24"/>
          <w:szCs w:val="24"/>
          <w:lang w:eastAsia="es-ES"/>
        </w:rPr>
        <w:t xml:space="preserve">, </w:t>
      </w:r>
      <w:r w:rsidR="00DD336F" w:rsidRPr="00F22AE2">
        <w:rPr>
          <w:rFonts w:ascii="Tahoma" w:eastAsia="Times New Roman" w:hAnsi="Tahoma" w:cs="Tahoma"/>
          <w:sz w:val="24"/>
          <w:szCs w:val="24"/>
          <w:lang w:eastAsia="es-ES"/>
        </w:rPr>
        <w:t>de modo que para la fecha en que se produjo el giro jurisprudencial, el demandante ya no podía reformar la demanda</w:t>
      </w:r>
      <w:r w:rsidR="008B4CC8" w:rsidRPr="00F22AE2">
        <w:rPr>
          <w:rFonts w:ascii="Tahoma" w:eastAsia="Times New Roman" w:hAnsi="Tahoma" w:cs="Tahoma"/>
          <w:sz w:val="24"/>
          <w:szCs w:val="24"/>
          <w:lang w:eastAsia="es-ES"/>
        </w:rPr>
        <w:t xml:space="preserve"> adecuándola al nuevo escenario hermenéutico</w:t>
      </w:r>
      <w:r w:rsidR="00037109" w:rsidRPr="00F22AE2">
        <w:rPr>
          <w:rFonts w:ascii="Tahoma" w:eastAsia="Times New Roman" w:hAnsi="Tahoma" w:cs="Tahoma"/>
          <w:sz w:val="24"/>
          <w:szCs w:val="24"/>
          <w:lang w:eastAsia="es-ES"/>
        </w:rPr>
        <w:t>; sin embargo, ello no e</w:t>
      </w:r>
      <w:r w:rsidR="112BA0AB" w:rsidRPr="00F22AE2">
        <w:rPr>
          <w:rFonts w:ascii="Tahoma" w:eastAsia="Times New Roman" w:hAnsi="Tahoma" w:cs="Tahoma"/>
          <w:sz w:val="24"/>
          <w:szCs w:val="24"/>
          <w:lang w:eastAsia="es-ES"/>
        </w:rPr>
        <w:t>s</w:t>
      </w:r>
      <w:r w:rsidR="00037109" w:rsidRPr="00F22AE2">
        <w:rPr>
          <w:rFonts w:ascii="Tahoma" w:eastAsia="Times New Roman" w:hAnsi="Tahoma" w:cs="Tahoma"/>
          <w:sz w:val="24"/>
          <w:szCs w:val="24"/>
          <w:lang w:eastAsia="es-ES"/>
        </w:rPr>
        <w:t xml:space="preserve"> óbice para el inicio de un nuevo proceso encaminado al resarcimiento de perjuicios</w:t>
      </w:r>
      <w:r w:rsidR="00DB4A93" w:rsidRPr="00F22AE2">
        <w:rPr>
          <w:rFonts w:ascii="Tahoma" w:eastAsia="Times New Roman" w:hAnsi="Tahoma" w:cs="Tahoma"/>
          <w:sz w:val="24"/>
          <w:szCs w:val="24"/>
          <w:lang w:eastAsia="es-ES"/>
        </w:rPr>
        <w:t xml:space="preserve">, bajo la certeza de que en este proceso ya no era viable la declaratoria de ineficacia </w:t>
      </w:r>
      <w:r w:rsidR="00C25715" w:rsidRPr="00F22AE2">
        <w:rPr>
          <w:rFonts w:ascii="Tahoma" w:eastAsia="Times New Roman" w:hAnsi="Tahoma" w:cs="Tahoma"/>
          <w:sz w:val="24"/>
          <w:szCs w:val="24"/>
          <w:lang w:eastAsia="es-ES"/>
        </w:rPr>
        <w:t>y que tampoco podía perseguir la indemnización por perjuicio, habida cuenta de que ninguna pretensión se enfila con ese propósito.</w:t>
      </w:r>
    </w:p>
    <w:p w14:paraId="6EBC722E" w14:textId="77777777" w:rsidR="00F52F79" w:rsidRPr="00F22AE2" w:rsidRDefault="00F52F79" w:rsidP="00F22AE2">
      <w:pPr>
        <w:spacing w:line="276" w:lineRule="auto"/>
        <w:ind w:firstLine="0"/>
        <w:textAlignment w:val="baseline"/>
        <w:rPr>
          <w:rFonts w:ascii="Tahoma" w:eastAsia="Times New Roman" w:hAnsi="Tahoma" w:cs="Tahoma"/>
          <w:sz w:val="24"/>
          <w:szCs w:val="24"/>
          <w:lang w:eastAsia="es-ES_tradnl"/>
        </w:rPr>
      </w:pPr>
    </w:p>
    <w:p w14:paraId="0BB9D254" w14:textId="7A8F7545"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r w:rsidRPr="00F22AE2">
        <w:rPr>
          <w:rFonts w:ascii="Tahoma" w:eastAsia="Times New Roman" w:hAnsi="Tahoma" w:cs="Tahoma"/>
          <w:sz w:val="24"/>
          <w:szCs w:val="24"/>
          <w:lang w:eastAsia="es-ES_tradnl"/>
        </w:rPr>
        <w:t>Lo hasta aquí esbozado conlleva a la indefectible confirmación de la decisión de primer grado en su integridad</w:t>
      </w:r>
      <w:r w:rsidR="002A016E" w:rsidRPr="00F22AE2">
        <w:rPr>
          <w:rFonts w:ascii="Tahoma" w:eastAsia="Times New Roman" w:hAnsi="Tahoma" w:cs="Tahoma"/>
          <w:sz w:val="24"/>
          <w:szCs w:val="24"/>
          <w:lang w:eastAsia="es-ES_tradnl"/>
        </w:rPr>
        <w:t xml:space="preserve">, incluyendo la condena en costas procesales, </w:t>
      </w:r>
      <w:r w:rsidR="003C3D7B" w:rsidRPr="00F22AE2">
        <w:rPr>
          <w:rFonts w:ascii="Tahoma" w:eastAsia="Times New Roman" w:hAnsi="Tahoma" w:cs="Tahoma"/>
          <w:sz w:val="24"/>
          <w:szCs w:val="24"/>
          <w:lang w:eastAsia="es-ES_tradnl"/>
        </w:rPr>
        <w:t xml:space="preserve">prevista en el artículo 365 del Código General del Proceso para la parte vencida en el litigio, </w:t>
      </w:r>
      <w:r w:rsidR="003C3D7B" w:rsidRPr="00F22AE2">
        <w:rPr>
          <w:rFonts w:ascii="Tahoma" w:eastAsia="Times New Roman" w:hAnsi="Tahoma" w:cs="Tahoma"/>
          <w:sz w:val="24"/>
          <w:szCs w:val="24"/>
          <w:lang w:eastAsia="es-ES_tradnl"/>
        </w:rPr>
        <w:lastRenderedPageBreak/>
        <w:t xml:space="preserve">asimismo se impondrán en iguales términos las de segunda instancia ante la resolución desfavorable del recurso de apelación. </w:t>
      </w:r>
      <w:r w:rsidR="002A4927" w:rsidRPr="00F22AE2">
        <w:rPr>
          <w:rFonts w:ascii="Tahoma" w:eastAsia="Times New Roman" w:hAnsi="Tahoma" w:cs="Tahoma"/>
          <w:sz w:val="24"/>
          <w:szCs w:val="24"/>
          <w:lang w:eastAsia="es-ES_tradnl"/>
        </w:rPr>
        <w:t xml:space="preserve"> Liquídense </w:t>
      </w:r>
      <w:r w:rsidRPr="00F22AE2">
        <w:rPr>
          <w:rFonts w:ascii="Tahoma" w:eastAsia="Times New Roman" w:hAnsi="Tahoma" w:cs="Tahoma"/>
          <w:sz w:val="24"/>
          <w:szCs w:val="24"/>
          <w:lang w:eastAsia="es-ES_tradnl"/>
        </w:rPr>
        <w:t>por la secretaría del juzgado de origen.</w:t>
      </w:r>
    </w:p>
    <w:p w14:paraId="72C68B26" w14:textId="77777777"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p>
    <w:p w14:paraId="45D51835" w14:textId="77777777" w:rsidR="00F52F79" w:rsidRPr="00F22AE2" w:rsidRDefault="00F52F79" w:rsidP="00F22AE2">
      <w:pPr>
        <w:spacing w:line="276" w:lineRule="auto"/>
        <w:ind w:firstLine="705"/>
        <w:textAlignment w:val="baseline"/>
        <w:rPr>
          <w:rFonts w:ascii="Tahoma" w:eastAsia="Times New Roman" w:hAnsi="Tahoma" w:cs="Tahoma"/>
          <w:sz w:val="24"/>
          <w:szCs w:val="24"/>
          <w:lang w:val="es-ES_tradnl" w:eastAsia="es-ES_tradnl"/>
        </w:rPr>
      </w:pPr>
      <w:r w:rsidRPr="00F22AE2">
        <w:rPr>
          <w:rFonts w:ascii="Tahoma" w:eastAsia="Times New Roman" w:hAnsi="Tahoma" w:cs="Tahoma"/>
          <w:sz w:val="24"/>
          <w:szCs w:val="24"/>
          <w:lang w:val="es-ES_tradnl" w:eastAsia="es-ES_tradnl"/>
        </w:rPr>
        <w:t xml:space="preserve">En mérito de lo expuesto, el </w:t>
      </w:r>
      <w:r w:rsidRPr="00F22AE2">
        <w:rPr>
          <w:rFonts w:ascii="Tahoma" w:eastAsia="Times New Roman" w:hAnsi="Tahoma" w:cs="Tahoma"/>
          <w:b/>
          <w:sz w:val="24"/>
          <w:szCs w:val="24"/>
          <w:lang w:val="es-ES_tradnl" w:eastAsia="es-ES_tradnl"/>
        </w:rPr>
        <w:t>Tribunal Superior del Distrito Judicial de Pereira - Risaralda, Sala Primera de Decisión Laboral,</w:t>
      </w:r>
      <w:r w:rsidRPr="00F22AE2">
        <w:rPr>
          <w:rFonts w:ascii="Tahoma" w:eastAsia="Times New Roman" w:hAnsi="Tahoma" w:cs="Tahoma"/>
          <w:sz w:val="24"/>
          <w:szCs w:val="24"/>
          <w:lang w:val="es-ES_tradnl" w:eastAsia="es-ES_tradnl"/>
        </w:rPr>
        <w:t xml:space="preserve"> administrando justicia en nombre de la República y por autoridad de la ley,</w:t>
      </w:r>
    </w:p>
    <w:p w14:paraId="1B0E7635" w14:textId="77777777" w:rsidR="00F52F79" w:rsidRPr="00F22AE2" w:rsidRDefault="00F52F79" w:rsidP="00F22AE2">
      <w:pPr>
        <w:spacing w:line="276" w:lineRule="auto"/>
        <w:ind w:firstLine="705"/>
        <w:textAlignment w:val="baseline"/>
        <w:rPr>
          <w:rFonts w:ascii="Tahoma" w:eastAsia="Times New Roman" w:hAnsi="Tahoma" w:cs="Tahoma"/>
          <w:sz w:val="24"/>
          <w:szCs w:val="24"/>
          <w:lang w:val="es-ES_tradnl" w:eastAsia="es-ES_tradnl"/>
        </w:rPr>
      </w:pPr>
    </w:p>
    <w:p w14:paraId="14D997A3" w14:textId="77777777" w:rsidR="00F52F79" w:rsidRPr="00F22AE2" w:rsidRDefault="00F52F79" w:rsidP="00F22AE2">
      <w:pPr>
        <w:pStyle w:val="Prrafodelista"/>
        <w:numPr>
          <w:ilvl w:val="0"/>
          <w:numId w:val="7"/>
        </w:numPr>
        <w:spacing w:line="276" w:lineRule="auto"/>
        <w:jc w:val="center"/>
        <w:textAlignment w:val="baseline"/>
        <w:rPr>
          <w:rFonts w:ascii="Tahoma" w:hAnsi="Tahoma" w:cs="Tahoma"/>
          <w:b/>
          <w:lang w:eastAsia="es-ES_tradnl"/>
        </w:rPr>
      </w:pPr>
      <w:r w:rsidRPr="00F22AE2">
        <w:rPr>
          <w:rFonts w:ascii="Tahoma" w:hAnsi="Tahoma" w:cs="Tahoma"/>
          <w:b/>
          <w:lang w:eastAsia="es-ES_tradnl"/>
        </w:rPr>
        <w:t>RESUELVE</w:t>
      </w:r>
    </w:p>
    <w:p w14:paraId="7A9B0D85" w14:textId="77777777" w:rsidR="00F52F79" w:rsidRPr="00F22AE2" w:rsidRDefault="00F52F79" w:rsidP="00F22AE2">
      <w:pPr>
        <w:spacing w:line="276" w:lineRule="auto"/>
        <w:ind w:firstLine="705"/>
        <w:textAlignment w:val="baseline"/>
        <w:rPr>
          <w:rFonts w:ascii="Tahoma" w:eastAsia="Times New Roman" w:hAnsi="Tahoma" w:cs="Tahoma"/>
          <w:b/>
          <w:bCs/>
          <w:sz w:val="24"/>
          <w:szCs w:val="24"/>
          <w:lang w:eastAsia="es-ES_tradnl"/>
        </w:rPr>
      </w:pPr>
    </w:p>
    <w:p w14:paraId="2962A832" w14:textId="50446427"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r w:rsidRPr="00F22AE2">
        <w:rPr>
          <w:rFonts w:ascii="Tahoma" w:eastAsia="Times New Roman" w:hAnsi="Tahoma" w:cs="Tahoma"/>
          <w:b/>
          <w:bCs/>
          <w:sz w:val="24"/>
          <w:szCs w:val="24"/>
          <w:lang w:eastAsia="es-ES_tradnl"/>
        </w:rPr>
        <w:t>PRIMERO:</w:t>
      </w:r>
      <w:r w:rsidRPr="00F22AE2">
        <w:rPr>
          <w:rFonts w:ascii="Tahoma" w:eastAsia="Times New Roman" w:hAnsi="Tahoma" w:cs="Tahoma"/>
          <w:b/>
          <w:bCs/>
          <w:i/>
          <w:iCs/>
          <w:sz w:val="24"/>
          <w:szCs w:val="24"/>
          <w:lang w:eastAsia="es-ES_tradnl"/>
        </w:rPr>
        <w:t> </w:t>
      </w:r>
      <w:r w:rsidRPr="00F22AE2">
        <w:rPr>
          <w:rFonts w:ascii="Tahoma" w:eastAsia="Times New Roman" w:hAnsi="Tahoma" w:cs="Tahoma"/>
          <w:b/>
          <w:bCs/>
          <w:sz w:val="24"/>
          <w:szCs w:val="24"/>
          <w:lang w:eastAsia="es-ES_tradnl"/>
        </w:rPr>
        <w:t>CONFIRMAR</w:t>
      </w:r>
      <w:r w:rsidRPr="00F22AE2">
        <w:rPr>
          <w:rFonts w:ascii="Tahoma" w:eastAsia="Times New Roman" w:hAnsi="Tahoma" w:cs="Tahoma"/>
          <w:b/>
          <w:bCs/>
          <w:i/>
          <w:iCs/>
          <w:sz w:val="24"/>
          <w:szCs w:val="24"/>
          <w:lang w:eastAsia="es-ES_tradnl"/>
        </w:rPr>
        <w:t xml:space="preserve"> </w:t>
      </w:r>
      <w:r w:rsidRPr="00F22AE2">
        <w:rPr>
          <w:rFonts w:ascii="Tahoma" w:eastAsia="Times New Roman" w:hAnsi="Tahoma" w:cs="Tahoma"/>
          <w:sz w:val="24"/>
          <w:szCs w:val="24"/>
          <w:lang w:eastAsia="es-ES_tradnl"/>
        </w:rPr>
        <w:t xml:space="preserve">la sentencia proferida por el Juzgado </w:t>
      </w:r>
      <w:r w:rsidR="00570C35" w:rsidRPr="00F22AE2">
        <w:rPr>
          <w:rFonts w:ascii="Tahoma" w:eastAsia="Times New Roman" w:hAnsi="Tahoma" w:cs="Tahoma"/>
          <w:sz w:val="24"/>
          <w:szCs w:val="24"/>
          <w:lang w:eastAsia="es-ES_tradnl"/>
        </w:rPr>
        <w:t>Quinto</w:t>
      </w:r>
      <w:r w:rsidRPr="00F22AE2">
        <w:rPr>
          <w:rFonts w:ascii="Tahoma" w:eastAsia="Times New Roman" w:hAnsi="Tahoma" w:cs="Tahoma"/>
          <w:sz w:val="24"/>
          <w:szCs w:val="24"/>
          <w:lang w:eastAsia="es-ES_tradnl"/>
        </w:rPr>
        <w:t xml:space="preserve"> Laboral del Circuito de Pereira el </w:t>
      </w:r>
      <w:r w:rsidR="00570C35" w:rsidRPr="00F22AE2">
        <w:rPr>
          <w:rFonts w:ascii="Tahoma" w:eastAsia="Times New Roman" w:hAnsi="Tahoma" w:cs="Tahoma"/>
          <w:sz w:val="24"/>
          <w:szCs w:val="24"/>
          <w:lang w:eastAsia="es-ES_tradnl"/>
        </w:rPr>
        <w:t>7 de diciembre de 2022, dentro</w:t>
      </w:r>
      <w:r w:rsidR="008F1FF4" w:rsidRPr="00F22AE2">
        <w:rPr>
          <w:rFonts w:ascii="Tahoma" w:eastAsia="Times New Roman" w:hAnsi="Tahoma" w:cs="Tahoma"/>
          <w:sz w:val="24"/>
          <w:szCs w:val="24"/>
          <w:lang w:eastAsia="es-ES_tradnl"/>
        </w:rPr>
        <w:t xml:space="preserve"> del proceso ordinario laboral instaurado por </w:t>
      </w:r>
      <w:r w:rsidR="008F1FF4" w:rsidRPr="00F22AE2">
        <w:rPr>
          <w:rFonts w:ascii="Tahoma" w:eastAsia="Times New Roman" w:hAnsi="Tahoma" w:cs="Tahoma"/>
          <w:b/>
          <w:bCs/>
          <w:sz w:val="24"/>
          <w:szCs w:val="24"/>
          <w:lang w:eastAsia="es-ES_tradnl"/>
        </w:rPr>
        <w:t xml:space="preserve">Genaro Rosales Sepúlveda </w:t>
      </w:r>
      <w:r w:rsidR="008F1FF4" w:rsidRPr="00F22AE2">
        <w:rPr>
          <w:rFonts w:ascii="Tahoma" w:eastAsia="Times New Roman" w:hAnsi="Tahoma" w:cs="Tahoma"/>
          <w:sz w:val="24"/>
          <w:szCs w:val="24"/>
          <w:lang w:eastAsia="es-ES_tradnl"/>
        </w:rPr>
        <w:t xml:space="preserve">en contra de la </w:t>
      </w:r>
      <w:r w:rsidR="008F1FF4" w:rsidRPr="00F22AE2">
        <w:rPr>
          <w:rFonts w:ascii="Tahoma" w:eastAsia="Times New Roman" w:hAnsi="Tahoma" w:cs="Tahoma"/>
          <w:b/>
          <w:bCs/>
          <w:sz w:val="24"/>
          <w:szCs w:val="24"/>
          <w:lang w:eastAsia="es-ES_tradnl"/>
        </w:rPr>
        <w:t xml:space="preserve">Administradora Colombiana de Pensiones – Colpensiones </w:t>
      </w:r>
      <w:r w:rsidR="008F1FF4" w:rsidRPr="00F22AE2">
        <w:rPr>
          <w:rFonts w:ascii="Tahoma" w:eastAsia="Times New Roman" w:hAnsi="Tahoma" w:cs="Tahoma"/>
          <w:sz w:val="24"/>
          <w:szCs w:val="24"/>
          <w:lang w:eastAsia="es-ES_tradnl"/>
        </w:rPr>
        <w:t xml:space="preserve">y la </w:t>
      </w:r>
      <w:r w:rsidR="008F1FF4" w:rsidRPr="00F22AE2">
        <w:rPr>
          <w:rFonts w:ascii="Tahoma" w:eastAsia="Times New Roman" w:hAnsi="Tahoma" w:cs="Tahoma"/>
          <w:b/>
          <w:bCs/>
          <w:sz w:val="24"/>
          <w:szCs w:val="24"/>
          <w:lang w:eastAsia="es-ES_tradnl"/>
        </w:rPr>
        <w:t>Administradora de Fondos de Pensiones y Cesantías – Protección S.A.</w:t>
      </w:r>
      <w:r w:rsidR="00FA7BC8" w:rsidRPr="00F22AE2">
        <w:rPr>
          <w:rFonts w:ascii="Tahoma" w:eastAsia="Times New Roman" w:hAnsi="Tahoma" w:cs="Tahoma"/>
          <w:b/>
          <w:bCs/>
          <w:sz w:val="24"/>
          <w:szCs w:val="24"/>
          <w:lang w:eastAsia="es-ES_tradnl"/>
        </w:rPr>
        <w:t xml:space="preserve">, </w:t>
      </w:r>
      <w:r w:rsidR="00FA7BC8" w:rsidRPr="00F22AE2">
        <w:rPr>
          <w:rFonts w:ascii="Tahoma" w:eastAsia="Times New Roman" w:hAnsi="Tahoma" w:cs="Tahoma"/>
          <w:sz w:val="24"/>
          <w:szCs w:val="24"/>
          <w:lang w:eastAsia="es-ES_tradnl"/>
        </w:rPr>
        <w:t>trámite al que</w:t>
      </w:r>
      <w:r w:rsidR="00FA7BC8" w:rsidRPr="00F22AE2">
        <w:rPr>
          <w:rFonts w:ascii="Tahoma" w:eastAsia="Times New Roman" w:hAnsi="Tahoma" w:cs="Tahoma"/>
          <w:b/>
          <w:bCs/>
          <w:sz w:val="24"/>
          <w:szCs w:val="24"/>
          <w:lang w:eastAsia="es-ES_tradnl"/>
        </w:rPr>
        <w:t xml:space="preserve"> </w:t>
      </w:r>
      <w:r w:rsidR="00FA7BC8" w:rsidRPr="00F22AE2">
        <w:rPr>
          <w:rFonts w:ascii="Tahoma" w:eastAsia="Times New Roman" w:hAnsi="Tahoma" w:cs="Tahoma"/>
          <w:sz w:val="24"/>
          <w:szCs w:val="24"/>
          <w:lang w:eastAsia="es-ES_tradnl"/>
        </w:rPr>
        <w:t>fue</w:t>
      </w:r>
      <w:r w:rsidR="008F1FF4" w:rsidRPr="00F22AE2">
        <w:rPr>
          <w:rFonts w:ascii="Tahoma" w:eastAsia="Times New Roman" w:hAnsi="Tahoma" w:cs="Tahoma"/>
          <w:sz w:val="24"/>
          <w:szCs w:val="24"/>
          <w:lang w:eastAsia="es-ES_tradnl"/>
        </w:rPr>
        <w:t xml:space="preserve"> vinculado en calidad de litisconsorte necesario</w:t>
      </w:r>
      <w:r w:rsidR="008F1FF4" w:rsidRPr="00F22AE2">
        <w:rPr>
          <w:rFonts w:ascii="Tahoma" w:eastAsia="Times New Roman" w:hAnsi="Tahoma" w:cs="Tahoma"/>
          <w:b/>
          <w:bCs/>
          <w:sz w:val="24"/>
          <w:szCs w:val="24"/>
          <w:lang w:eastAsia="es-ES_tradnl"/>
        </w:rPr>
        <w:t xml:space="preserve"> la Nación- </w:t>
      </w:r>
      <w:r w:rsidR="008F1FF4" w:rsidRPr="00F22AE2">
        <w:rPr>
          <w:rFonts w:ascii="Tahoma" w:eastAsia="Times New Roman" w:hAnsi="Tahoma" w:cs="Tahoma"/>
          <w:b/>
          <w:bCs/>
          <w:iCs/>
          <w:sz w:val="24"/>
          <w:szCs w:val="24"/>
          <w:lang w:val="es-CO" w:eastAsia="es-ES_tradnl"/>
        </w:rPr>
        <w:t>Ministerio de Hacienda y Crédito Público- Oficina de Bonos Pensionales</w:t>
      </w:r>
      <w:r w:rsidR="00FA7BC8" w:rsidRPr="00F22AE2">
        <w:rPr>
          <w:rFonts w:ascii="Tahoma" w:eastAsia="Times New Roman" w:hAnsi="Tahoma" w:cs="Tahoma"/>
          <w:b/>
          <w:bCs/>
          <w:iCs/>
          <w:sz w:val="24"/>
          <w:szCs w:val="24"/>
          <w:lang w:val="es-CO" w:eastAsia="es-ES_tradnl"/>
        </w:rPr>
        <w:t>.</w:t>
      </w:r>
    </w:p>
    <w:p w14:paraId="48DB49D3" w14:textId="77777777"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p>
    <w:p w14:paraId="1FABFE51" w14:textId="77777777" w:rsidR="00F52F79" w:rsidRPr="00F22AE2" w:rsidRDefault="00F52F79" w:rsidP="00F22AE2">
      <w:pPr>
        <w:spacing w:line="276" w:lineRule="auto"/>
        <w:ind w:firstLine="705"/>
        <w:textAlignment w:val="baseline"/>
        <w:rPr>
          <w:rFonts w:ascii="Tahoma" w:eastAsia="Times New Roman" w:hAnsi="Tahoma" w:cs="Tahoma"/>
          <w:sz w:val="24"/>
          <w:szCs w:val="24"/>
          <w:lang w:eastAsia="es-ES_tradnl"/>
        </w:rPr>
      </w:pPr>
      <w:r w:rsidRPr="00F22AE2">
        <w:rPr>
          <w:rFonts w:ascii="Tahoma" w:eastAsia="Times New Roman" w:hAnsi="Tahoma" w:cs="Tahoma"/>
          <w:b/>
          <w:bCs/>
          <w:sz w:val="24"/>
          <w:szCs w:val="24"/>
          <w:lang w:eastAsia="es-ES_tradnl"/>
        </w:rPr>
        <w:t xml:space="preserve">SEGUNDO: </w:t>
      </w:r>
      <w:r w:rsidRPr="00F22AE2">
        <w:rPr>
          <w:rFonts w:ascii="Tahoma" w:eastAsia="Times New Roman" w:hAnsi="Tahoma" w:cs="Tahoma"/>
          <w:sz w:val="24"/>
          <w:szCs w:val="24"/>
          <w:lang w:eastAsia="es-ES_tradnl"/>
        </w:rPr>
        <w:t>Costas en segunda instancia a cargo de la parte demandante y a favor de las demandadas en un 100%. Liquídense por la secretaría del juzgado de origen.</w:t>
      </w:r>
    </w:p>
    <w:p w14:paraId="0F02BA56" w14:textId="77777777" w:rsidR="00F22AE2" w:rsidRPr="00F22AE2" w:rsidRDefault="00F22AE2" w:rsidP="00F22AE2">
      <w:pPr>
        <w:spacing w:line="276" w:lineRule="auto"/>
        <w:ind w:firstLine="705"/>
        <w:textAlignment w:val="baseline"/>
        <w:rPr>
          <w:rFonts w:ascii="Tahoma" w:eastAsia="Times New Roman" w:hAnsi="Tahoma" w:cs="Tahoma"/>
          <w:sz w:val="24"/>
          <w:szCs w:val="24"/>
          <w:lang w:val="es-CO" w:eastAsia="es-ES_tradnl"/>
        </w:rPr>
      </w:pPr>
      <w:r w:rsidRPr="00F22AE2">
        <w:rPr>
          <w:rFonts w:ascii="Tahoma" w:eastAsia="Times New Roman" w:hAnsi="Tahoma" w:cs="Tahoma"/>
          <w:sz w:val="24"/>
          <w:szCs w:val="24"/>
          <w:lang w:val="es-CO" w:eastAsia="es-ES_tradnl"/>
        </w:rPr>
        <w:t> </w:t>
      </w:r>
    </w:p>
    <w:p w14:paraId="76B33BD2" w14:textId="77777777" w:rsidR="00F22AE2" w:rsidRPr="00F22AE2" w:rsidRDefault="00F22AE2" w:rsidP="00F22AE2">
      <w:pPr>
        <w:widowControl w:val="0"/>
        <w:autoSpaceDE w:val="0"/>
        <w:autoSpaceDN w:val="0"/>
        <w:adjustRightInd w:val="0"/>
        <w:spacing w:line="276" w:lineRule="auto"/>
        <w:ind w:firstLine="0"/>
        <w:jc w:val="center"/>
        <w:rPr>
          <w:rFonts w:ascii="Tahoma" w:hAnsi="Tahoma" w:cs="Tahoma"/>
          <w:b/>
          <w:sz w:val="24"/>
          <w:szCs w:val="24"/>
        </w:rPr>
      </w:pPr>
      <w:r w:rsidRPr="00F22AE2">
        <w:rPr>
          <w:rFonts w:ascii="Tahoma" w:hAnsi="Tahoma" w:cs="Tahoma"/>
          <w:b/>
          <w:sz w:val="24"/>
          <w:szCs w:val="24"/>
        </w:rPr>
        <w:t>NOTIFÍQUESE Y CÚMPLASE</w:t>
      </w:r>
    </w:p>
    <w:p w14:paraId="550AEB89" w14:textId="77777777" w:rsidR="00F22AE2" w:rsidRPr="00F22AE2" w:rsidRDefault="00F22AE2" w:rsidP="00F22AE2">
      <w:pPr>
        <w:spacing w:line="276" w:lineRule="auto"/>
        <w:ind w:firstLine="0"/>
        <w:rPr>
          <w:rFonts w:ascii="Tahoma" w:eastAsia="Segoe UI" w:hAnsi="Tahoma" w:cs="Tahoma"/>
          <w:sz w:val="24"/>
          <w:szCs w:val="24"/>
          <w:lang w:val="es-CO" w:eastAsia="es-CO"/>
        </w:rPr>
      </w:pPr>
    </w:p>
    <w:p w14:paraId="1EFAD78A" w14:textId="77777777" w:rsidR="00F22AE2" w:rsidRPr="00F22AE2" w:rsidRDefault="00F22AE2" w:rsidP="00F22AE2">
      <w:pPr>
        <w:widowControl w:val="0"/>
        <w:autoSpaceDE w:val="0"/>
        <w:autoSpaceDN w:val="0"/>
        <w:adjustRightInd w:val="0"/>
        <w:spacing w:line="276" w:lineRule="auto"/>
        <w:ind w:firstLine="0"/>
        <w:rPr>
          <w:rFonts w:ascii="Tahoma" w:eastAsia="Times New Roman" w:hAnsi="Tahoma" w:cs="Tahoma"/>
          <w:sz w:val="24"/>
          <w:szCs w:val="24"/>
          <w:lang w:eastAsia="es-ES"/>
        </w:rPr>
      </w:pPr>
      <w:r w:rsidRPr="00F22AE2">
        <w:rPr>
          <w:rFonts w:ascii="Tahoma" w:eastAsia="Times New Roman" w:hAnsi="Tahoma" w:cs="Tahoma"/>
          <w:sz w:val="24"/>
          <w:szCs w:val="24"/>
          <w:lang w:eastAsia="es-ES"/>
        </w:rPr>
        <w:tab/>
        <w:t>La Magistrada ponente,</w:t>
      </w:r>
    </w:p>
    <w:p w14:paraId="182B8AC6" w14:textId="77777777" w:rsidR="00F22AE2" w:rsidRPr="00F22AE2" w:rsidRDefault="00F22AE2" w:rsidP="00F22AE2">
      <w:pPr>
        <w:spacing w:line="276" w:lineRule="auto"/>
        <w:ind w:firstLine="0"/>
        <w:jc w:val="left"/>
        <w:rPr>
          <w:rFonts w:ascii="Tahoma" w:eastAsia="Times New Roman" w:hAnsi="Tahoma" w:cs="Tahoma"/>
          <w:sz w:val="24"/>
          <w:szCs w:val="24"/>
          <w:lang w:eastAsia="es-ES"/>
        </w:rPr>
      </w:pPr>
    </w:p>
    <w:p w14:paraId="597785E6" w14:textId="77777777" w:rsidR="00F22AE2" w:rsidRPr="00F22AE2" w:rsidRDefault="00F22AE2" w:rsidP="00F22AE2">
      <w:pPr>
        <w:spacing w:line="276" w:lineRule="auto"/>
        <w:ind w:firstLine="0"/>
        <w:jc w:val="left"/>
        <w:rPr>
          <w:rFonts w:ascii="Tahoma" w:eastAsia="Times New Roman" w:hAnsi="Tahoma" w:cs="Tahoma"/>
          <w:sz w:val="24"/>
          <w:szCs w:val="24"/>
          <w:lang w:eastAsia="es-ES"/>
        </w:rPr>
      </w:pPr>
    </w:p>
    <w:p w14:paraId="5958BCB1" w14:textId="77777777" w:rsidR="00F22AE2" w:rsidRPr="00F22AE2" w:rsidRDefault="00F22AE2" w:rsidP="00F22AE2">
      <w:pPr>
        <w:spacing w:line="276" w:lineRule="auto"/>
        <w:ind w:firstLine="0"/>
        <w:jc w:val="left"/>
        <w:rPr>
          <w:rFonts w:ascii="Tahoma" w:eastAsia="Times New Roman" w:hAnsi="Tahoma" w:cs="Tahoma"/>
          <w:sz w:val="24"/>
          <w:szCs w:val="24"/>
          <w:lang w:eastAsia="es-ES"/>
        </w:rPr>
      </w:pPr>
    </w:p>
    <w:p w14:paraId="3C4BC0F8" w14:textId="77777777" w:rsidR="00F22AE2" w:rsidRPr="00F22AE2" w:rsidRDefault="00F22AE2" w:rsidP="00F22AE2">
      <w:pPr>
        <w:keepNext/>
        <w:spacing w:line="276" w:lineRule="auto"/>
        <w:ind w:firstLine="0"/>
        <w:jc w:val="center"/>
        <w:outlineLvl w:val="2"/>
        <w:rPr>
          <w:rFonts w:ascii="Tahoma" w:eastAsia="Times New Roman" w:hAnsi="Tahoma" w:cs="Tahoma"/>
          <w:b/>
          <w:bCs/>
          <w:sz w:val="24"/>
          <w:szCs w:val="24"/>
          <w:lang w:eastAsia="es-ES"/>
        </w:rPr>
      </w:pPr>
      <w:r w:rsidRPr="00F22AE2">
        <w:rPr>
          <w:rFonts w:ascii="Tahoma" w:eastAsia="Times New Roman" w:hAnsi="Tahoma" w:cs="Tahoma"/>
          <w:b/>
          <w:bCs/>
          <w:sz w:val="24"/>
          <w:szCs w:val="24"/>
          <w:lang w:eastAsia="es-ES"/>
        </w:rPr>
        <w:t>ANA LUCÍA CAICEDO CALDERÓN</w:t>
      </w:r>
    </w:p>
    <w:p w14:paraId="4136CECC" w14:textId="77777777" w:rsidR="00F22AE2" w:rsidRPr="00F22AE2" w:rsidRDefault="00F22AE2" w:rsidP="00F22AE2">
      <w:pPr>
        <w:spacing w:line="276" w:lineRule="auto"/>
        <w:ind w:firstLine="0"/>
        <w:jc w:val="left"/>
        <w:rPr>
          <w:rFonts w:ascii="Tahoma" w:eastAsia="Times New Roman" w:hAnsi="Tahoma" w:cs="Tahoma"/>
          <w:sz w:val="24"/>
          <w:szCs w:val="24"/>
          <w:lang w:eastAsia="es-ES"/>
        </w:rPr>
      </w:pPr>
    </w:p>
    <w:p w14:paraId="6EA846BE" w14:textId="77777777" w:rsidR="00F22AE2" w:rsidRPr="00F22AE2" w:rsidRDefault="00F22AE2" w:rsidP="00F22AE2">
      <w:pPr>
        <w:spacing w:line="276" w:lineRule="auto"/>
        <w:ind w:firstLine="708"/>
        <w:jc w:val="left"/>
        <w:rPr>
          <w:rFonts w:ascii="Tahoma" w:eastAsia="Times New Roman" w:hAnsi="Tahoma" w:cs="Tahoma"/>
          <w:sz w:val="24"/>
          <w:szCs w:val="24"/>
          <w:lang w:eastAsia="es-ES"/>
        </w:rPr>
      </w:pPr>
      <w:bookmarkStart w:id="6" w:name="_Hlk62478330"/>
      <w:r w:rsidRPr="00F22AE2">
        <w:rPr>
          <w:rFonts w:ascii="Tahoma" w:eastAsia="Times New Roman" w:hAnsi="Tahoma" w:cs="Tahoma"/>
          <w:sz w:val="24"/>
          <w:szCs w:val="24"/>
          <w:lang w:eastAsia="es-ES"/>
        </w:rPr>
        <w:t>La Magistrada y el Magistrado,</w:t>
      </w:r>
    </w:p>
    <w:p w14:paraId="48AED0AC" w14:textId="77777777" w:rsidR="00F22AE2" w:rsidRPr="00F22AE2" w:rsidRDefault="00F22AE2" w:rsidP="00F22AE2">
      <w:pPr>
        <w:spacing w:line="276" w:lineRule="auto"/>
        <w:ind w:firstLine="0"/>
        <w:jc w:val="left"/>
        <w:rPr>
          <w:rFonts w:ascii="Tahoma" w:eastAsia="Times New Roman" w:hAnsi="Tahoma" w:cs="Tahoma"/>
          <w:sz w:val="24"/>
          <w:szCs w:val="24"/>
          <w:lang w:eastAsia="es-ES"/>
        </w:rPr>
      </w:pPr>
    </w:p>
    <w:p w14:paraId="758834D1" w14:textId="77777777" w:rsidR="00F22AE2" w:rsidRPr="00F22AE2" w:rsidRDefault="00F22AE2" w:rsidP="00F22AE2">
      <w:pPr>
        <w:spacing w:line="276" w:lineRule="auto"/>
        <w:ind w:firstLine="0"/>
        <w:jc w:val="left"/>
        <w:rPr>
          <w:rFonts w:ascii="Tahoma" w:eastAsia="Times New Roman" w:hAnsi="Tahoma" w:cs="Tahoma"/>
          <w:sz w:val="24"/>
          <w:szCs w:val="24"/>
          <w:lang w:eastAsia="es-ES"/>
        </w:rPr>
      </w:pPr>
    </w:p>
    <w:p w14:paraId="055F2A12" w14:textId="77777777" w:rsidR="00F22AE2" w:rsidRPr="00F22AE2" w:rsidRDefault="00F22AE2" w:rsidP="00F22AE2">
      <w:pPr>
        <w:spacing w:line="276" w:lineRule="auto"/>
        <w:ind w:firstLine="0"/>
        <w:jc w:val="left"/>
        <w:rPr>
          <w:rFonts w:ascii="Tahoma" w:eastAsia="Times New Roman" w:hAnsi="Tahoma" w:cs="Tahoma"/>
          <w:sz w:val="24"/>
          <w:szCs w:val="24"/>
          <w:lang w:eastAsia="es-ES"/>
        </w:rPr>
      </w:pPr>
    </w:p>
    <w:p w14:paraId="2DF9830F" w14:textId="05E89122" w:rsidR="00CE5BB7" w:rsidRPr="00F22AE2" w:rsidRDefault="00F22AE2" w:rsidP="00F22AE2">
      <w:pPr>
        <w:spacing w:line="276" w:lineRule="auto"/>
        <w:ind w:firstLine="0"/>
        <w:rPr>
          <w:rFonts w:ascii="Tahoma" w:eastAsia="Times New Roman" w:hAnsi="Tahoma" w:cs="Tahoma"/>
          <w:b/>
          <w:bCs/>
          <w:sz w:val="24"/>
          <w:szCs w:val="24"/>
          <w:lang w:eastAsia="es-ES"/>
        </w:rPr>
      </w:pPr>
      <w:r w:rsidRPr="00F22AE2">
        <w:rPr>
          <w:rFonts w:ascii="Tahoma" w:eastAsia="Times New Roman" w:hAnsi="Tahoma" w:cs="Tahoma"/>
          <w:b/>
          <w:bCs/>
          <w:sz w:val="24"/>
          <w:szCs w:val="24"/>
          <w:lang w:eastAsia="es-ES"/>
        </w:rPr>
        <w:t>OLGA LUCÍA HOYOS SEPÚLVEDA</w:t>
      </w:r>
      <w:r w:rsidRPr="00F22AE2">
        <w:rPr>
          <w:rFonts w:ascii="Tahoma" w:eastAsia="Times New Roman" w:hAnsi="Tahoma" w:cs="Tahoma"/>
          <w:b/>
          <w:bCs/>
          <w:sz w:val="24"/>
          <w:szCs w:val="24"/>
          <w:lang w:eastAsia="es-ES"/>
        </w:rPr>
        <w:tab/>
      </w:r>
      <w:r w:rsidRPr="00F22AE2">
        <w:rPr>
          <w:rFonts w:ascii="Tahoma" w:eastAsia="Times New Roman" w:hAnsi="Tahoma" w:cs="Tahoma"/>
          <w:b/>
          <w:bCs/>
          <w:sz w:val="24"/>
          <w:szCs w:val="24"/>
          <w:lang w:eastAsia="es-ES"/>
        </w:rPr>
        <w:tab/>
        <w:t>GERMÁN DARÍO GÓEZ VINASCO</w:t>
      </w:r>
      <w:bookmarkStart w:id="7" w:name="_GoBack"/>
      <w:bookmarkEnd w:id="6"/>
      <w:bookmarkEnd w:id="7"/>
    </w:p>
    <w:sectPr w:rsidR="00CE5BB7" w:rsidRPr="00F22AE2" w:rsidSect="006E7EF2">
      <w:headerReference w:type="default" r:id="rId11"/>
      <w:footerReference w:type="default" r:id="rId12"/>
      <w:headerReference w:type="first" r:id="rId13"/>
      <w:footerReference w:type="firs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E13C60" w16cex:dateUtc="2023-06-16T13:51:59.882Z"/>
  <w16cex:commentExtensible w16cex:durableId="0211E88F" w16cex:dateUtc="2023-06-16T16:07:39.753Z"/>
  <w16cex:commentExtensible w16cex:durableId="1D9C4724" w16cex:dateUtc="2023-06-21T13:10:40.349Z"/>
  <w16cex:commentExtensible w16cex:durableId="334418E1" w16cex:dateUtc="2023-06-22T20:14:06.0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2FDE" w14:textId="77777777" w:rsidR="00951FDD" w:rsidRDefault="00951FDD" w:rsidP="001C5C55">
      <w:pPr>
        <w:spacing w:line="240" w:lineRule="auto"/>
      </w:pPr>
      <w:r>
        <w:separator/>
      </w:r>
    </w:p>
  </w:endnote>
  <w:endnote w:type="continuationSeparator" w:id="0">
    <w:p w14:paraId="6EEE7E76" w14:textId="77777777" w:rsidR="00951FDD" w:rsidRDefault="00951FDD"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6B89C87B" w:rsidR="00602AD7" w:rsidRPr="007951BA" w:rsidRDefault="006C1CA4">
        <w:pPr>
          <w:pStyle w:val="Piedepgina"/>
          <w:jc w:val="right"/>
          <w:rPr>
            <w:rFonts w:ascii="Arial" w:eastAsia="Times New Roman" w:hAnsi="Arial" w:cs="Arial"/>
            <w:sz w:val="18"/>
            <w:szCs w:val="18"/>
            <w:lang w:eastAsia="es-ES"/>
          </w:rPr>
        </w:pPr>
        <w:r w:rsidRPr="007951BA">
          <w:rPr>
            <w:rFonts w:ascii="Arial" w:eastAsia="Times New Roman" w:hAnsi="Arial" w:cs="Arial"/>
            <w:sz w:val="18"/>
            <w:szCs w:val="18"/>
            <w:lang w:eastAsia="es-ES"/>
          </w:rPr>
          <w:fldChar w:fldCharType="begin"/>
        </w:r>
        <w:r w:rsidRPr="007951BA">
          <w:rPr>
            <w:rFonts w:ascii="Arial" w:eastAsia="Times New Roman" w:hAnsi="Arial" w:cs="Arial"/>
            <w:sz w:val="18"/>
            <w:szCs w:val="18"/>
            <w:lang w:eastAsia="es-ES"/>
          </w:rPr>
          <w:instrText>PAGE   \* MERGEFORMAT</w:instrText>
        </w:r>
        <w:r w:rsidRPr="007951BA">
          <w:rPr>
            <w:rFonts w:ascii="Arial" w:eastAsia="Times New Roman" w:hAnsi="Arial" w:cs="Arial"/>
            <w:sz w:val="18"/>
            <w:szCs w:val="18"/>
            <w:lang w:eastAsia="es-ES"/>
          </w:rPr>
          <w:fldChar w:fldCharType="separate"/>
        </w:r>
        <w:r w:rsidR="0086460F" w:rsidRPr="007951BA">
          <w:rPr>
            <w:rFonts w:ascii="Arial" w:eastAsia="Times New Roman" w:hAnsi="Arial" w:cs="Arial"/>
            <w:sz w:val="18"/>
            <w:szCs w:val="18"/>
            <w:lang w:eastAsia="es-ES"/>
          </w:rPr>
          <w:t>11</w:t>
        </w:r>
        <w:r w:rsidRPr="007951BA">
          <w:rPr>
            <w:rFonts w:ascii="Arial" w:eastAsia="Times New Roman" w:hAnsi="Arial" w:cs="Arial"/>
            <w:sz w:val="18"/>
            <w:szCs w:val="18"/>
            <w:lang w:eastAsia="es-E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7FD3B596" w14:paraId="50BD1017" w14:textId="77777777" w:rsidTr="7FD3B596">
      <w:trPr>
        <w:trHeight w:val="300"/>
      </w:trPr>
      <w:tc>
        <w:tcPr>
          <w:tcW w:w="3135" w:type="dxa"/>
        </w:tcPr>
        <w:p w14:paraId="1EBDC8C5" w14:textId="02EF219A" w:rsidR="7FD3B596" w:rsidRDefault="7FD3B596" w:rsidP="7FD3B596">
          <w:pPr>
            <w:pStyle w:val="Encabezado"/>
            <w:ind w:left="-115"/>
            <w:jc w:val="left"/>
          </w:pPr>
        </w:p>
      </w:tc>
      <w:tc>
        <w:tcPr>
          <w:tcW w:w="3135" w:type="dxa"/>
        </w:tcPr>
        <w:p w14:paraId="712061DE" w14:textId="0D6815C2" w:rsidR="7FD3B596" w:rsidRDefault="7FD3B596" w:rsidP="7FD3B596">
          <w:pPr>
            <w:pStyle w:val="Encabezado"/>
            <w:jc w:val="center"/>
          </w:pPr>
        </w:p>
      </w:tc>
      <w:tc>
        <w:tcPr>
          <w:tcW w:w="3135" w:type="dxa"/>
        </w:tcPr>
        <w:p w14:paraId="67D38D15" w14:textId="7A1407FB" w:rsidR="7FD3B596" w:rsidRDefault="7FD3B596" w:rsidP="7FD3B596">
          <w:pPr>
            <w:pStyle w:val="Encabezado"/>
            <w:ind w:right="-115"/>
            <w:jc w:val="right"/>
          </w:pPr>
        </w:p>
      </w:tc>
    </w:tr>
  </w:tbl>
  <w:p w14:paraId="56F5B207" w14:textId="24B4CDBA" w:rsidR="7FD3B596" w:rsidRDefault="7FD3B596" w:rsidP="7FD3B5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E3AC" w14:textId="77777777" w:rsidR="00951FDD" w:rsidRDefault="00951FDD" w:rsidP="001C5C55">
      <w:pPr>
        <w:spacing w:line="240" w:lineRule="auto"/>
      </w:pPr>
      <w:r>
        <w:separator/>
      </w:r>
    </w:p>
  </w:footnote>
  <w:footnote w:type="continuationSeparator" w:id="0">
    <w:p w14:paraId="5BBF968F" w14:textId="77777777" w:rsidR="00951FDD" w:rsidRDefault="00951FDD" w:rsidP="001C5C55">
      <w:pPr>
        <w:spacing w:line="240" w:lineRule="auto"/>
      </w:pPr>
      <w:r>
        <w:continuationSeparator/>
      </w:r>
    </w:p>
  </w:footnote>
  <w:footnote w:id="1">
    <w:p w14:paraId="4478BB6F" w14:textId="65F20194" w:rsidR="00045AC2" w:rsidRPr="007951BA" w:rsidRDefault="00045AC2" w:rsidP="007951BA">
      <w:pPr>
        <w:pStyle w:val="Textonotapie"/>
        <w:ind w:firstLine="0"/>
        <w:rPr>
          <w:rFonts w:ascii="Arial" w:hAnsi="Arial" w:cs="Arial"/>
          <w:sz w:val="18"/>
        </w:rPr>
      </w:pPr>
      <w:r w:rsidRPr="007951BA">
        <w:rPr>
          <w:rStyle w:val="Refdenotaalpie"/>
          <w:rFonts w:ascii="Arial" w:hAnsi="Arial" w:cs="Arial"/>
          <w:sz w:val="18"/>
        </w:rPr>
        <w:footnoteRef/>
      </w:r>
      <w:r w:rsidRPr="007951BA">
        <w:rPr>
          <w:rFonts w:ascii="Arial" w:hAnsi="Arial" w:cs="Arial"/>
          <w:sz w:val="18"/>
        </w:rPr>
        <w:t xml:space="preserve"> Archivo 25 cuaderno de primera instancia.</w:t>
      </w:r>
    </w:p>
  </w:footnote>
  <w:footnote w:id="2">
    <w:p w14:paraId="20A5D42D" w14:textId="2749FFC7" w:rsidR="00657823" w:rsidRPr="007951BA" w:rsidRDefault="00657823" w:rsidP="007951BA">
      <w:pPr>
        <w:pStyle w:val="Textonotapie"/>
        <w:ind w:firstLine="0"/>
        <w:rPr>
          <w:rFonts w:ascii="Arial" w:hAnsi="Arial" w:cs="Arial"/>
          <w:sz w:val="18"/>
        </w:rPr>
      </w:pPr>
      <w:r w:rsidRPr="007951BA">
        <w:rPr>
          <w:rStyle w:val="Refdenotaalpie"/>
          <w:rFonts w:ascii="Arial" w:hAnsi="Arial" w:cs="Arial"/>
          <w:sz w:val="18"/>
        </w:rPr>
        <w:footnoteRef/>
      </w:r>
      <w:r w:rsidRPr="007951BA">
        <w:rPr>
          <w:rFonts w:ascii="Arial" w:hAnsi="Arial" w:cs="Arial"/>
          <w:sz w:val="18"/>
        </w:rPr>
        <w:t xml:space="preserve"> Archivo 25 cuaderno de primera instancia.</w:t>
      </w:r>
    </w:p>
  </w:footnote>
  <w:footnote w:id="3">
    <w:p w14:paraId="02530AB7" w14:textId="2403A6D1" w:rsidR="00DF0D69" w:rsidRPr="007951BA" w:rsidRDefault="00DF0D69" w:rsidP="007951BA">
      <w:pPr>
        <w:pStyle w:val="Textonotapie"/>
        <w:ind w:firstLine="0"/>
        <w:rPr>
          <w:rFonts w:ascii="Arial" w:hAnsi="Arial" w:cs="Arial"/>
          <w:sz w:val="18"/>
        </w:rPr>
      </w:pPr>
      <w:r w:rsidRPr="007951BA">
        <w:rPr>
          <w:rStyle w:val="Refdenotaalpie"/>
          <w:rFonts w:ascii="Arial" w:hAnsi="Arial" w:cs="Arial"/>
          <w:sz w:val="18"/>
        </w:rPr>
        <w:footnoteRef/>
      </w:r>
      <w:r w:rsidRPr="007951BA">
        <w:rPr>
          <w:rFonts w:ascii="Arial" w:hAnsi="Arial" w:cs="Arial"/>
          <w:sz w:val="18"/>
        </w:rPr>
        <w:t xml:space="preserve"> Archivo 27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1FB6" w14:textId="632FCC55" w:rsidR="00E33AF5" w:rsidRPr="007951BA" w:rsidRDefault="00E33AF5" w:rsidP="00E33AF5">
    <w:pPr>
      <w:pStyle w:val="NormalWeb"/>
      <w:spacing w:before="0" w:beforeAutospacing="0" w:after="0" w:afterAutospacing="0"/>
      <w:jc w:val="both"/>
      <w:rPr>
        <w:rFonts w:ascii="Arial" w:hAnsi="Arial" w:cs="Arial"/>
        <w:sz w:val="18"/>
        <w:szCs w:val="18"/>
      </w:rPr>
    </w:pPr>
    <w:r w:rsidRPr="007951BA">
      <w:rPr>
        <w:rFonts w:ascii="Arial" w:hAnsi="Arial" w:cs="Arial"/>
        <w:sz w:val="18"/>
        <w:szCs w:val="18"/>
      </w:rPr>
      <w:t>Radicación No.:</w:t>
    </w:r>
    <w:r w:rsidR="007951BA">
      <w:rPr>
        <w:rFonts w:ascii="Arial" w:hAnsi="Arial" w:cs="Arial"/>
        <w:sz w:val="18"/>
        <w:szCs w:val="18"/>
      </w:rPr>
      <w:tab/>
    </w:r>
    <w:r w:rsidRPr="007951BA">
      <w:rPr>
        <w:rFonts w:ascii="Arial" w:hAnsi="Arial" w:cs="Arial"/>
        <w:sz w:val="18"/>
        <w:szCs w:val="18"/>
      </w:rPr>
      <w:t>66001-31-05-005-2019-00298-01</w:t>
    </w:r>
  </w:p>
  <w:p w14:paraId="581BB096" w14:textId="2213DDE4" w:rsidR="00E33AF5" w:rsidRPr="007951BA" w:rsidRDefault="00E33AF5" w:rsidP="00E33AF5">
    <w:pPr>
      <w:pStyle w:val="NormalWeb"/>
      <w:spacing w:before="0" w:beforeAutospacing="0" w:after="0" w:afterAutospacing="0"/>
      <w:jc w:val="both"/>
      <w:rPr>
        <w:rFonts w:ascii="Arial" w:hAnsi="Arial" w:cs="Arial"/>
        <w:sz w:val="18"/>
        <w:szCs w:val="18"/>
      </w:rPr>
    </w:pPr>
    <w:r w:rsidRPr="007951BA">
      <w:rPr>
        <w:rFonts w:ascii="Arial" w:hAnsi="Arial" w:cs="Arial"/>
        <w:sz w:val="18"/>
        <w:szCs w:val="18"/>
      </w:rPr>
      <w:t>Demandante:</w:t>
    </w:r>
    <w:r w:rsidRPr="007951BA">
      <w:rPr>
        <w:rFonts w:ascii="Arial" w:hAnsi="Arial" w:cs="Arial"/>
        <w:sz w:val="18"/>
        <w:szCs w:val="18"/>
      </w:rPr>
      <w:tab/>
      <w:t>Genaro Rosales Sepúlveda</w:t>
    </w:r>
  </w:p>
  <w:p w14:paraId="6611EFB4" w14:textId="4244456F" w:rsidR="00544E08" w:rsidRPr="007951BA" w:rsidRDefault="00E33AF5" w:rsidP="00DB7E85">
    <w:pPr>
      <w:pStyle w:val="NormalWeb"/>
      <w:spacing w:before="0" w:beforeAutospacing="0" w:after="0" w:afterAutospacing="0"/>
      <w:jc w:val="both"/>
      <w:rPr>
        <w:rFonts w:ascii="Arial" w:hAnsi="Arial" w:cs="Arial"/>
        <w:sz w:val="18"/>
        <w:szCs w:val="18"/>
      </w:rPr>
    </w:pPr>
    <w:r w:rsidRPr="007951BA">
      <w:rPr>
        <w:rFonts w:ascii="Arial" w:hAnsi="Arial" w:cs="Arial"/>
        <w:sz w:val="18"/>
        <w:szCs w:val="18"/>
      </w:rPr>
      <w:t>Demandado:</w:t>
    </w:r>
    <w:r w:rsidRPr="007951BA">
      <w:rPr>
        <w:rFonts w:ascii="Arial" w:hAnsi="Arial" w:cs="Arial"/>
        <w:sz w:val="18"/>
        <w:szCs w:val="18"/>
      </w:rPr>
      <w:tab/>
      <w:t>Colpensiones y otros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7FD3B596" w14:paraId="4FAC0378" w14:textId="77777777" w:rsidTr="7FD3B596">
      <w:trPr>
        <w:trHeight w:val="300"/>
      </w:trPr>
      <w:tc>
        <w:tcPr>
          <w:tcW w:w="3135" w:type="dxa"/>
        </w:tcPr>
        <w:p w14:paraId="5D1FD285" w14:textId="2F94137A" w:rsidR="7FD3B596" w:rsidRDefault="7FD3B596" w:rsidP="7FD3B596">
          <w:pPr>
            <w:pStyle w:val="Encabezado"/>
            <w:ind w:left="-115"/>
            <w:jc w:val="left"/>
          </w:pPr>
        </w:p>
      </w:tc>
      <w:tc>
        <w:tcPr>
          <w:tcW w:w="3135" w:type="dxa"/>
        </w:tcPr>
        <w:p w14:paraId="2D771019" w14:textId="585FF4F7" w:rsidR="7FD3B596" w:rsidRDefault="7FD3B596" w:rsidP="7FD3B596">
          <w:pPr>
            <w:pStyle w:val="Encabezado"/>
            <w:jc w:val="center"/>
          </w:pPr>
        </w:p>
      </w:tc>
      <w:tc>
        <w:tcPr>
          <w:tcW w:w="3135" w:type="dxa"/>
        </w:tcPr>
        <w:p w14:paraId="04064B30" w14:textId="689A954E" w:rsidR="7FD3B596" w:rsidRDefault="7FD3B596" w:rsidP="7FD3B596">
          <w:pPr>
            <w:pStyle w:val="Encabezado"/>
            <w:ind w:right="-115"/>
            <w:jc w:val="right"/>
          </w:pPr>
        </w:p>
      </w:tc>
    </w:tr>
  </w:tbl>
  <w:p w14:paraId="1041D446" w14:textId="779FC97B" w:rsidR="7FD3B596" w:rsidRDefault="7FD3B596" w:rsidP="7FD3B5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4405"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5A8C"/>
    <w:rsid w:val="00005D87"/>
    <w:rsid w:val="0000686E"/>
    <w:rsid w:val="0001123B"/>
    <w:rsid w:val="000142FC"/>
    <w:rsid w:val="00017E18"/>
    <w:rsid w:val="000224A2"/>
    <w:rsid w:val="000257B5"/>
    <w:rsid w:val="000277FA"/>
    <w:rsid w:val="000362E9"/>
    <w:rsid w:val="00036566"/>
    <w:rsid w:val="00036A4A"/>
    <w:rsid w:val="00037109"/>
    <w:rsid w:val="00040327"/>
    <w:rsid w:val="000439EB"/>
    <w:rsid w:val="00045AC2"/>
    <w:rsid w:val="00047BED"/>
    <w:rsid w:val="00062A9C"/>
    <w:rsid w:val="00065018"/>
    <w:rsid w:val="00083AA6"/>
    <w:rsid w:val="000860F6"/>
    <w:rsid w:val="000A4152"/>
    <w:rsid w:val="000B0BA2"/>
    <w:rsid w:val="000B0D54"/>
    <w:rsid w:val="000B7630"/>
    <w:rsid w:val="000C29B4"/>
    <w:rsid w:val="000C3829"/>
    <w:rsid w:val="000C41A1"/>
    <w:rsid w:val="000C5AC7"/>
    <w:rsid w:val="000D0C58"/>
    <w:rsid w:val="000D1266"/>
    <w:rsid w:val="000D62E9"/>
    <w:rsid w:val="000D76AA"/>
    <w:rsid w:val="000D7E90"/>
    <w:rsid w:val="000E02D9"/>
    <w:rsid w:val="000E4759"/>
    <w:rsid w:val="000F4167"/>
    <w:rsid w:val="000F5253"/>
    <w:rsid w:val="000F53E9"/>
    <w:rsid w:val="000F5A2F"/>
    <w:rsid w:val="000F7327"/>
    <w:rsid w:val="000F756E"/>
    <w:rsid w:val="000F795D"/>
    <w:rsid w:val="00100632"/>
    <w:rsid w:val="00104287"/>
    <w:rsid w:val="00105E6A"/>
    <w:rsid w:val="00107C35"/>
    <w:rsid w:val="00111A98"/>
    <w:rsid w:val="00116069"/>
    <w:rsid w:val="0012025D"/>
    <w:rsid w:val="00122A22"/>
    <w:rsid w:val="00124E24"/>
    <w:rsid w:val="0012615C"/>
    <w:rsid w:val="0013340A"/>
    <w:rsid w:val="001364A3"/>
    <w:rsid w:val="001428A3"/>
    <w:rsid w:val="001459B4"/>
    <w:rsid w:val="0015529B"/>
    <w:rsid w:val="00157CF9"/>
    <w:rsid w:val="00164C30"/>
    <w:rsid w:val="001754FB"/>
    <w:rsid w:val="00183876"/>
    <w:rsid w:val="00184BE9"/>
    <w:rsid w:val="00185B8D"/>
    <w:rsid w:val="0019035D"/>
    <w:rsid w:val="00196DDD"/>
    <w:rsid w:val="001A39D6"/>
    <w:rsid w:val="001A5027"/>
    <w:rsid w:val="001A667D"/>
    <w:rsid w:val="001B13FA"/>
    <w:rsid w:val="001B1538"/>
    <w:rsid w:val="001B2D19"/>
    <w:rsid w:val="001B5D41"/>
    <w:rsid w:val="001B7BCF"/>
    <w:rsid w:val="001C3BB7"/>
    <w:rsid w:val="001C5C55"/>
    <w:rsid w:val="001D10AD"/>
    <w:rsid w:val="001D29A7"/>
    <w:rsid w:val="001D3C29"/>
    <w:rsid w:val="001D7216"/>
    <w:rsid w:val="001E1C03"/>
    <w:rsid w:val="001F44A0"/>
    <w:rsid w:val="00204621"/>
    <w:rsid w:val="00210641"/>
    <w:rsid w:val="00221375"/>
    <w:rsid w:val="002267CE"/>
    <w:rsid w:val="00246C58"/>
    <w:rsid w:val="00251EEC"/>
    <w:rsid w:val="002528ED"/>
    <w:rsid w:val="00257723"/>
    <w:rsid w:val="00262A45"/>
    <w:rsid w:val="0026352C"/>
    <w:rsid w:val="00265407"/>
    <w:rsid w:val="00270192"/>
    <w:rsid w:val="0027673C"/>
    <w:rsid w:val="0028098E"/>
    <w:rsid w:val="002830A1"/>
    <w:rsid w:val="0028350C"/>
    <w:rsid w:val="0028790E"/>
    <w:rsid w:val="002A016E"/>
    <w:rsid w:val="002A3355"/>
    <w:rsid w:val="002A3C3E"/>
    <w:rsid w:val="002A4927"/>
    <w:rsid w:val="002A5771"/>
    <w:rsid w:val="002B0215"/>
    <w:rsid w:val="002C0A58"/>
    <w:rsid w:val="002C5830"/>
    <w:rsid w:val="002D2153"/>
    <w:rsid w:val="002D4D75"/>
    <w:rsid w:val="002E43B1"/>
    <w:rsid w:val="002E7149"/>
    <w:rsid w:val="002F2E9B"/>
    <w:rsid w:val="002F4390"/>
    <w:rsid w:val="002F4948"/>
    <w:rsid w:val="002F4F71"/>
    <w:rsid w:val="0030061A"/>
    <w:rsid w:val="00301AE8"/>
    <w:rsid w:val="00301F81"/>
    <w:rsid w:val="00302FB8"/>
    <w:rsid w:val="0030550E"/>
    <w:rsid w:val="00311548"/>
    <w:rsid w:val="00314B3C"/>
    <w:rsid w:val="003166F5"/>
    <w:rsid w:val="003228DF"/>
    <w:rsid w:val="00323328"/>
    <w:rsid w:val="00324DDD"/>
    <w:rsid w:val="0032533C"/>
    <w:rsid w:val="0032634B"/>
    <w:rsid w:val="00326C45"/>
    <w:rsid w:val="00335E4B"/>
    <w:rsid w:val="0034475D"/>
    <w:rsid w:val="00345B5A"/>
    <w:rsid w:val="00350AF8"/>
    <w:rsid w:val="00351197"/>
    <w:rsid w:val="00352C0D"/>
    <w:rsid w:val="00355DD1"/>
    <w:rsid w:val="00356284"/>
    <w:rsid w:val="0035645A"/>
    <w:rsid w:val="003616D4"/>
    <w:rsid w:val="00361E6E"/>
    <w:rsid w:val="00363160"/>
    <w:rsid w:val="00364B69"/>
    <w:rsid w:val="00366C21"/>
    <w:rsid w:val="00367CF8"/>
    <w:rsid w:val="00372118"/>
    <w:rsid w:val="0038167C"/>
    <w:rsid w:val="00385DFE"/>
    <w:rsid w:val="00390068"/>
    <w:rsid w:val="00390792"/>
    <w:rsid w:val="0039119E"/>
    <w:rsid w:val="00391C11"/>
    <w:rsid w:val="00392D5B"/>
    <w:rsid w:val="003A0CDB"/>
    <w:rsid w:val="003A3C61"/>
    <w:rsid w:val="003B3515"/>
    <w:rsid w:val="003B6AFE"/>
    <w:rsid w:val="003C279F"/>
    <w:rsid w:val="003C2E4C"/>
    <w:rsid w:val="003C3A38"/>
    <w:rsid w:val="003C3D7B"/>
    <w:rsid w:val="003C4B26"/>
    <w:rsid w:val="003C5270"/>
    <w:rsid w:val="003C5A63"/>
    <w:rsid w:val="003D2759"/>
    <w:rsid w:val="003D2B73"/>
    <w:rsid w:val="003D4E64"/>
    <w:rsid w:val="003D6BE0"/>
    <w:rsid w:val="003E228C"/>
    <w:rsid w:val="003E4C29"/>
    <w:rsid w:val="003E530E"/>
    <w:rsid w:val="003F1464"/>
    <w:rsid w:val="003F41BC"/>
    <w:rsid w:val="00404E45"/>
    <w:rsid w:val="004058D9"/>
    <w:rsid w:val="00405CE8"/>
    <w:rsid w:val="00412A69"/>
    <w:rsid w:val="00417207"/>
    <w:rsid w:val="00423DFB"/>
    <w:rsid w:val="00426CFA"/>
    <w:rsid w:val="004277EA"/>
    <w:rsid w:val="0043233B"/>
    <w:rsid w:val="00433C8B"/>
    <w:rsid w:val="00435828"/>
    <w:rsid w:val="00436A8B"/>
    <w:rsid w:val="0044364A"/>
    <w:rsid w:val="00445596"/>
    <w:rsid w:val="0044754C"/>
    <w:rsid w:val="004477F3"/>
    <w:rsid w:val="00450CAB"/>
    <w:rsid w:val="00452DAE"/>
    <w:rsid w:val="0045422F"/>
    <w:rsid w:val="004553DB"/>
    <w:rsid w:val="00461C16"/>
    <w:rsid w:val="00464B56"/>
    <w:rsid w:val="004662C3"/>
    <w:rsid w:val="00470C75"/>
    <w:rsid w:val="00474B14"/>
    <w:rsid w:val="004762DA"/>
    <w:rsid w:val="00476C27"/>
    <w:rsid w:val="00484FFB"/>
    <w:rsid w:val="00487BE2"/>
    <w:rsid w:val="004922F9"/>
    <w:rsid w:val="00492502"/>
    <w:rsid w:val="00495F3C"/>
    <w:rsid w:val="004A23C1"/>
    <w:rsid w:val="004A6384"/>
    <w:rsid w:val="004A6EC3"/>
    <w:rsid w:val="004B57D0"/>
    <w:rsid w:val="004B594A"/>
    <w:rsid w:val="004C1506"/>
    <w:rsid w:val="004C20CB"/>
    <w:rsid w:val="004C620A"/>
    <w:rsid w:val="004D0AEA"/>
    <w:rsid w:val="004D41D5"/>
    <w:rsid w:val="004D7537"/>
    <w:rsid w:val="004E03F2"/>
    <w:rsid w:val="004E1066"/>
    <w:rsid w:val="004E3A9E"/>
    <w:rsid w:val="004E6432"/>
    <w:rsid w:val="004F014C"/>
    <w:rsid w:val="004F1B4A"/>
    <w:rsid w:val="004F57F4"/>
    <w:rsid w:val="00501E4E"/>
    <w:rsid w:val="00502F6C"/>
    <w:rsid w:val="00511128"/>
    <w:rsid w:val="0051137B"/>
    <w:rsid w:val="005135AD"/>
    <w:rsid w:val="005140A1"/>
    <w:rsid w:val="00517B6E"/>
    <w:rsid w:val="00521D06"/>
    <w:rsid w:val="00526055"/>
    <w:rsid w:val="00526989"/>
    <w:rsid w:val="00531F87"/>
    <w:rsid w:val="00535CB8"/>
    <w:rsid w:val="00535EDC"/>
    <w:rsid w:val="00537FD3"/>
    <w:rsid w:val="00544E08"/>
    <w:rsid w:val="005500AD"/>
    <w:rsid w:val="00557579"/>
    <w:rsid w:val="00570C35"/>
    <w:rsid w:val="00571A5E"/>
    <w:rsid w:val="0057707E"/>
    <w:rsid w:val="00582104"/>
    <w:rsid w:val="005830AE"/>
    <w:rsid w:val="005942E7"/>
    <w:rsid w:val="00596B5E"/>
    <w:rsid w:val="005A4F60"/>
    <w:rsid w:val="005A518F"/>
    <w:rsid w:val="005B00AE"/>
    <w:rsid w:val="005B2EAC"/>
    <w:rsid w:val="005B4337"/>
    <w:rsid w:val="005B4793"/>
    <w:rsid w:val="005B5980"/>
    <w:rsid w:val="005B6980"/>
    <w:rsid w:val="005B788F"/>
    <w:rsid w:val="005B7A03"/>
    <w:rsid w:val="005C01F3"/>
    <w:rsid w:val="005C0518"/>
    <w:rsid w:val="005C1484"/>
    <w:rsid w:val="005C6145"/>
    <w:rsid w:val="005D55DB"/>
    <w:rsid w:val="005D63D2"/>
    <w:rsid w:val="005F1CAB"/>
    <w:rsid w:val="005F1D5F"/>
    <w:rsid w:val="005F4AA0"/>
    <w:rsid w:val="005F4EE1"/>
    <w:rsid w:val="005F64F7"/>
    <w:rsid w:val="005F70A6"/>
    <w:rsid w:val="005F7684"/>
    <w:rsid w:val="00600D0A"/>
    <w:rsid w:val="00603C1D"/>
    <w:rsid w:val="00610984"/>
    <w:rsid w:val="006123FA"/>
    <w:rsid w:val="006150A1"/>
    <w:rsid w:val="00615AA7"/>
    <w:rsid w:val="00620CBB"/>
    <w:rsid w:val="00623158"/>
    <w:rsid w:val="00625F92"/>
    <w:rsid w:val="00626C30"/>
    <w:rsid w:val="006332EC"/>
    <w:rsid w:val="00634CA0"/>
    <w:rsid w:val="00637C49"/>
    <w:rsid w:val="00640254"/>
    <w:rsid w:val="006406BC"/>
    <w:rsid w:val="00641CF1"/>
    <w:rsid w:val="006455A1"/>
    <w:rsid w:val="00650BD6"/>
    <w:rsid w:val="00652042"/>
    <w:rsid w:val="006570B0"/>
    <w:rsid w:val="00657823"/>
    <w:rsid w:val="00660482"/>
    <w:rsid w:val="006614D4"/>
    <w:rsid w:val="00662E3D"/>
    <w:rsid w:val="00664440"/>
    <w:rsid w:val="006674C3"/>
    <w:rsid w:val="00674338"/>
    <w:rsid w:val="006758F7"/>
    <w:rsid w:val="0067720F"/>
    <w:rsid w:val="00680858"/>
    <w:rsid w:val="00683190"/>
    <w:rsid w:val="00686445"/>
    <w:rsid w:val="00687DE4"/>
    <w:rsid w:val="00690BDB"/>
    <w:rsid w:val="0069392E"/>
    <w:rsid w:val="00695D55"/>
    <w:rsid w:val="00695F97"/>
    <w:rsid w:val="00696EF5"/>
    <w:rsid w:val="006A33FC"/>
    <w:rsid w:val="006B3128"/>
    <w:rsid w:val="006B40A4"/>
    <w:rsid w:val="006C1C69"/>
    <w:rsid w:val="006C1CA4"/>
    <w:rsid w:val="006C420C"/>
    <w:rsid w:val="006C45BE"/>
    <w:rsid w:val="006C4BAF"/>
    <w:rsid w:val="006C53DE"/>
    <w:rsid w:val="006D23F4"/>
    <w:rsid w:val="006E1165"/>
    <w:rsid w:val="006E4354"/>
    <w:rsid w:val="006E5A4C"/>
    <w:rsid w:val="006E5CB1"/>
    <w:rsid w:val="006E7EF2"/>
    <w:rsid w:val="006F3AE2"/>
    <w:rsid w:val="006F7A8E"/>
    <w:rsid w:val="007022E7"/>
    <w:rsid w:val="00703932"/>
    <w:rsid w:val="00711B9F"/>
    <w:rsid w:val="00713F17"/>
    <w:rsid w:val="00714427"/>
    <w:rsid w:val="007147C6"/>
    <w:rsid w:val="00722448"/>
    <w:rsid w:val="00722B24"/>
    <w:rsid w:val="00724FC6"/>
    <w:rsid w:val="007266D3"/>
    <w:rsid w:val="007345A0"/>
    <w:rsid w:val="0073792D"/>
    <w:rsid w:val="0074061C"/>
    <w:rsid w:val="0074537E"/>
    <w:rsid w:val="0075190B"/>
    <w:rsid w:val="00754A65"/>
    <w:rsid w:val="00757410"/>
    <w:rsid w:val="007629BB"/>
    <w:rsid w:val="007665E1"/>
    <w:rsid w:val="00766707"/>
    <w:rsid w:val="007733DA"/>
    <w:rsid w:val="00774E01"/>
    <w:rsid w:val="007761D6"/>
    <w:rsid w:val="0078085E"/>
    <w:rsid w:val="00785337"/>
    <w:rsid w:val="007951BA"/>
    <w:rsid w:val="007A1071"/>
    <w:rsid w:val="007A7B6A"/>
    <w:rsid w:val="007B2B3C"/>
    <w:rsid w:val="007B2F62"/>
    <w:rsid w:val="007B6843"/>
    <w:rsid w:val="007C0E48"/>
    <w:rsid w:val="007C5D72"/>
    <w:rsid w:val="007D15EF"/>
    <w:rsid w:val="007D16FA"/>
    <w:rsid w:val="007D2122"/>
    <w:rsid w:val="007D4116"/>
    <w:rsid w:val="007D46C2"/>
    <w:rsid w:val="007D4D80"/>
    <w:rsid w:val="007D5A04"/>
    <w:rsid w:val="007F0EE4"/>
    <w:rsid w:val="007F533D"/>
    <w:rsid w:val="008015A5"/>
    <w:rsid w:val="00803C37"/>
    <w:rsid w:val="00804329"/>
    <w:rsid w:val="008043E4"/>
    <w:rsid w:val="00811C4C"/>
    <w:rsid w:val="00812CF7"/>
    <w:rsid w:val="00816ACC"/>
    <w:rsid w:val="008172B5"/>
    <w:rsid w:val="00817801"/>
    <w:rsid w:val="00826762"/>
    <w:rsid w:val="00826F65"/>
    <w:rsid w:val="00832E72"/>
    <w:rsid w:val="00836043"/>
    <w:rsid w:val="008404E9"/>
    <w:rsid w:val="00846C66"/>
    <w:rsid w:val="0086460F"/>
    <w:rsid w:val="00867D26"/>
    <w:rsid w:val="00872605"/>
    <w:rsid w:val="00873F06"/>
    <w:rsid w:val="00875F98"/>
    <w:rsid w:val="00880CEA"/>
    <w:rsid w:val="0088205F"/>
    <w:rsid w:val="00885DA6"/>
    <w:rsid w:val="00887DAA"/>
    <w:rsid w:val="00890657"/>
    <w:rsid w:val="008A26E7"/>
    <w:rsid w:val="008A65C9"/>
    <w:rsid w:val="008B4CC8"/>
    <w:rsid w:val="008B720E"/>
    <w:rsid w:val="008C03DD"/>
    <w:rsid w:val="008C2C67"/>
    <w:rsid w:val="008C7780"/>
    <w:rsid w:val="008D1D44"/>
    <w:rsid w:val="008D7D9B"/>
    <w:rsid w:val="008E26FD"/>
    <w:rsid w:val="008F1FF4"/>
    <w:rsid w:val="0091046F"/>
    <w:rsid w:val="009134E4"/>
    <w:rsid w:val="0091488B"/>
    <w:rsid w:val="0091658D"/>
    <w:rsid w:val="0092119D"/>
    <w:rsid w:val="00921E59"/>
    <w:rsid w:val="00925750"/>
    <w:rsid w:val="00926121"/>
    <w:rsid w:val="00926BCA"/>
    <w:rsid w:val="0092763E"/>
    <w:rsid w:val="00932D2D"/>
    <w:rsid w:val="00933457"/>
    <w:rsid w:val="009374D2"/>
    <w:rsid w:val="00940225"/>
    <w:rsid w:val="0094370E"/>
    <w:rsid w:val="009449C2"/>
    <w:rsid w:val="009457DC"/>
    <w:rsid w:val="00951FDD"/>
    <w:rsid w:val="00952AA2"/>
    <w:rsid w:val="00953B7B"/>
    <w:rsid w:val="00962325"/>
    <w:rsid w:val="00971EAB"/>
    <w:rsid w:val="009736BB"/>
    <w:rsid w:val="00977FBB"/>
    <w:rsid w:val="00981055"/>
    <w:rsid w:val="0099503D"/>
    <w:rsid w:val="00996D1A"/>
    <w:rsid w:val="00996FE8"/>
    <w:rsid w:val="00997666"/>
    <w:rsid w:val="00997C3E"/>
    <w:rsid w:val="009A1945"/>
    <w:rsid w:val="009A1F4E"/>
    <w:rsid w:val="009A3DD0"/>
    <w:rsid w:val="009A429D"/>
    <w:rsid w:val="009A6B89"/>
    <w:rsid w:val="009B1415"/>
    <w:rsid w:val="009B15F5"/>
    <w:rsid w:val="009B2618"/>
    <w:rsid w:val="009B6E63"/>
    <w:rsid w:val="009C34C5"/>
    <w:rsid w:val="009C453D"/>
    <w:rsid w:val="009C5698"/>
    <w:rsid w:val="009D2A71"/>
    <w:rsid w:val="009D3462"/>
    <w:rsid w:val="009D4314"/>
    <w:rsid w:val="009E2A5F"/>
    <w:rsid w:val="009E7547"/>
    <w:rsid w:val="009F36AF"/>
    <w:rsid w:val="009F41A2"/>
    <w:rsid w:val="009F551B"/>
    <w:rsid w:val="009F7B32"/>
    <w:rsid w:val="00A01180"/>
    <w:rsid w:val="00A05FD2"/>
    <w:rsid w:val="00A07A16"/>
    <w:rsid w:val="00A109A7"/>
    <w:rsid w:val="00A25DF6"/>
    <w:rsid w:val="00A25EF4"/>
    <w:rsid w:val="00A3113F"/>
    <w:rsid w:val="00A31306"/>
    <w:rsid w:val="00A31755"/>
    <w:rsid w:val="00A3186B"/>
    <w:rsid w:val="00A330F5"/>
    <w:rsid w:val="00A341DF"/>
    <w:rsid w:val="00A40495"/>
    <w:rsid w:val="00A4332A"/>
    <w:rsid w:val="00A457BA"/>
    <w:rsid w:val="00A51942"/>
    <w:rsid w:val="00A606EB"/>
    <w:rsid w:val="00A65CC9"/>
    <w:rsid w:val="00A71401"/>
    <w:rsid w:val="00A83B88"/>
    <w:rsid w:val="00A84B9A"/>
    <w:rsid w:val="00A9173F"/>
    <w:rsid w:val="00A970CD"/>
    <w:rsid w:val="00AA0DFE"/>
    <w:rsid w:val="00AA1217"/>
    <w:rsid w:val="00AA4641"/>
    <w:rsid w:val="00AA73DE"/>
    <w:rsid w:val="00AB12BB"/>
    <w:rsid w:val="00AB3DAC"/>
    <w:rsid w:val="00AB577D"/>
    <w:rsid w:val="00AC14FE"/>
    <w:rsid w:val="00AC15DB"/>
    <w:rsid w:val="00AD6905"/>
    <w:rsid w:val="00AE031D"/>
    <w:rsid w:val="00AE218E"/>
    <w:rsid w:val="00AE2B38"/>
    <w:rsid w:val="00AE56A5"/>
    <w:rsid w:val="00AF0DFB"/>
    <w:rsid w:val="00AF232B"/>
    <w:rsid w:val="00AF281E"/>
    <w:rsid w:val="00B007DF"/>
    <w:rsid w:val="00B026C8"/>
    <w:rsid w:val="00B06B20"/>
    <w:rsid w:val="00B21822"/>
    <w:rsid w:val="00B23E6A"/>
    <w:rsid w:val="00B311B3"/>
    <w:rsid w:val="00B31E68"/>
    <w:rsid w:val="00B34C40"/>
    <w:rsid w:val="00B37DAE"/>
    <w:rsid w:val="00B402A1"/>
    <w:rsid w:val="00B40B63"/>
    <w:rsid w:val="00B41E4C"/>
    <w:rsid w:val="00B4550B"/>
    <w:rsid w:val="00B4585E"/>
    <w:rsid w:val="00B472CE"/>
    <w:rsid w:val="00B52029"/>
    <w:rsid w:val="00B52127"/>
    <w:rsid w:val="00B5237A"/>
    <w:rsid w:val="00B52AA4"/>
    <w:rsid w:val="00B57054"/>
    <w:rsid w:val="00B658A1"/>
    <w:rsid w:val="00B70742"/>
    <w:rsid w:val="00B72B52"/>
    <w:rsid w:val="00B7529D"/>
    <w:rsid w:val="00B77D37"/>
    <w:rsid w:val="00B77E4E"/>
    <w:rsid w:val="00B80BF0"/>
    <w:rsid w:val="00B82761"/>
    <w:rsid w:val="00B842CD"/>
    <w:rsid w:val="00B84779"/>
    <w:rsid w:val="00B92B88"/>
    <w:rsid w:val="00B96ADB"/>
    <w:rsid w:val="00B97617"/>
    <w:rsid w:val="00BA5CFD"/>
    <w:rsid w:val="00BB07E4"/>
    <w:rsid w:val="00BB198D"/>
    <w:rsid w:val="00BB4B82"/>
    <w:rsid w:val="00BB5EA1"/>
    <w:rsid w:val="00BC017A"/>
    <w:rsid w:val="00BC711B"/>
    <w:rsid w:val="00BD3C73"/>
    <w:rsid w:val="00BD508A"/>
    <w:rsid w:val="00BD5657"/>
    <w:rsid w:val="00BE2297"/>
    <w:rsid w:val="00BE429B"/>
    <w:rsid w:val="00BE4F08"/>
    <w:rsid w:val="00BE56D4"/>
    <w:rsid w:val="00BF1328"/>
    <w:rsid w:val="00BF4E63"/>
    <w:rsid w:val="00BF7EB3"/>
    <w:rsid w:val="00C11B37"/>
    <w:rsid w:val="00C128F9"/>
    <w:rsid w:val="00C216DE"/>
    <w:rsid w:val="00C25715"/>
    <w:rsid w:val="00C25AFB"/>
    <w:rsid w:val="00C267F8"/>
    <w:rsid w:val="00C348CA"/>
    <w:rsid w:val="00C35899"/>
    <w:rsid w:val="00C4033B"/>
    <w:rsid w:val="00C40FF3"/>
    <w:rsid w:val="00C41561"/>
    <w:rsid w:val="00C41841"/>
    <w:rsid w:val="00C44332"/>
    <w:rsid w:val="00C4759C"/>
    <w:rsid w:val="00C51D33"/>
    <w:rsid w:val="00C52FEE"/>
    <w:rsid w:val="00C56D7D"/>
    <w:rsid w:val="00C61FB6"/>
    <w:rsid w:val="00C62C5A"/>
    <w:rsid w:val="00C63887"/>
    <w:rsid w:val="00C75769"/>
    <w:rsid w:val="00C83682"/>
    <w:rsid w:val="00C861B8"/>
    <w:rsid w:val="00C86EE6"/>
    <w:rsid w:val="00C87262"/>
    <w:rsid w:val="00C91FBA"/>
    <w:rsid w:val="00C94FF6"/>
    <w:rsid w:val="00C951DD"/>
    <w:rsid w:val="00C979E6"/>
    <w:rsid w:val="00CA0406"/>
    <w:rsid w:val="00CB3A47"/>
    <w:rsid w:val="00CB7119"/>
    <w:rsid w:val="00CC2A22"/>
    <w:rsid w:val="00CC3B5D"/>
    <w:rsid w:val="00CC5111"/>
    <w:rsid w:val="00CC6A6D"/>
    <w:rsid w:val="00CC7942"/>
    <w:rsid w:val="00CD27AB"/>
    <w:rsid w:val="00CD2CB5"/>
    <w:rsid w:val="00CD4331"/>
    <w:rsid w:val="00CD4D64"/>
    <w:rsid w:val="00CE072A"/>
    <w:rsid w:val="00CE2FDA"/>
    <w:rsid w:val="00CE4C27"/>
    <w:rsid w:val="00CE5BB7"/>
    <w:rsid w:val="00CE5C0B"/>
    <w:rsid w:val="00CE6D8F"/>
    <w:rsid w:val="00CF022D"/>
    <w:rsid w:val="00CF3177"/>
    <w:rsid w:val="00D04D13"/>
    <w:rsid w:val="00D060DE"/>
    <w:rsid w:val="00D06AA3"/>
    <w:rsid w:val="00D06FFC"/>
    <w:rsid w:val="00D1065A"/>
    <w:rsid w:val="00D178CD"/>
    <w:rsid w:val="00D204BC"/>
    <w:rsid w:val="00D21902"/>
    <w:rsid w:val="00D21E9A"/>
    <w:rsid w:val="00D263AA"/>
    <w:rsid w:val="00D27F60"/>
    <w:rsid w:val="00D31830"/>
    <w:rsid w:val="00D31A44"/>
    <w:rsid w:val="00D31FA3"/>
    <w:rsid w:val="00D36D7A"/>
    <w:rsid w:val="00D457BA"/>
    <w:rsid w:val="00D51B4A"/>
    <w:rsid w:val="00D56FDA"/>
    <w:rsid w:val="00D64CD8"/>
    <w:rsid w:val="00D6575B"/>
    <w:rsid w:val="00D77E17"/>
    <w:rsid w:val="00D81B9E"/>
    <w:rsid w:val="00D81C46"/>
    <w:rsid w:val="00D83308"/>
    <w:rsid w:val="00D83346"/>
    <w:rsid w:val="00D86945"/>
    <w:rsid w:val="00D9250B"/>
    <w:rsid w:val="00D93123"/>
    <w:rsid w:val="00D9364E"/>
    <w:rsid w:val="00D93AA7"/>
    <w:rsid w:val="00DA2444"/>
    <w:rsid w:val="00DA3BB8"/>
    <w:rsid w:val="00DA4180"/>
    <w:rsid w:val="00DA6860"/>
    <w:rsid w:val="00DB0A15"/>
    <w:rsid w:val="00DB4A93"/>
    <w:rsid w:val="00DB6454"/>
    <w:rsid w:val="00DB7E85"/>
    <w:rsid w:val="00DC2437"/>
    <w:rsid w:val="00DD045D"/>
    <w:rsid w:val="00DD1562"/>
    <w:rsid w:val="00DD336F"/>
    <w:rsid w:val="00DE032E"/>
    <w:rsid w:val="00DE10F5"/>
    <w:rsid w:val="00DE278E"/>
    <w:rsid w:val="00DE59C4"/>
    <w:rsid w:val="00DE778B"/>
    <w:rsid w:val="00DF0D69"/>
    <w:rsid w:val="00DF5161"/>
    <w:rsid w:val="00E05376"/>
    <w:rsid w:val="00E11E21"/>
    <w:rsid w:val="00E23402"/>
    <w:rsid w:val="00E25AE7"/>
    <w:rsid w:val="00E33AF5"/>
    <w:rsid w:val="00E40468"/>
    <w:rsid w:val="00E41048"/>
    <w:rsid w:val="00E43393"/>
    <w:rsid w:val="00E45061"/>
    <w:rsid w:val="00E454AC"/>
    <w:rsid w:val="00E46EA8"/>
    <w:rsid w:val="00E54DE2"/>
    <w:rsid w:val="00E62322"/>
    <w:rsid w:val="00E65A92"/>
    <w:rsid w:val="00E66337"/>
    <w:rsid w:val="00E72ECB"/>
    <w:rsid w:val="00E76610"/>
    <w:rsid w:val="00E80E15"/>
    <w:rsid w:val="00E84A92"/>
    <w:rsid w:val="00E867AD"/>
    <w:rsid w:val="00E86870"/>
    <w:rsid w:val="00E90ADF"/>
    <w:rsid w:val="00E90D67"/>
    <w:rsid w:val="00E948F4"/>
    <w:rsid w:val="00E95482"/>
    <w:rsid w:val="00E9549D"/>
    <w:rsid w:val="00E95D0A"/>
    <w:rsid w:val="00EA164C"/>
    <w:rsid w:val="00EA3958"/>
    <w:rsid w:val="00EA5E3B"/>
    <w:rsid w:val="00EB096A"/>
    <w:rsid w:val="00EB2616"/>
    <w:rsid w:val="00EC0849"/>
    <w:rsid w:val="00EC0CF9"/>
    <w:rsid w:val="00EC69D8"/>
    <w:rsid w:val="00EC71F8"/>
    <w:rsid w:val="00ED1C2D"/>
    <w:rsid w:val="00ED2F05"/>
    <w:rsid w:val="00ED51BB"/>
    <w:rsid w:val="00EE1913"/>
    <w:rsid w:val="00EF08E6"/>
    <w:rsid w:val="00EF39DA"/>
    <w:rsid w:val="00EF3A89"/>
    <w:rsid w:val="00EF710B"/>
    <w:rsid w:val="00EF7863"/>
    <w:rsid w:val="00F00FCD"/>
    <w:rsid w:val="00F01696"/>
    <w:rsid w:val="00F13207"/>
    <w:rsid w:val="00F22AE2"/>
    <w:rsid w:val="00F245F2"/>
    <w:rsid w:val="00F24BC8"/>
    <w:rsid w:val="00F25B72"/>
    <w:rsid w:val="00F264F0"/>
    <w:rsid w:val="00F27130"/>
    <w:rsid w:val="00F27214"/>
    <w:rsid w:val="00F278BC"/>
    <w:rsid w:val="00F40EAE"/>
    <w:rsid w:val="00F41FAB"/>
    <w:rsid w:val="00F4548D"/>
    <w:rsid w:val="00F4561E"/>
    <w:rsid w:val="00F51266"/>
    <w:rsid w:val="00F52199"/>
    <w:rsid w:val="00F52F79"/>
    <w:rsid w:val="00F53E78"/>
    <w:rsid w:val="00F57790"/>
    <w:rsid w:val="00F615DC"/>
    <w:rsid w:val="00F62803"/>
    <w:rsid w:val="00F64617"/>
    <w:rsid w:val="00F6530B"/>
    <w:rsid w:val="00F6560E"/>
    <w:rsid w:val="00F71F34"/>
    <w:rsid w:val="00F7233C"/>
    <w:rsid w:val="00F7367C"/>
    <w:rsid w:val="00F7733C"/>
    <w:rsid w:val="00F77E84"/>
    <w:rsid w:val="00F8153A"/>
    <w:rsid w:val="00F8390A"/>
    <w:rsid w:val="00F93973"/>
    <w:rsid w:val="00F9407A"/>
    <w:rsid w:val="00F942DA"/>
    <w:rsid w:val="00FA2F8A"/>
    <w:rsid w:val="00FA50EE"/>
    <w:rsid w:val="00FA7BC8"/>
    <w:rsid w:val="00FB1D7A"/>
    <w:rsid w:val="00FB25CB"/>
    <w:rsid w:val="00FC16CB"/>
    <w:rsid w:val="00FC3F30"/>
    <w:rsid w:val="00FC5D8F"/>
    <w:rsid w:val="00FD0597"/>
    <w:rsid w:val="00FD1D50"/>
    <w:rsid w:val="00FD5911"/>
    <w:rsid w:val="00FE6B56"/>
    <w:rsid w:val="00FF5527"/>
    <w:rsid w:val="00FF5BDF"/>
    <w:rsid w:val="02591635"/>
    <w:rsid w:val="031CF41D"/>
    <w:rsid w:val="03361C7A"/>
    <w:rsid w:val="05BF7C11"/>
    <w:rsid w:val="06F80FC1"/>
    <w:rsid w:val="076F4AB2"/>
    <w:rsid w:val="08953702"/>
    <w:rsid w:val="090B1B13"/>
    <w:rsid w:val="0AF25AAC"/>
    <w:rsid w:val="0C34F152"/>
    <w:rsid w:val="0C42BBD5"/>
    <w:rsid w:val="0D5F6884"/>
    <w:rsid w:val="0DE693A3"/>
    <w:rsid w:val="0E632DB3"/>
    <w:rsid w:val="10969FDA"/>
    <w:rsid w:val="112BA0AB"/>
    <w:rsid w:val="1188C906"/>
    <w:rsid w:val="135A2F3B"/>
    <w:rsid w:val="13D08545"/>
    <w:rsid w:val="144FFAF1"/>
    <w:rsid w:val="15593ACD"/>
    <w:rsid w:val="161064D8"/>
    <w:rsid w:val="1654B0BD"/>
    <w:rsid w:val="1677015D"/>
    <w:rsid w:val="16B83315"/>
    <w:rsid w:val="1898C915"/>
    <w:rsid w:val="198A91C5"/>
    <w:rsid w:val="19F34205"/>
    <w:rsid w:val="1ACB3B95"/>
    <w:rsid w:val="1CBC3F44"/>
    <w:rsid w:val="1D2FBBEE"/>
    <w:rsid w:val="1DB7F450"/>
    <w:rsid w:val="1F3D2ACB"/>
    <w:rsid w:val="1FB929B6"/>
    <w:rsid w:val="208CDDAC"/>
    <w:rsid w:val="2161AF9B"/>
    <w:rsid w:val="21A88640"/>
    <w:rsid w:val="223CE8D4"/>
    <w:rsid w:val="225D0E76"/>
    <w:rsid w:val="234D3E10"/>
    <w:rsid w:val="23FF1401"/>
    <w:rsid w:val="24625947"/>
    <w:rsid w:val="2471AA82"/>
    <w:rsid w:val="255E23C0"/>
    <w:rsid w:val="26213B6F"/>
    <w:rsid w:val="275C847F"/>
    <w:rsid w:val="285DAF7C"/>
    <w:rsid w:val="28D7710C"/>
    <w:rsid w:val="2947EA85"/>
    <w:rsid w:val="2B5DF4E5"/>
    <w:rsid w:val="2BCD6544"/>
    <w:rsid w:val="2BEC6981"/>
    <w:rsid w:val="2BF56697"/>
    <w:rsid w:val="2C039FB1"/>
    <w:rsid w:val="2DA1263E"/>
    <w:rsid w:val="2EBE7B80"/>
    <w:rsid w:val="2F05A844"/>
    <w:rsid w:val="32A61736"/>
    <w:rsid w:val="338FDD74"/>
    <w:rsid w:val="3391ECA3"/>
    <w:rsid w:val="3428BF3A"/>
    <w:rsid w:val="354D8A4F"/>
    <w:rsid w:val="367B38AB"/>
    <w:rsid w:val="3753DFEA"/>
    <w:rsid w:val="37C88159"/>
    <w:rsid w:val="37FEEB53"/>
    <w:rsid w:val="382C5B7D"/>
    <w:rsid w:val="38C2935F"/>
    <w:rsid w:val="392B7732"/>
    <w:rsid w:val="3B117CA0"/>
    <w:rsid w:val="3C1EDDAA"/>
    <w:rsid w:val="3CB361B4"/>
    <w:rsid w:val="3D4E86F2"/>
    <w:rsid w:val="3DD321EF"/>
    <w:rsid w:val="3E6643F4"/>
    <w:rsid w:val="3EE3AB99"/>
    <w:rsid w:val="3FFFD28A"/>
    <w:rsid w:val="4050B748"/>
    <w:rsid w:val="41D40531"/>
    <w:rsid w:val="432D6528"/>
    <w:rsid w:val="44802B85"/>
    <w:rsid w:val="4556810D"/>
    <w:rsid w:val="4589FAD5"/>
    <w:rsid w:val="45CE8CCB"/>
    <w:rsid w:val="45E2A0EB"/>
    <w:rsid w:val="46468BE0"/>
    <w:rsid w:val="4649719F"/>
    <w:rsid w:val="469108F4"/>
    <w:rsid w:val="486A46B9"/>
    <w:rsid w:val="48B264D6"/>
    <w:rsid w:val="49843203"/>
    <w:rsid w:val="4C0E20F9"/>
    <w:rsid w:val="4CBC9D4E"/>
    <w:rsid w:val="4CF3C839"/>
    <w:rsid w:val="4CFED11A"/>
    <w:rsid w:val="4D2FFFE5"/>
    <w:rsid w:val="4D9B2E41"/>
    <w:rsid w:val="4E33C142"/>
    <w:rsid w:val="4FA9B100"/>
    <w:rsid w:val="509C8CD2"/>
    <w:rsid w:val="50C32CD9"/>
    <w:rsid w:val="51149D6F"/>
    <w:rsid w:val="51EC3484"/>
    <w:rsid w:val="5429B914"/>
    <w:rsid w:val="552B4311"/>
    <w:rsid w:val="5595D951"/>
    <w:rsid w:val="5683173A"/>
    <w:rsid w:val="56C939DC"/>
    <w:rsid w:val="56CDDFCE"/>
    <w:rsid w:val="57E178AE"/>
    <w:rsid w:val="5935CED5"/>
    <w:rsid w:val="599858D8"/>
    <w:rsid w:val="5A54F4B7"/>
    <w:rsid w:val="5AD0C55C"/>
    <w:rsid w:val="5C100142"/>
    <w:rsid w:val="5D032EEE"/>
    <w:rsid w:val="5E5F8A3C"/>
    <w:rsid w:val="5F1CDC5A"/>
    <w:rsid w:val="5FD452D9"/>
    <w:rsid w:val="603758F9"/>
    <w:rsid w:val="607A4191"/>
    <w:rsid w:val="61575EBB"/>
    <w:rsid w:val="631DCEDE"/>
    <w:rsid w:val="6335F1E2"/>
    <w:rsid w:val="634F528C"/>
    <w:rsid w:val="63AF4391"/>
    <w:rsid w:val="64F6525D"/>
    <w:rsid w:val="65331E3C"/>
    <w:rsid w:val="654DB2B4"/>
    <w:rsid w:val="6675842C"/>
    <w:rsid w:val="68567244"/>
    <w:rsid w:val="6A105A67"/>
    <w:rsid w:val="6A8BDEB6"/>
    <w:rsid w:val="6ADB4BBB"/>
    <w:rsid w:val="6B0CF944"/>
    <w:rsid w:val="6BD1E5BF"/>
    <w:rsid w:val="6C6DBFF1"/>
    <w:rsid w:val="701F9FDA"/>
    <w:rsid w:val="706BA315"/>
    <w:rsid w:val="70C5ED2F"/>
    <w:rsid w:val="70EE7D16"/>
    <w:rsid w:val="724E23F5"/>
    <w:rsid w:val="73526503"/>
    <w:rsid w:val="743B49EB"/>
    <w:rsid w:val="745258A2"/>
    <w:rsid w:val="74DEA54E"/>
    <w:rsid w:val="75D72BB5"/>
    <w:rsid w:val="761D5F21"/>
    <w:rsid w:val="76696FE1"/>
    <w:rsid w:val="76B60BB5"/>
    <w:rsid w:val="770A2395"/>
    <w:rsid w:val="775F38C5"/>
    <w:rsid w:val="784C4C81"/>
    <w:rsid w:val="798200E1"/>
    <w:rsid w:val="7A85E130"/>
    <w:rsid w:val="7AC19A26"/>
    <w:rsid w:val="7B986FB0"/>
    <w:rsid w:val="7BD24359"/>
    <w:rsid w:val="7BE0E8FE"/>
    <w:rsid w:val="7C380B9D"/>
    <w:rsid w:val="7CADB298"/>
    <w:rsid w:val="7CD00645"/>
    <w:rsid w:val="7E8507FC"/>
    <w:rsid w:val="7F66CB0D"/>
    <w:rsid w:val="7F8310AB"/>
    <w:rsid w:val="7FD3B5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5849">
      <w:bodyDiv w:val="1"/>
      <w:marLeft w:val="0"/>
      <w:marRight w:val="0"/>
      <w:marTop w:val="0"/>
      <w:marBottom w:val="0"/>
      <w:divBdr>
        <w:top w:val="none" w:sz="0" w:space="0" w:color="auto"/>
        <w:left w:val="none" w:sz="0" w:space="0" w:color="auto"/>
        <w:bottom w:val="none" w:sz="0" w:space="0" w:color="auto"/>
        <w:right w:val="none" w:sz="0" w:space="0" w:color="auto"/>
      </w:divBdr>
      <w:divsChild>
        <w:div w:id="274990006">
          <w:marLeft w:val="0"/>
          <w:marRight w:val="0"/>
          <w:marTop w:val="0"/>
          <w:marBottom w:val="0"/>
          <w:divBdr>
            <w:top w:val="none" w:sz="0" w:space="0" w:color="auto"/>
            <w:left w:val="none" w:sz="0" w:space="0" w:color="auto"/>
            <w:bottom w:val="none" w:sz="0" w:space="0" w:color="auto"/>
            <w:right w:val="none" w:sz="0" w:space="0" w:color="auto"/>
          </w:divBdr>
        </w:div>
        <w:div w:id="1729375028">
          <w:marLeft w:val="0"/>
          <w:marRight w:val="0"/>
          <w:marTop w:val="0"/>
          <w:marBottom w:val="0"/>
          <w:divBdr>
            <w:top w:val="none" w:sz="0" w:space="0" w:color="auto"/>
            <w:left w:val="none" w:sz="0" w:space="0" w:color="auto"/>
            <w:bottom w:val="none" w:sz="0" w:space="0" w:color="auto"/>
            <w:right w:val="none" w:sz="0" w:space="0" w:color="auto"/>
          </w:divBdr>
        </w:div>
      </w:divsChild>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8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7ef3fb4ac5114ec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7869-F996-49DE-910C-B83EADAD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E198203E-6EE2-4822-B311-8A0B8CC3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4146</Words>
  <Characters>22803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6</cp:revision>
  <dcterms:created xsi:type="dcterms:W3CDTF">2023-06-16T19:19:00Z</dcterms:created>
  <dcterms:modified xsi:type="dcterms:W3CDTF">2023-08-05T19:45:00Z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57123600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