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914C6" w14:textId="7A9DD562" w:rsidR="00460562" w:rsidRPr="00B66A34" w:rsidRDefault="00460562" w:rsidP="00B66A34">
      <w:pPr>
        <w:jc w:val="both"/>
        <w:rPr>
          <w:rFonts w:ascii="Arial" w:hAnsi="Arial" w:cs="Arial"/>
          <w:szCs w:val="24"/>
        </w:rPr>
      </w:pPr>
      <w:bookmarkStart w:id="0" w:name="_GoBack"/>
    </w:p>
    <w:p w14:paraId="46FFC4FB" w14:textId="6B3C7A42" w:rsidR="005943E7" w:rsidRPr="00B66A34" w:rsidRDefault="005943E7" w:rsidP="00B66A34">
      <w:pPr>
        <w:jc w:val="both"/>
        <w:rPr>
          <w:rFonts w:ascii="Arial" w:hAnsi="Arial" w:cs="Arial"/>
          <w:b/>
          <w:bCs/>
          <w:szCs w:val="24"/>
          <w:lang w:val="es-CO"/>
        </w:rPr>
      </w:pPr>
      <w:r w:rsidRPr="00B66A34">
        <w:rPr>
          <w:rFonts w:ascii="Arial" w:hAnsi="Arial" w:cs="Arial"/>
          <w:szCs w:val="24"/>
        </w:rPr>
        <w:t>Radicación:</w:t>
      </w:r>
      <w:r w:rsidR="00B66A34">
        <w:rPr>
          <w:rFonts w:ascii="Arial" w:hAnsi="Arial" w:cs="Arial"/>
          <w:szCs w:val="24"/>
        </w:rPr>
        <w:tab/>
      </w:r>
      <w:r w:rsidRPr="00B66A34">
        <w:rPr>
          <w:rFonts w:ascii="Arial" w:hAnsi="Arial" w:cs="Arial"/>
          <w:szCs w:val="24"/>
        </w:rPr>
        <w:t>66001-31-05-004-2020-00137-01</w:t>
      </w:r>
      <w:r w:rsidRPr="00B66A34">
        <w:rPr>
          <w:rFonts w:ascii="Arial" w:hAnsi="Arial" w:cs="Arial"/>
          <w:b/>
          <w:bCs/>
          <w:szCs w:val="24"/>
          <w:lang w:val="es-CO"/>
        </w:rPr>
        <w:t> </w:t>
      </w:r>
    </w:p>
    <w:p w14:paraId="5D34A434" w14:textId="36B3557E" w:rsidR="005943E7" w:rsidRPr="00B66A34" w:rsidRDefault="005943E7" w:rsidP="00B66A34">
      <w:pPr>
        <w:jc w:val="both"/>
        <w:rPr>
          <w:rFonts w:ascii="Arial" w:hAnsi="Arial" w:cs="Arial"/>
          <w:b/>
          <w:bCs/>
          <w:szCs w:val="24"/>
          <w:lang w:val="es-CO"/>
        </w:rPr>
      </w:pPr>
      <w:r w:rsidRPr="00B66A34">
        <w:rPr>
          <w:rFonts w:ascii="Arial" w:hAnsi="Arial" w:cs="Arial"/>
          <w:szCs w:val="24"/>
        </w:rPr>
        <w:t>Proceso:</w:t>
      </w:r>
      <w:r w:rsidR="00B66A34">
        <w:rPr>
          <w:rFonts w:ascii="Arial" w:hAnsi="Arial" w:cs="Arial"/>
          <w:szCs w:val="24"/>
        </w:rPr>
        <w:tab/>
      </w:r>
      <w:r w:rsidRPr="00B66A34">
        <w:rPr>
          <w:rFonts w:ascii="Arial" w:hAnsi="Arial" w:cs="Arial"/>
          <w:szCs w:val="24"/>
        </w:rPr>
        <w:t>Ordinario</w:t>
      </w:r>
      <w:r w:rsidRPr="00B66A34">
        <w:rPr>
          <w:rFonts w:ascii="Arial" w:hAnsi="Arial" w:cs="Arial"/>
          <w:b/>
          <w:bCs/>
          <w:szCs w:val="24"/>
          <w:lang w:val="es-CO"/>
        </w:rPr>
        <w:t> </w:t>
      </w:r>
    </w:p>
    <w:p w14:paraId="478C429F" w14:textId="6F2722C4" w:rsidR="005943E7" w:rsidRPr="00B66A34" w:rsidRDefault="005943E7" w:rsidP="00B66A34">
      <w:pPr>
        <w:jc w:val="both"/>
        <w:rPr>
          <w:rFonts w:ascii="Arial" w:hAnsi="Arial" w:cs="Arial"/>
          <w:b/>
          <w:bCs/>
          <w:szCs w:val="24"/>
          <w:lang w:val="es-CO"/>
        </w:rPr>
      </w:pPr>
      <w:r w:rsidRPr="00B66A34">
        <w:rPr>
          <w:rFonts w:ascii="Arial" w:hAnsi="Arial" w:cs="Arial"/>
          <w:szCs w:val="24"/>
        </w:rPr>
        <w:t>Demandante:</w:t>
      </w:r>
      <w:r w:rsidR="00B66A34">
        <w:rPr>
          <w:rFonts w:ascii="Arial" w:hAnsi="Arial" w:cs="Arial"/>
          <w:szCs w:val="24"/>
        </w:rPr>
        <w:tab/>
      </w:r>
      <w:proofErr w:type="spellStart"/>
      <w:r w:rsidRPr="00B66A34">
        <w:rPr>
          <w:rFonts w:ascii="Arial" w:hAnsi="Arial" w:cs="Arial"/>
          <w:szCs w:val="24"/>
        </w:rPr>
        <w:t>Aydiesed</w:t>
      </w:r>
      <w:proofErr w:type="spellEnd"/>
      <w:r w:rsidRPr="00B66A34">
        <w:rPr>
          <w:rFonts w:ascii="Arial" w:hAnsi="Arial" w:cs="Arial"/>
          <w:szCs w:val="24"/>
        </w:rPr>
        <w:t xml:space="preserve"> Álvarez</w:t>
      </w:r>
      <w:r w:rsidRPr="00B66A34">
        <w:rPr>
          <w:rFonts w:ascii="Arial" w:hAnsi="Arial" w:cs="Arial"/>
          <w:b/>
          <w:bCs/>
          <w:szCs w:val="24"/>
          <w:lang w:val="es-CO"/>
        </w:rPr>
        <w:t> </w:t>
      </w:r>
    </w:p>
    <w:p w14:paraId="6AE49E88" w14:textId="47D9A5B5" w:rsidR="005943E7" w:rsidRPr="00B66A34" w:rsidRDefault="005943E7" w:rsidP="00B66A34">
      <w:pPr>
        <w:jc w:val="both"/>
        <w:rPr>
          <w:rFonts w:ascii="Arial" w:hAnsi="Arial" w:cs="Arial"/>
          <w:b/>
          <w:bCs/>
          <w:szCs w:val="24"/>
          <w:lang w:val="es-CO"/>
        </w:rPr>
      </w:pPr>
      <w:r w:rsidRPr="00B66A34">
        <w:rPr>
          <w:rFonts w:ascii="Arial" w:hAnsi="Arial" w:cs="Arial"/>
          <w:szCs w:val="24"/>
        </w:rPr>
        <w:t>Demandado:</w:t>
      </w:r>
      <w:r w:rsidR="00B66A34">
        <w:rPr>
          <w:rFonts w:ascii="Arial" w:hAnsi="Arial" w:cs="Arial"/>
          <w:szCs w:val="24"/>
        </w:rPr>
        <w:tab/>
      </w:r>
      <w:r w:rsidRPr="00B66A34">
        <w:rPr>
          <w:rFonts w:ascii="Arial" w:hAnsi="Arial" w:cs="Arial"/>
          <w:szCs w:val="24"/>
          <w:lang w:val="es-CO"/>
        </w:rPr>
        <w:t>Colpensiones y Comestibles la Rosa S.A.</w:t>
      </w:r>
      <w:r w:rsidRPr="00B66A34">
        <w:rPr>
          <w:rFonts w:ascii="Arial" w:hAnsi="Arial" w:cs="Arial"/>
          <w:b/>
          <w:bCs/>
          <w:szCs w:val="24"/>
          <w:lang w:val="es-CO"/>
        </w:rPr>
        <w:t> </w:t>
      </w:r>
    </w:p>
    <w:p w14:paraId="14100E42" w14:textId="60D3EB7E" w:rsidR="005943E7" w:rsidRDefault="005943E7" w:rsidP="00B66A34">
      <w:pPr>
        <w:jc w:val="both"/>
        <w:rPr>
          <w:rFonts w:ascii="Arial" w:hAnsi="Arial" w:cs="Arial"/>
          <w:szCs w:val="24"/>
        </w:rPr>
      </w:pPr>
    </w:p>
    <w:p w14:paraId="3CFE3506" w14:textId="7F450D14" w:rsidR="00B66A34" w:rsidRDefault="00B66A34" w:rsidP="00B66A34">
      <w:pPr>
        <w:jc w:val="both"/>
        <w:rPr>
          <w:rFonts w:ascii="Arial" w:hAnsi="Arial" w:cs="Arial"/>
          <w:szCs w:val="24"/>
        </w:rPr>
      </w:pPr>
    </w:p>
    <w:p w14:paraId="1713B9AB" w14:textId="77777777" w:rsidR="00B66A34" w:rsidRPr="00B66A34" w:rsidRDefault="00B66A34" w:rsidP="00B66A34">
      <w:pPr>
        <w:jc w:val="both"/>
        <w:rPr>
          <w:rFonts w:ascii="Arial" w:hAnsi="Arial" w:cs="Arial"/>
          <w:szCs w:val="24"/>
        </w:rPr>
      </w:pPr>
    </w:p>
    <w:p w14:paraId="01B6CA19" w14:textId="5C73C8F1" w:rsidR="005943E7" w:rsidRPr="00B66A34" w:rsidRDefault="005943E7" w:rsidP="00B66A34">
      <w:pPr>
        <w:jc w:val="both"/>
        <w:rPr>
          <w:rFonts w:ascii="Arial" w:hAnsi="Arial" w:cs="Arial"/>
          <w:szCs w:val="24"/>
        </w:rPr>
      </w:pPr>
    </w:p>
    <w:p w14:paraId="60F0B7AB" w14:textId="5E57B697" w:rsidR="005943E7" w:rsidRPr="005943E7" w:rsidRDefault="005943E7" w:rsidP="005943E7">
      <w:pPr>
        <w:spacing w:line="276" w:lineRule="auto"/>
        <w:jc w:val="center"/>
        <w:rPr>
          <w:rFonts w:ascii="Arial" w:hAnsi="Arial" w:cs="Arial"/>
          <w:b/>
          <w:sz w:val="24"/>
          <w:szCs w:val="24"/>
        </w:rPr>
      </w:pPr>
      <w:r w:rsidRPr="005943E7">
        <w:rPr>
          <w:rFonts w:ascii="Arial" w:hAnsi="Arial" w:cs="Arial"/>
          <w:b/>
          <w:sz w:val="24"/>
          <w:szCs w:val="24"/>
        </w:rPr>
        <w:t>TRIBUNAL SUPERIOR DEL DISTRITO JUDICIAL</w:t>
      </w:r>
    </w:p>
    <w:p w14:paraId="66049CF7" w14:textId="0E82018A" w:rsidR="005943E7" w:rsidRPr="005943E7" w:rsidRDefault="005943E7" w:rsidP="005943E7">
      <w:pPr>
        <w:spacing w:line="276" w:lineRule="auto"/>
        <w:jc w:val="center"/>
        <w:rPr>
          <w:rFonts w:ascii="Arial" w:hAnsi="Arial" w:cs="Arial"/>
          <w:b/>
          <w:sz w:val="24"/>
          <w:szCs w:val="24"/>
        </w:rPr>
      </w:pPr>
      <w:r w:rsidRPr="005943E7">
        <w:rPr>
          <w:rFonts w:ascii="Arial" w:hAnsi="Arial" w:cs="Arial"/>
          <w:b/>
          <w:sz w:val="24"/>
          <w:szCs w:val="24"/>
        </w:rPr>
        <w:t>SALA LABORAL</w:t>
      </w:r>
    </w:p>
    <w:p w14:paraId="6F2ED082" w14:textId="77777777" w:rsidR="00F93C8E" w:rsidRPr="005943E7" w:rsidRDefault="00F93C8E" w:rsidP="005943E7">
      <w:pPr>
        <w:spacing w:line="276" w:lineRule="auto"/>
        <w:jc w:val="center"/>
        <w:rPr>
          <w:rFonts w:ascii="Arial" w:hAnsi="Arial" w:cs="Arial"/>
          <w:b/>
          <w:sz w:val="24"/>
          <w:szCs w:val="24"/>
        </w:rPr>
      </w:pPr>
      <w:r w:rsidRPr="005943E7">
        <w:rPr>
          <w:rFonts w:ascii="Arial" w:hAnsi="Arial" w:cs="Arial"/>
          <w:sz w:val="24"/>
          <w:szCs w:val="24"/>
        </w:rPr>
        <w:t xml:space="preserve">MAGISTRADO: </w:t>
      </w:r>
      <w:r w:rsidRPr="005943E7">
        <w:rPr>
          <w:rFonts w:ascii="Arial" w:hAnsi="Arial" w:cs="Arial"/>
          <w:b/>
          <w:sz w:val="24"/>
          <w:szCs w:val="24"/>
        </w:rPr>
        <w:t>JULIO CÉSAR SALAZAR MUÑOZ</w:t>
      </w:r>
    </w:p>
    <w:p w14:paraId="72021099" w14:textId="77777777" w:rsidR="00460562" w:rsidRPr="005943E7" w:rsidRDefault="00460562" w:rsidP="005943E7">
      <w:pPr>
        <w:spacing w:line="276" w:lineRule="auto"/>
        <w:rPr>
          <w:rFonts w:ascii="Arial" w:hAnsi="Arial" w:cs="Arial"/>
          <w:b/>
          <w:sz w:val="24"/>
          <w:szCs w:val="24"/>
        </w:rPr>
      </w:pPr>
    </w:p>
    <w:p w14:paraId="5443A3B5" w14:textId="49B0409D" w:rsidR="00F93C8E" w:rsidRPr="005943E7" w:rsidRDefault="00F93C8E" w:rsidP="005943E7">
      <w:pPr>
        <w:spacing w:line="276" w:lineRule="auto"/>
        <w:jc w:val="center"/>
        <w:rPr>
          <w:rFonts w:ascii="Arial" w:hAnsi="Arial" w:cs="Arial"/>
          <w:sz w:val="24"/>
          <w:szCs w:val="24"/>
        </w:rPr>
      </w:pPr>
      <w:r w:rsidRPr="005943E7">
        <w:rPr>
          <w:rFonts w:ascii="Arial" w:hAnsi="Arial" w:cs="Arial"/>
          <w:sz w:val="24"/>
          <w:szCs w:val="24"/>
        </w:rPr>
        <w:t xml:space="preserve">Pereira, </w:t>
      </w:r>
      <w:r w:rsidR="00D73DC6" w:rsidRPr="005943E7">
        <w:rPr>
          <w:rFonts w:ascii="Arial" w:hAnsi="Arial" w:cs="Arial"/>
          <w:sz w:val="24"/>
          <w:szCs w:val="24"/>
        </w:rPr>
        <w:t>ocho</w:t>
      </w:r>
      <w:r w:rsidRPr="005943E7">
        <w:rPr>
          <w:rFonts w:ascii="Arial" w:hAnsi="Arial" w:cs="Arial"/>
          <w:sz w:val="24"/>
          <w:szCs w:val="24"/>
        </w:rPr>
        <w:t xml:space="preserve"> [</w:t>
      </w:r>
      <w:r w:rsidR="003D2663" w:rsidRPr="005943E7">
        <w:rPr>
          <w:rFonts w:ascii="Arial" w:hAnsi="Arial" w:cs="Arial"/>
          <w:sz w:val="24"/>
          <w:szCs w:val="24"/>
        </w:rPr>
        <w:t>0</w:t>
      </w:r>
      <w:r w:rsidR="00D73DC6" w:rsidRPr="005943E7">
        <w:rPr>
          <w:rFonts w:ascii="Arial" w:hAnsi="Arial" w:cs="Arial"/>
          <w:sz w:val="24"/>
          <w:szCs w:val="24"/>
        </w:rPr>
        <w:t>8</w:t>
      </w:r>
      <w:r w:rsidRPr="005943E7">
        <w:rPr>
          <w:rFonts w:ascii="Arial" w:hAnsi="Arial" w:cs="Arial"/>
          <w:sz w:val="24"/>
          <w:szCs w:val="24"/>
        </w:rPr>
        <w:t xml:space="preserve">] de </w:t>
      </w:r>
      <w:r w:rsidR="003D2663" w:rsidRPr="005943E7">
        <w:rPr>
          <w:rFonts w:ascii="Arial" w:hAnsi="Arial" w:cs="Arial"/>
          <w:sz w:val="24"/>
          <w:szCs w:val="24"/>
        </w:rPr>
        <w:t>ma</w:t>
      </w:r>
      <w:r w:rsidR="00ED3DAE" w:rsidRPr="005943E7">
        <w:rPr>
          <w:rFonts w:ascii="Arial" w:hAnsi="Arial" w:cs="Arial"/>
          <w:sz w:val="24"/>
          <w:szCs w:val="24"/>
        </w:rPr>
        <w:t>y</w:t>
      </w:r>
      <w:r w:rsidR="003D2663" w:rsidRPr="005943E7">
        <w:rPr>
          <w:rFonts w:ascii="Arial" w:hAnsi="Arial" w:cs="Arial"/>
          <w:sz w:val="24"/>
          <w:szCs w:val="24"/>
        </w:rPr>
        <w:t>o</w:t>
      </w:r>
      <w:r w:rsidRPr="005943E7">
        <w:rPr>
          <w:rFonts w:ascii="Arial" w:hAnsi="Arial" w:cs="Arial"/>
          <w:sz w:val="24"/>
          <w:szCs w:val="24"/>
        </w:rPr>
        <w:t xml:space="preserve"> de dos mil </w:t>
      </w:r>
      <w:r w:rsidR="00C857D6" w:rsidRPr="005943E7">
        <w:rPr>
          <w:rFonts w:ascii="Arial" w:hAnsi="Arial" w:cs="Arial"/>
          <w:sz w:val="24"/>
          <w:szCs w:val="24"/>
        </w:rPr>
        <w:t>veinti</w:t>
      </w:r>
      <w:r w:rsidR="003A4B23" w:rsidRPr="005943E7">
        <w:rPr>
          <w:rFonts w:ascii="Arial" w:hAnsi="Arial" w:cs="Arial"/>
          <w:sz w:val="24"/>
          <w:szCs w:val="24"/>
        </w:rPr>
        <w:t>trés</w:t>
      </w:r>
      <w:r w:rsidRPr="005943E7">
        <w:rPr>
          <w:rFonts w:ascii="Arial" w:hAnsi="Arial" w:cs="Arial"/>
          <w:sz w:val="24"/>
          <w:szCs w:val="24"/>
        </w:rPr>
        <w:t xml:space="preserve"> [20</w:t>
      </w:r>
      <w:r w:rsidR="006D3DE4" w:rsidRPr="005943E7">
        <w:rPr>
          <w:rFonts w:ascii="Arial" w:hAnsi="Arial" w:cs="Arial"/>
          <w:sz w:val="24"/>
          <w:szCs w:val="24"/>
        </w:rPr>
        <w:t>2</w:t>
      </w:r>
      <w:r w:rsidR="003A4B23" w:rsidRPr="005943E7">
        <w:rPr>
          <w:rFonts w:ascii="Arial" w:hAnsi="Arial" w:cs="Arial"/>
          <w:sz w:val="24"/>
          <w:szCs w:val="24"/>
        </w:rPr>
        <w:t>3</w:t>
      </w:r>
      <w:r w:rsidRPr="005943E7">
        <w:rPr>
          <w:rFonts w:ascii="Arial" w:hAnsi="Arial" w:cs="Arial"/>
          <w:sz w:val="24"/>
          <w:szCs w:val="24"/>
        </w:rPr>
        <w:t>].</w:t>
      </w:r>
    </w:p>
    <w:p w14:paraId="41EC46C6" w14:textId="391525E5" w:rsidR="00460562" w:rsidRDefault="00460562" w:rsidP="005943E7">
      <w:pPr>
        <w:tabs>
          <w:tab w:val="left" w:pos="1440"/>
        </w:tabs>
        <w:spacing w:line="276" w:lineRule="auto"/>
        <w:jc w:val="both"/>
        <w:rPr>
          <w:rFonts w:ascii="Arial" w:hAnsi="Arial" w:cs="Arial"/>
          <w:snapToGrid w:val="0"/>
          <w:sz w:val="24"/>
          <w:szCs w:val="24"/>
        </w:rPr>
      </w:pPr>
    </w:p>
    <w:p w14:paraId="7B5B9B21" w14:textId="77777777" w:rsidR="00B66A34" w:rsidRPr="005943E7" w:rsidRDefault="00B66A34" w:rsidP="005943E7">
      <w:pPr>
        <w:tabs>
          <w:tab w:val="left" w:pos="1440"/>
        </w:tabs>
        <w:spacing w:line="276" w:lineRule="auto"/>
        <w:jc w:val="both"/>
        <w:rPr>
          <w:rFonts w:ascii="Arial" w:hAnsi="Arial" w:cs="Arial"/>
          <w:snapToGrid w:val="0"/>
          <w:sz w:val="24"/>
          <w:szCs w:val="24"/>
        </w:rPr>
      </w:pPr>
    </w:p>
    <w:p w14:paraId="2063E29D" w14:textId="045B3222" w:rsidR="00F93C8E" w:rsidRPr="00B66A34" w:rsidRDefault="003A4B23" w:rsidP="005943E7">
      <w:pPr>
        <w:spacing w:line="276" w:lineRule="auto"/>
        <w:jc w:val="center"/>
        <w:rPr>
          <w:rFonts w:ascii="Arial" w:hAnsi="Arial" w:cs="Arial"/>
          <w:b/>
          <w:sz w:val="24"/>
          <w:szCs w:val="24"/>
          <w:u w:val="single"/>
        </w:rPr>
      </w:pPr>
      <w:r w:rsidRPr="00B66A34">
        <w:rPr>
          <w:rFonts w:ascii="Arial" w:hAnsi="Arial" w:cs="Arial"/>
          <w:b/>
          <w:sz w:val="24"/>
          <w:szCs w:val="24"/>
          <w:u w:val="single"/>
        </w:rPr>
        <w:t>ACLARACIÓN</w:t>
      </w:r>
      <w:r w:rsidR="00F93C8E" w:rsidRPr="00B66A34">
        <w:rPr>
          <w:rFonts w:ascii="Arial" w:hAnsi="Arial" w:cs="Arial"/>
          <w:b/>
          <w:sz w:val="24"/>
          <w:szCs w:val="24"/>
          <w:u w:val="single"/>
        </w:rPr>
        <w:t xml:space="preserve"> DE VOTO</w:t>
      </w:r>
    </w:p>
    <w:p w14:paraId="32F95BDB" w14:textId="03B6F46A" w:rsidR="00F93C8E" w:rsidRDefault="00F93C8E" w:rsidP="005943E7">
      <w:pPr>
        <w:pStyle w:val="Textoindependiente"/>
        <w:spacing w:line="276" w:lineRule="auto"/>
        <w:rPr>
          <w:sz w:val="24"/>
          <w:szCs w:val="24"/>
        </w:rPr>
      </w:pPr>
    </w:p>
    <w:p w14:paraId="1CCB29F4" w14:textId="77777777" w:rsidR="00B66A34" w:rsidRPr="005943E7" w:rsidRDefault="00B66A34" w:rsidP="005943E7">
      <w:pPr>
        <w:pStyle w:val="Textoindependiente"/>
        <w:spacing w:line="276" w:lineRule="auto"/>
        <w:rPr>
          <w:sz w:val="24"/>
          <w:szCs w:val="24"/>
        </w:rPr>
      </w:pPr>
    </w:p>
    <w:p w14:paraId="2345AA97" w14:textId="162267E9" w:rsidR="00043B07" w:rsidRPr="005943E7" w:rsidRDefault="003A4B23" w:rsidP="005943E7">
      <w:pPr>
        <w:suppressAutoHyphens/>
        <w:spacing w:line="276" w:lineRule="auto"/>
        <w:jc w:val="both"/>
        <w:rPr>
          <w:rFonts w:ascii="Arial" w:hAnsi="Arial" w:cs="Arial"/>
          <w:spacing w:val="-2"/>
          <w:sz w:val="24"/>
          <w:szCs w:val="24"/>
        </w:rPr>
      </w:pPr>
      <w:r w:rsidRPr="005943E7">
        <w:rPr>
          <w:rFonts w:ascii="Arial" w:hAnsi="Arial" w:cs="Arial"/>
          <w:spacing w:val="-2"/>
          <w:sz w:val="24"/>
          <w:szCs w:val="24"/>
          <w:lang w:val="es-ES_tradnl"/>
        </w:rPr>
        <w:t>A pesar que no tiene incidencia en el resultado de la decisión</w:t>
      </w:r>
      <w:r w:rsidR="004348DD" w:rsidRPr="005943E7">
        <w:rPr>
          <w:rFonts w:ascii="Arial" w:hAnsi="Arial" w:cs="Arial"/>
          <w:spacing w:val="-2"/>
          <w:sz w:val="24"/>
          <w:szCs w:val="24"/>
          <w:lang w:val="es-ES_tradnl"/>
        </w:rPr>
        <w:t>,</w:t>
      </w:r>
      <w:r w:rsidRPr="005943E7">
        <w:rPr>
          <w:rFonts w:ascii="Arial" w:hAnsi="Arial" w:cs="Arial"/>
          <w:spacing w:val="-2"/>
          <w:sz w:val="24"/>
          <w:szCs w:val="24"/>
          <w:lang w:val="es-ES_tradnl"/>
        </w:rPr>
        <w:t xml:space="preserve"> debo aclarar mi voto en cuanto, en la providencia, se asume como posición vigente de la Sala la acogida por la Corte </w:t>
      </w:r>
      <w:r w:rsidR="004348DD" w:rsidRPr="005943E7">
        <w:rPr>
          <w:rFonts w:ascii="Arial" w:hAnsi="Arial" w:cs="Arial"/>
          <w:spacing w:val="-2"/>
          <w:sz w:val="24"/>
          <w:szCs w:val="24"/>
          <w:lang w:val="es-ES_tradnl"/>
        </w:rPr>
        <w:t>-que no comparto- respecto</w:t>
      </w:r>
      <w:r w:rsidRPr="005943E7">
        <w:rPr>
          <w:rFonts w:ascii="Arial" w:hAnsi="Arial" w:cs="Arial"/>
          <w:spacing w:val="-2"/>
          <w:sz w:val="24"/>
          <w:szCs w:val="24"/>
          <w:lang w:val="es-ES_tradnl"/>
        </w:rPr>
        <w:t xml:space="preserve"> al pago del cálculo actuarial que </w:t>
      </w:r>
      <w:r w:rsidR="004348DD" w:rsidRPr="005943E7">
        <w:rPr>
          <w:rFonts w:ascii="Arial" w:hAnsi="Arial" w:cs="Arial"/>
          <w:spacing w:val="-2"/>
          <w:sz w:val="24"/>
          <w:szCs w:val="24"/>
          <w:lang w:val="es-ES_tradnl"/>
        </w:rPr>
        <w:t xml:space="preserve">esa Corporación considera que </w:t>
      </w:r>
      <w:r w:rsidRPr="005943E7">
        <w:rPr>
          <w:rFonts w:ascii="Arial" w:hAnsi="Arial" w:cs="Arial"/>
          <w:spacing w:val="-2"/>
          <w:sz w:val="24"/>
          <w:szCs w:val="24"/>
          <w:lang w:val="es-ES_tradnl"/>
        </w:rPr>
        <w:t xml:space="preserve">deben hacer los empleadores por tiempos </w:t>
      </w:r>
      <w:r w:rsidR="004348DD" w:rsidRPr="005943E7">
        <w:rPr>
          <w:rFonts w:ascii="Arial" w:hAnsi="Arial" w:cs="Arial"/>
          <w:spacing w:val="-2"/>
          <w:sz w:val="24"/>
          <w:szCs w:val="24"/>
          <w:lang w:val="es-ES_tradnl"/>
        </w:rPr>
        <w:t>anteriores al año 1967 en que tuvieron trabajadores que no pudieron afiliar al ISS por falta de cobertura en la región donde prestaban el servicio</w:t>
      </w:r>
      <w:r w:rsidR="00ED3DAE" w:rsidRPr="005943E7">
        <w:rPr>
          <w:rFonts w:ascii="Arial" w:hAnsi="Arial" w:cs="Arial"/>
          <w:spacing w:val="-2"/>
          <w:sz w:val="24"/>
          <w:szCs w:val="24"/>
        </w:rPr>
        <w:t>.</w:t>
      </w:r>
      <w:r w:rsidR="004348DD" w:rsidRPr="005943E7">
        <w:rPr>
          <w:rFonts w:ascii="Arial" w:hAnsi="Arial" w:cs="Arial"/>
          <w:spacing w:val="-2"/>
          <w:sz w:val="24"/>
          <w:szCs w:val="24"/>
        </w:rPr>
        <w:t xml:space="preserve"> Tema sobre el cual me he alejado explicando que:</w:t>
      </w:r>
    </w:p>
    <w:p w14:paraId="40F91376" w14:textId="2E6C6A17" w:rsidR="004348DD" w:rsidRPr="005943E7" w:rsidRDefault="004348DD" w:rsidP="005943E7">
      <w:pPr>
        <w:suppressAutoHyphens/>
        <w:spacing w:line="276" w:lineRule="auto"/>
        <w:jc w:val="both"/>
        <w:rPr>
          <w:rFonts w:ascii="Arial" w:hAnsi="Arial" w:cs="Arial"/>
          <w:spacing w:val="-2"/>
          <w:sz w:val="24"/>
          <w:szCs w:val="24"/>
          <w:lang w:val="es-ES_tradnl"/>
        </w:rPr>
      </w:pPr>
    </w:p>
    <w:p w14:paraId="25D8B197" w14:textId="77777777" w:rsidR="004348DD" w:rsidRPr="005943E7" w:rsidRDefault="004348DD" w:rsidP="00B66A34">
      <w:pPr>
        <w:spacing w:line="276" w:lineRule="auto"/>
        <w:ind w:left="426" w:right="420"/>
        <w:jc w:val="both"/>
        <w:textAlignment w:val="baseline"/>
        <w:rPr>
          <w:rFonts w:ascii="Arial" w:hAnsi="Arial" w:cs="Arial"/>
          <w:sz w:val="24"/>
          <w:szCs w:val="24"/>
          <w:lang w:val="es-CO" w:eastAsia="es-CO"/>
        </w:rPr>
      </w:pPr>
      <w:r w:rsidRPr="005943E7">
        <w:rPr>
          <w:rFonts w:ascii="Arial" w:hAnsi="Arial" w:cs="Arial"/>
          <w:spacing w:val="-2"/>
          <w:sz w:val="24"/>
          <w:szCs w:val="24"/>
          <w:lang w:val="es-ES_tradnl"/>
        </w:rPr>
        <w:t>“</w:t>
      </w:r>
      <w:r w:rsidRPr="005943E7">
        <w:rPr>
          <w:rFonts w:ascii="Arial" w:hAnsi="Arial" w:cs="Arial"/>
          <w:sz w:val="24"/>
          <w:szCs w:val="24"/>
          <w:lang w:val="es-CO" w:eastAsia="es-CO"/>
        </w:rPr>
        <w:t>A partir de la sentencia CSJ SL 8453 de 1996, reiterada entre otras en las sentencias CSJ SL 32639, 27 oct. 2009, CSJ SL 39914, 10 jul. 2012 y CSJ SL 39144, 29 ene. 2014, la Sala de Casación Laboral sentó la posición consistente en que en aquellos casos en los que el empleador no afilió a su trabajador a los riesgos IVM debido a la ausencia de cobertura del ISS, la cual se fue implementando gradualmente a partir del año 1967, no es dable responsabilizarlo de una omisión en sus obligaciones y por lo tanto no está llamado a cancelar los aportes correspondientes a esos periodos.</w:t>
      </w:r>
    </w:p>
    <w:p w14:paraId="0521B56A" w14:textId="77777777" w:rsidR="004348DD" w:rsidRPr="005943E7" w:rsidRDefault="004348DD" w:rsidP="00B66A34">
      <w:pPr>
        <w:spacing w:line="276" w:lineRule="auto"/>
        <w:ind w:left="426" w:right="420"/>
        <w:jc w:val="both"/>
        <w:textAlignment w:val="baseline"/>
        <w:rPr>
          <w:rFonts w:ascii="Arial" w:hAnsi="Arial" w:cs="Arial"/>
          <w:sz w:val="24"/>
          <w:szCs w:val="24"/>
          <w:lang w:val="es-CO" w:eastAsia="es-CO"/>
        </w:rPr>
      </w:pPr>
    </w:p>
    <w:p w14:paraId="793968E3" w14:textId="77777777" w:rsidR="004348DD" w:rsidRPr="005943E7" w:rsidRDefault="004348DD" w:rsidP="00B66A34">
      <w:pPr>
        <w:spacing w:line="276" w:lineRule="auto"/>
        <w:ind w:left="426" w:right="420"/>
        <w:jc w:val="both"/>
        <w:textAlignment w:val="baseline"/>
        <w:rPr>
          <w:rFonts w:ascii="Arial" w:hAnsi="Arial" w:cs="Arial"/>
          <w:sz w:val="24"/>
          <w:szCs w:val="24"/>
          <w:lang w:val="es-CO" w:eastAsia="es-CO"/>
        </w:rPr>
      </w:pPr>
      <w:r w:rsidRPr="005943E7">
        <w:rPr>
          <w:rFonts w:ascii="Arial" w:hAnsi="Arial" w:cs="Arial"/>
          <w:sz w:val="24"/>
          <w:szCs w:val="24"/>
          <w:lang w:val="es-CO" w:eastAsia="es-CO"/>
        </w:rPr>
        <w:t xml:space="preserve">Sin embargo, a partir de la sentencia CSJ SL41745, 16 jul. 2014, la Corte cambió su precedente en el sentido de hacer responsables a los empleadores frente a sus trabajadores en el pago de los aportes a la seguridad social en pensiones, a través de un cálculo actuarial, aun cuando ello no haya acontecido por su culpa o negligencia ante la falta de cobertura del ISS, </w:t>
      </w:r>
      <w:r w:rsidRPr="005943E7">
        <w:rPr>
          <w:rFonts w:ascii="Arial" w:hAnsi="Arial" w:cs="Arial"/>
          <w:b/>
          <w:bCs/>
          <w:sz w:val="24"/>
          <w:szCs w:val="24"/>
          <w:lang w:val="es-CO" w:eastAsia="es-CO"/>
        </w:rPr>
        <w:t>estableciendo que tal responsabilidad debe recaer en esos empleadores en aquellos casos en los el trabajador no logró concretar el derecho pensional, ya que de esa manera se logra la protección integral del trabajador</w:t>
      </w:r>
      <w:r w:rsidRPr="005943E7">
        <w:rPr>
          <w:rFonts w:ascii="Arial" w:hAnsi="Arial" w:cs="Arial"/>
          <w:sz w:val="24"/>
          <w:szCs w:val="24"/>
          <w:lang w:val="es-CO" w:eastAsia="es-CO"/>
        </w:rPr>
        <w:t>, postura que reiteró en la sentencia SL1356 de 3 de abril de 2019 con ponencia de la Magistrada Clara Cecilia Dueñas Quevedo, así:</w:t>
      </w:r>
    </w:p>
    <w:p w14:paraId="2A79D450" w14:textId="77777777" w:rsidR="004348DD" w:rsidRPr="005943E7" w:rsidRDefault="004348DD" w:rsidP="00B66A34">
      <w:pPr>
        <w:spacing w:line="276" w:lineRule="auto"/>
        <w:ind w:left="426" w:right="420"/>
        <w:jc w:val="both"/>
        <w:textAlignment w:val="baseline"/>
        <w:rPr>
          <w:rFonts w:ascii="Arial" w:hAnsi="Arial" w:cs="Arial"/>
          <w:sz w:val="24"/>
          <w:szCs w:val="24"/>
          <w:lang w:val="es-CO" w:eastAsia="es-CO"/>
        </w:rPr>
      </w:pPr>
    </w:p>
    <w:p w14:paraId="1ED2C0AE" w14:textId="77777777" w:rsidR="004348DD" w:rsidRPr="005943E7" w:rsidRDefault="004348DD" w:rsidP="00B66A34">
      <w:pPr>
        <w:spacing w:line="276" w:lineRule="auto"/>
        <w:ind w:left="851" w:right="845"/>
        <w:jc w:val="both"/>
        <w:textAlignment w:val="baseline"/>
        <w:rPr>
          <w:rFonts w:ascii="Arial" w:hAnsi="Arial" w:cs="Arial"/>
          <w:sz w:val="24"/>
          <w:szCs w:val="24"/>
          <w:lang w:val="es-CO" w:eastAsia="es-CO"/>
        </w:rPr>
      </w:pPr>
      <w:r w:rsidRPr="005943E7">
        <w:rPr>
          <w:rFonts w:ascii="Arial" w:hAnsi="Arial" w:cs="Arial"/>
          <w:iCs/>
          <w:sz w:val="24"/>
          <w:szCs w:val="24"/>
          <w:lang w:val="es-CO" w:eastAsia="es-CO"/>
        </w:rPr>
        <w:lastRenderedPageBreak/>
        <w:t>“Bajo esos derroteros, en la sentencia CSJ SL9856-2014, luego reiterada en sentencia CSJ SL10122-2017, la Sala definió: (i) que no se podía negar que los empleadores mantenían obligaciones y responsabilidades respecto de sus trabajadores, a pesar de que no actuaran de manera incuriosa, al dejar de inscribirlos a la seguridad social en pensiones; (ii) que, en ese sentido, esos lapsos de no afiliación por falta de cobertura, debían estar a cargo del empleador, por mantener en cabeza suya el riesgo pensional, y (iii) que la manera de concretar ese gravamen, en casos “(…) en los que [el trabajador] no alcanzó a completar la densidad de cotizaciones para acceder a la pensión de vejez, [es] facilitar (…) que consolide su derecho, mediante el traslado del cálculo actuarial para de esa forma garantizarle que la prestación estará a cargo del ente de seguridad social”.</w:t>
      </w:r>
    </w:p>
    <w:p w14:paraId="16368EDB" w14:textId="77777777" w:rsidR="004348DD" w:rsidRPr="005943E7" w:rsidRDefault="004348DD" w:rsidP="00B66A34">
      <w:pPr>
        <w:spacing w:line="276" w:lineRule="auto"/>
        <w:ind w:left="426" w:right="420"/>
        <w:jc w:val="both"/>
        <w:textAlignment w:val="baseline"/>
        <w:rPr>
          <w:rFonts w:ascii="Arial" w:hAnsi="Arial" w:cs="Arial"/>
          <w:sz w:val="24"/>
          <w:szCs w:val="24"/>
          <w:lang w:val="es-CO" w:eastAsia="es-CO"/>
        </w:rPr>
      </w:pPr>
    </w:p>
    <w:p w14:paraId="46133183" w14:textId="77777777" w:rsidR="004348DD" w:rsidRPr="005943E7" w:rsidRDefault="004348DD" w:rsidP="00B66A34">
      <w:pPr>
        <w:spacing w:line="276" w:lineRule="auto"/>
        <w:ind w:left="426" w:right="420"/>
        <w:jc w:val="both"/>
        <w:textAlignment w:val="baseline"/>
        <w:rPr>
          <w:rFonts w:ascii="Arial" w:hAnsi="Arial" w:cs="Arial"/>
          <w:b/>
          <w:bCs/>
          <w:sz w:val="24"/>
          <w:szCs w:val="24"/>
          <w:lang w:val="es-CO" w:eastAsia="es-CO"/>
        </w:rPr>
      </w:pPr>
      <w:r w:rsidRPr="005943E7">
        <w:rPr>
          <w:rFonts w:ascii="Arial" w:hAnsi="Arial" w:cs="Arial"/>
          <w:iCs/>
          <w:sz w:val="24"/>
          <w:szCs w:val="24"/>
          <w:lang w:val="es-CO" w:eastAsia="es-CO"/>
        </w:rPr>
        <w:t xml:space="preserve">En ese contexto, resulta evidente para la Sala que el ad </w:t>
      </w:r>
      <w:proofErr w:type="spellStart"/>
      <w:r w:rsidRPr="005943E7">
        <w:rPr>
          <w:rFonts w:ascii="Arial" w:hAnsi="Arial" w:cs="Arial"/>
          <w:iCs/>
          <w:sz w:val="24"/>
          <w:szCs w:val="24"/>
          <w:lang w:val="es-CO" w:eastAsia="es-CO"/>
        </w:rPr>
        <w:t>quem</w:t>
      </w:r>
      <w:proofErr w:type="spellEnd"/>
      <w:r w:rsidRPr="005943E7">
        <w:rPr>
          <w:rFonts w:ascii="Arial" w:hAnsi="Arial" w:cs="Arial"/>
          <w:iCs/>
          <w:sz w:val="24"/>
          <w:szCs w:val="24"/>
          <w:lang w:val="es-CO" w:eastAsia="es-CO"/>
        </w:rPr>
        <w:t xml:space="preserve"> no se equivocó al condenar al empleador a “reconocer y constituir TITULO (sic) PENSIONAL” a favor del accionante, correspondiente al periodo comprendido entre el 31 de diciembre de 1972 y el 2 de enero de 1984, pues como quedó visto en precedencia, ello condujo a la protección integral que se debe al trabajador.”.</w:t>
      </w:r>
    </w:p>
    <w:p w14:paraId="102EAE21" w14:textId="7FCE3BCA" w:rsidR="004348DD" w:rsidRPr="005943E7" w:rsidRDefault="004348DD" w:rsidP="005943E7">
      <w:pPr>
        <w:suppressAutoHyphens/>
        <w:spacing w:line="276" w:lineRule="auto"/>
        <w:ind w:left="708"/>
        <w:jc w:val="both"/>
        <w:rPr>
          <w:rFonts w:ascii="Arial" w:hAnsi="Arial" w:cs="Arial"/>
          <w:spacing w:val="-2"/>
          <w:sz w:val="24"/>
          <w:szCs w:val="24"/>
          <w:lang w:val="es-ES_tradnl"/>
        </w:rPr>
      </w:pPr>
    </w:p>
    <w:p w14:paraId="7348D0EA" w14:textId="5D28B8A0" w:rsidR="009E4549" w:rsidRPr="005943E7" w:rsidRDefault="004348DD" w:rsidP="005943E7">
      <w:pPr>
        <w:spacing w:line="276" w:lineRule="auto"/>
        <w:jc w:val="both"/>
        <w:textAlignment w:val="baseline"/>
        <w:rPr>
          <w:rFonts w:ascii="Arial" w:hAnsi="Arial" w:cs="Arial"/>
          <w:sz w:val="24"/>
          <w:szCs w:val="24"/>
        </w:rPr>
      </w:pPr>
      <w:r w:rsidRPr="005943E7">
        <w:rPr>
          <w:rFonts w:ascii="Arial" w:hAnsi="Arial" w:cs="Arial"/>
          <w:sz w:val="24"/>
          <w:szCs w:val="24"/>
        </w:rPr>
        <w:t>No obstante lo anterior, considero que a tal conclusión se llegó sin considerar que:</w:t>
      </w:r>
    </w:p>
    <w:p w14:paraId="7E3FC895" w14:textId="4E1CBDED" w:rsidR="004348DD" w:rsidRDefault="004348DD" w:rsidP="005943E7">
      <w:pPr>
        <w:spacing w:line="276" w:lineRule="auto"/>
        <w:jc w:val="both"/>
        <w:textAlignment w:val="baseline"/>
        <w:rPr>
          <w:rFonts w:ascii="Arial" w:hAnsi="Arial" w:cs="Arial"/>
          <w:sz w:val="24"/>
          <w:szCs w:val="24"/>
          <w:lang w:val="es-CO" w:eastAsia="es-CO"/>
        </w:rPr>
      </w:pPr>
    </w:p>
    <w:p w14:paraId="3FAF1240" w14:textId="77777777" w:rsidR="002E7BBB" w:rsidRPr="005943E7" w:rsidRDefault="002E7BBB" w:rsidP="005943E7">
      <w:pPr>
        <w:spacing w:line="276" w:lineRule="auto"/>
        <w:jc w:val="both"/>
        <w:textAlignment w:val="baseline"/>
        <w:rPr>
          <w:rFonts w:ascii="Arial" w:hAnsi="Arial" w:cs="Arial"/>
          <w:sz w:val="24"/>
          <w:szCs w:val="24"/>
          <w:lang w:val="es-CO" w:eastAsia="es-CO"/>
        </w:rPr>
      </w:pPr>
    </w:p>
    <w:p w14:paraId="1057CCD4" w14:textId="2333BF79" w:rsidR="004348DD" w:rsidRPr="005943E7" w:rsidRDefault="004348DD" w:rsidP="00147E48">
      <w:pPr>
        <w:spacing w:line="276" w:lineRule="auto"/>
        <w:ind w:left="426" w:right="420"/>
        <w:jc w:val="both"/>
        <w:textAlignment w:val="baseline"/>
        <w:rPr>
          <w:rFonts w:ascii="Arial" w:hAnsi="Arial" w:cs="Arial"/>
          <w:b/>
          <w:sz w:val="24"/>
          <w:szCs w:val="24"/>
          <w:lang w:val="es-CO" w:eastAsia="es-CO"/>
        </w:rPr>
      </w:pPr>
      <w:r w:rsidRPr="005943E7">
        <w:rPr>
          <w:rFonts w:ascii="Arial" w:hAnsi="Arial" w:cs="Arial"/>
          <w:b/>
          <w:sz w:val="24"/>
          <w:szCs w:val="24"/>
          <w:lang w:val="es-CO" w:eastAsia="es-CO"/>
        </w:rPr>
        <w:t>PRIMERO:</w:t>
      </w:r>
    </w:p>
    <w:p w14:paraId="134547A5" w14:textId="77777777" w:rsidR="004348DD" w:rsidRPr="005943E7" w:rsidRDefault="004348DD" w:rsidP="00147E48">
      <w:pPr>
        <w:spacing w:line="276" w:lineRule="auto"/>
        <w:ind w:left="426" w:right="420"/>
        <w:jc w:val="both"/>
        <w:textAlignment w:val="baseline"/>
        <w:rPr>
          <w:rFonts w:ascii="Arial" w:hAnsi="Arial" w:cs="Arial"/>
          <w:b/>
          <w:sz w:val="24"/>
          <w:szCs w:val="24"/>
          <w:lang w:val="es-CO" w:eastAsia="es-CO"/>
        </w:rPr>
      </w:pPr>
    </w:p>
    <w:p w14:paraId="4B83997E" w14:textId="48393CF5" w:rsidR="009E4549" w:rsidRPr="005943E7" w:rsidRDefault="004348DD" w:rsidP="00147E48">
      <w:pPr>
        <w:spacing w:line="276" w:lineRule="auto"/>
        <w:ind w:left="426" w:right="420"/>
        <w:jc w:val="both"/>
        <w:textAlignment w:val="baseline"/>
        <w:rPr>
          <w:rFonts w:ascii="Arial" w:hAnsi="Arial" w:cs="Arial"/>
          <w:sz w:val="24"/>
          <w:szCs w:val="24"/>
          <w:lang w:val="es-CO" w:eastAsia="es-CO"/>
        </w:rPr>
      </w:pPr>
      <w:r w:rsidRPr="005943E7">
        <w:rPr>
          <w:rFonts w:ascii="Arial" w:hAnsi="Arial" w:cs="Arial"/>
          <w:sz w:val="24"/>
          <w:szCs w:val="24"/>
          <w:lang w:val="es-CO" w:eastAsia="es-CO"/>
        </w:rPr>
        <w:t>“</w:t>
      </w:r>
      <w:r w:rsidR="009E4549" w:rsidRPr="005943E7">
        <w:rPr>
          <w:rFonts w:ascii="Arial" w:hAnsi="Arial" w:cs="Arial"/>
          <w:sz w:val="24"/>
          <w:szCs w:val="24"/>
          <w:lang w:val="es-CO" w:eastAsia="es-CO"/>
        </w:rPr>
        <w:t>El Sistema de Seguro Social creado mediante la Ley 90 de 1946 no entró en vigor de manera inmediata y por ende en la exposición de motivos el Gobierno Nacional dispuso la necesidad de implementarla gradualmente, razón por la que a través del Acuerdo 224 de 1966 aprobado por el Decreto 3041 de esa misma anualidad, al asumir el ISS los riesgos IVM, dividió a los trabajadores de aquella época en tres grupos, tal y como lo expuso en múltiples providencias la Sala de Casación Laboral, entre ellas, las de 6 de mayo de 1998 radicación Nº10.557, 10 de octubre de 2002 radicación 18.707, 26 de julio de 2005 radicación Nº24.405, 27 de febrero de 2008 radicación Nº32.606 esta última con ponencia del Magistrado Luis Javier Osorio López, cuando reiteró:</w:t>
      </w:r>
    </w:p>
    <w:p w14:paraId="12A4539D" w14:textId="77777777" w:rsidR="009E4549" w:rsidRPr="005943E7" w:rsidRDefault="009E4549" w:rsidP="00147E48">
      <w:pPr>
        <w:spacing w:line="276" w:lineRule="auto"/>
        <w:ind w:left="426" w:right="420"/>
        <w:jc w:val="both"/>
        <w:textAlignment w:val="baseline"/>
        <w:rPr>
          <w:rFonts w:ascii="Arial" w:hAnsi="Arial" w:cs="Arial"/>
          <w:sz w:val="24"/>
          <w:szCs w:val="24"/>
          <w:lang w:val="es-CO" w:eastAsia="es-CO"/>
        </w:rPr>
      </w:pPr>
    </w:p>
    <w:p w14:paraId="45286389" w14:textId="5BC4E3A4" w:rsidR="009E4549" w:rsidRPr="005943E7" w:rsidRDefault="009E4549" w:rsidP="00147E48">
      <w:pPr>
        <w:spacing w:line="276" w:lineRule="auto"/>
        <w:ind w:left="851" w:right="845"/>
        <w:jc w:val="both"/>
        <w:textAlignment w:val="baseline"/>
        <w:rPr>
          <w:rFonts w:ascii="Arial" w:hAnsi="Arial" w:cs="Arial"/>
          <w:iCs/>
          <w:sz w:val="24"/>
          <w:szCs w:val="24"/>
          <w:lang w:val="es-CO" w:eastAsia="es-CO"/>
        </w:rPr>
      </w:pPr>
      <w:r w:rsidRPr="005943E7">
        <w:rPr>
          <w:rFonts w:ascii="Arial" w:hAnsi="Arial" w:cs="Arial"/>
          <w:iCs/>
          <w:sz w:val="24"/>
          <w:szCs w:val="24"/>
          <w:lang w:val="es-CO" w:eastAsia="es-CO"/>
        </w:rPr>
        <w:t>“... es bueno recordar que cuando el I.S.S. asumió el riesgo de vejez, el derecho a la pensión de jubilación o de vejez dividió a los trabajadores en tres grupos, así: 1. Trabajadores que no habían completado los diez años de servicios continuos o discontinuos para un mismo patrono, y trabajadores que llevaban cualquier tiempo pero prestaban servicios a empresas cuyo capital no alcanzaba a $800.000</w:t>
      </w:r>
      <w:r w:rsidR="00AC47C1">
        <w:rPr>
          <w:rFonts w:ascii="Arial" w:hAnsi="Arial" w:cs="Arial"/>
          <w:iCs/>
          <w:sz w:val="24"/>
          <w:szCs w:val="24"/>
          <w:lang w:val="es-CO" w:eastAsia="es-CO"/>
        </w:rPr>
        <w:t>,00</w:t>
      </w:r>
      <w:r w:rsidRPr="005943E7">
        <w:rPr>
          <w:rFonts w:ascii="Arial" w:hAnsi="Arial" w:cs="Arial"/>
          <w:iCs/>
          <w:sz w:val="24"/>
          <w:szCs w:val="24"/>
          <w:lang w:val="es-CO" w:eastAsia="es-CO"/>
        </w:rPr>
        <w:t xml:space="preserve">. 2. Trabajadores que ya habían completado los diez años, pero no habían llegado a los veinte al </w:t>
      </w:r>
      <w:r w:rsidRPr="005943E7">
        <w:rPr>
          <w:rFonts w:ascii="Arial" w:hAnsi="Arial" w:cs="Arial"/>
          <w:iCs/>
          <w:sz w:val="24"/>
          <w:szCs w:val="24"/>
          <w:lang w:val="es-CO" w:eastAsia="es-CO"/>
        </w:rPr>
        <w:lastRenderedPageBreak/>
        <w:t>servicio de un mismo patrono con capital superior a $800.000</w:t>
      </w:r>
      <w:r w:rsidR="00AC47C1">
        <w:rPr>
          <w:rFonts w:ascii="Arial" w:hAnsi="Arial" w:cs="Arial"/>
          <w:iCs/>
          <w:sz w:val="24"/>
          <w:szCs w:val="24"/>
          <w:lang w:val="es-CO" w:eastAsia="es-CO"/>
        </w:rPr>
        <w:t>,00</w:t>
      </w:r>
      <w:r w:rsidRPr="005943E7">
        <w:rPr>
          <w:rFonts w:ascii="Arial" w:hAnsi="Arial" w:cs="Arial"/>
          <w:iCs/>
          <w:sz w:val="24"/>
          <w:szCs w:val="24"/>
          <w:lang w:val="es-CO" w:eastAsia="es-CO"/>
        </w:rPr>
        <w:t>. 3. Trabajadores que ya habían cumplido los 20 años de trabajo, continuos o discontinuos, al servicio de un mismo empleador con capital superior a $800.000</w:t>
      </w:r>
      <w:r w:rsidR="00AC47C1">
        <w:rPr>
          <w:rFonts w:ascii="Arial" w:hAnsi="Arial" w:cs="Arial"/>
          <w:iCs/>
          <w:sz w:val="24"/>
          <w:szCs w:val="24"/>
          <w:lang w:val="es-CO" w:eastAsia="es-CO"/>
        </w:rPr>
        <w:t>,00</w:t>
      </w:r>
      <w:r w:rsidRPr="005943E7">
        <w:rPr>
          <w:rFonts w:ascii="Arial" w:hAnsi="Arial" w:cs="Arial"/>
          <w:iCs/>
          <w:sz w:val="24"/>
          <w:szCs w:val="24"/>
          <w:lang w:val="es-CO" w:eastAsia="es-CO"/>
        </w:rPr>
        <w:t>.</w:t>
      </w:r>
    </w:p>
    <w:p w14:paraId="397F4CC5" w14:textId="77777777" w:rsidR="009E4549" w:rsidRPr="005943E7" w:rsidRDefault="009E4549" w:rsidP="00147E48">
      <w:pPr>
        <w:spacing w:line="276" w:lineRule="auto"/>
        <w:ind w:left="851" w:right="845"/>
        <w:jc w:val="both"/>
        <w:textAlignment w:val="baseline"/>
        <w:rPr>
          <w:rFonts w:ascii="Arial" w:hAnsi="Arial" w:cs="Arial"/>
          <w:iCs/>
          <w:sz w:val="24"/>
          <w:szCs w:val="24"/>
          <w:lang w:val="es-CO" w:eastAsia="es-CO"/>
        </w:rPr>
      </w:pPr>
    </w:p>
    <w:p w14:paraId="63B0FEC6" w14:textId="77777777" w:rsidR="009E4549" w:rsidRPr="005943E7" w:rsidRDefault="009E4549" w:rsidP="00147E48">
      <w:pPr>
        <w:spacing w:line="276" w:lineRule="auto"/>
        <w:ind w:left="851" w:right="845"/>
        <w:jc w:val="both"/>
        <w:textAlignment w:val="baseline"/>
        <w:rPr>
          <w:rFonts w:ascii="Arial" w:hAnsi="Arial" w:cs="Arial"/>
          <w:iCs/>
          <w:sz w:val="24"/>
          <w:szCs w:val="24"/>
          <w:lang w:val="es-CO" w:eastAsia="es-CO"/>
        </w:rPr>
      </w:pPr>
      <w:r w:rsidRPr="005943E7">
        <w:rPr>
          <w:rFonts w:ascii="Arial" w:hAnsi="Arial" w:cs="Arial"/>
          <w:iCs/>
          <w:sz w:val="24"/>
          <w:szCs w:val="24"/>
          <w:lang w:val="es-CO" w:eastAsia="es-CO"/>
        </w:rPr>
        <w:t>“El primer grupo de trabajadores quedó excluido del derecho a la pensión consagrado en el artículo 260 del Código Sustantivo del Trabajo y quedó sujeto a las normas que regulan el derecho a la pensión de vejez a cargo del Instituto de Seguros Sociales.</w:t>
      </w:r>
    </w:p>
    <w:p w14:paraId="182AF0A3" w14:textId="77777777" w:rsidR="009E4549" w:rsidRPr="005943E7" w:rsidRDefault="009E4549" w:rsidP="00147E48">
      <w:pPr>
        <w:spacing w:line="276" w:lineRule="auto"/>
        <w:ind w:left="851" w:right="845"/>
        <w:jc w:val="both"/>
        <w:textAlignment w:val="baseline"/>
        <w:rPr>
          <w:rFonts w:ascii="Arial" w:hAnsi="Arial" w:cs="Arial"/>
          <w:iCs/>
          <w:sz w:val="24"/>
          <w:szCs w:val="24"/>
          <w:lang w:val="es-CO" w:eastAsia="es-CO"/>
        </w:rPr>
      </w:pPr>
    </w:p>
    <w:p w14:paraId="425E569C" w14:textId="77777777" w:rsidR="009E4549" w:rsidRPr="005943E7" w:rsidRDefault="009E4549" w:rsidP="00147E48">
      <w:pPr>
        <w:spacing w:line="276" w:lineRule="auto"/>
        <w:ind w:left="851" w:right="845"/>
        <w:jc w:val="both"/>
        <w:textAlignment w:val="baseline"/>
        <w:rPr>
          <w:rFonts w:ascii="Arial" w:hAnsi="Arial" w:cs="Arial"/>
          <w:iCs/>
          <w:sz w:val="24"/>
          <w:szCs w:val="24"/>
          <w:lang w:val="es-CO" w:eastAsia="es-CO"/>
        </w:rPr>
      </w:pPr>
      <w:r w:rsidRPr="005943E7">
        <w:rPr>
          <w:rFonts w:ascii="Arial" w:hAnsi="Arial" w:cs="Arial"/>
          <w:iCs/>
          <w:sz w:val="24"/>
          <w:szCs w:val="24"/>
          <w:lang w:val="es-CO" w:eastAsia="es-CO"/>
        </w:rPr>
        <w:t>“El tercer grupo continuó con su derecho en los términos del mencionado artículo 260, a cargo del patrono, toda vez que el Instituto no asumió, respecto de éstos, el riesgo de vejez.</w:t>
      </w:r>
    </w:p>
    <w:p w14:paraId="382D7DC2" w14:textId="77777777" w:rsidR="009E4549" w:rsidRPr="005943E7" w:rsidRDefault="009E4549" w:rsidP="00147E48">
      <w:pPr>
        <w:spacing w:line="276" w:lineRule="auto"/>
        <w:ind w:left="851" w:right="845"/>
        <w:jc w:val="both"/>
        <w:textAlignment w:val="baseline"/>
        <w:rPr>
          <w:rFonts w:ascii="Arial" w:hAnsi="Arial" w:cs="Arial"/>
          <w:iCs/>
          <w:sz w:val="24"/>
          <w:szCs w:val="24"/>
          <w:lang w:val="es-CO" w:eastAsia="es-CO"/>
        </w:rPr>
      </w:pPr>
    </w:p>
    <w:p w14:paraId="443E4235" w14:textId="77777777" w:rsidR="009E4549" w:rsidRPr="005943E7" w:rsidRDefault="009E4549" w:rsidP="00147E48">
      <w:pPr>
        <w:spacing w:line="276" w:lineRule="auto"/>
        <w:ind w:left="851" w:right="845"/>
        <w:jc w:val="both"/>
        <w:textAlignment w:val="baseline"/>
        <w:rPr>
          <w:rFonts w:ascii="Arial" w:hAnsi="Arial" w:cs="Arial"/>
          <w:iCs/>
          <w:sz w:val="24"/>
          <w:szCs w:val="24"/>
          <w:lang w:val="es-CO" w:eastAsia="es-CO"/>
        </w:rPr>
      </w:pPr>
      <w:r w:rsidRPr="005943E7">
        <w:rPr>
          <w:rFonts w:ascii="Arial" w:hAnsi="Arial" w:cs="Arial"/>
          <w:iCs/>
          <w:sz w:val="24"/>
          <w:szCs w:val="24"/>
          <w:lang w:val="es-CO" w:eastAsia="es-CO"/>
        </w:rPr>
        <w:t>“Y los trabajadores del segundo grupo conservaron el derecho a la pensión de jubilación tal y como estaba consagrado en el Código Sustantivo del Trabajo, pero el empleador puede continuar las cotizaciones al Instituto de Seguros Sociales para que, cuando se cumplan los requisitos del caso, el I.S.S. comience a pagar la pensión de vejez correspondiente y el empleador solo quede obligado con la parte de la pensión que no alcance a cubrir el I.S.S.; es la que comúnmente se conoce con el nombre de pensión compartida.”</w:t>
      </w:r>
    </w:p>
    <w:p w14:paraId="237ED714" w14:textId="77777777" w:rsidR="009E4549" w:rsidRPr="005943E7" w:rsidRDefault="009E4549" w:rsidP="00147E48">
      <w:pPr>
        <w:spacing w:line="276" w:lineRule="auto"/>
        <w:ind w:left="426" w:right="420"/>
        <w:jc w:val="both"/>
        <w:textAlignment w:val="baseline"/>
        <w:rPr>
          <w:rFonts w:ascii="Arial" w:hAnsi="Arial" w:cs="Arial"/>
          <w:iCs/>
          <w:sz w:val="24"/>
          <w:szCs w:val="24"/>
          <w:lang w:val="es-CO" w:eastAsia="es-CO"/>
        </w:rPr>
      </w:pPr>
    </w:p>
    <w:p w14:paraId="540DDC5A" w14:textId="77777777" w:rsidR="009E4549" w:rsidRPr="005943E7" w:rsidRDefault="009E4549" w:rsidP="00147E48">
      <w:pPr>
        <w:spacing w:line="276" w:lineRule="auto"/>
        <w:ind w:left="426" w:right="420"/>
        <w:jc w:val="both"/>
        <w:textAlignment w:val="baseline"/>
        <w:rPr>
          <w:rFonts w:ascii="Arial" w:hAnsi="Arial" w:cs="Arial"/>
          <w:sz w:val="24"/>
          <w:szCs w:val="24"/>
          <w:lang w:val="es-CO" w:eastAsia="es-CO"/>
        </w:rPr>
      </w:pPr>
      <w:r w:rsidRPr="005943E7">
        <w:rPr>
          <w:rFonts w:ascii="Arial" w:hAnsi="Arial" w:cs="Arial"/>
          <w:sz w:val="24"/>
          <w:szCs w:val="24"/>
          <w:lang w:val="es-CO" w:eastAsia="es-CO"/>
        </w:rPr>
        <w:t>Nótese que frente al primer grupo, es decir, aquellos trabajadores que no habían completado diez años de servicios, ninguna responsabilidad se le atribuyó al empleador, ya que como se vio, a partir de la cobertura del ISS en la asunción de los riesgos IVM, la cual inició el 1º de enero de 1967 de manera gradual, este contingente de trabajadores quedó sujeto a las normas que regulan el derecho a la pensión de vejez a cargo precisamente del ISS; atribuyéndosele únicamente a partir de ese momento, la responsabilidad al empleador de afiliar a sus trabajadores y realizar las cotizaciones correspondientes mientras se encuentre vigente el vínculo laboral.</w:t>
      </w:r>
    </w:p>
    <w:p w14:paraId="32CB4A7A" w14:textId="77777777" w:rsidR="009E4549" w:rsidRPr="005943E7" w:rsidRDefault="009E4549" w:rsidP="00147E48">
      <w:pPr>
        <w:spacing w:line="276" w:lineRule="auto"/>
        <w:ind w:left="426" w:right="420"/>
        <w:jc w:val="both"/>
        <w:textAlignment w:val="baseline"/>
        <w:rPr>
          <w:rFonts w:ascii="Arial" w:hAnsi="Arial" w:cs="Arial"/>
          <w:sz w:val="24"/>
          <w:szCs w:val="24"/>
          <w:lang w:val="es-CO" w:eastAsia="es-CO"/>
        </w:rPr>
      </w:pPr>
    </w:p>
    <w:p w14:paraId="3BF505BC" w14:textId="77777777" w:rsidR="009E4549" w:rsidRPr="005943E7" w:rsidRDefault="009E4549" w:rsidP="00147E48">
      <w:pPr>
        <w:spacing w:line="276" w:lineRule="auto"/>
        <w:ind w:left="426" w:right="420"/>
        <w:jc w:val="both"/>
        <w:textAlignment w:val="baseline"/>
        <w:rPr>
          <w:rFonts w:ascii="Arial" w:hAnsi="Arial" w:cs="Arial"/>
          <w:sz w:val="24"/>
          <w:szCs w:val="24"/>
          <w:lang w:val="es-CO" w:eastAsia="es-CO"/>
        </w:rPr>
      </w:pPr>
      <w:r w:rsidRPr="005943E7">
        <w:rPr>
          <w:rFonts w:ascii="Arial" w:hAnsi="Arial" w:cs="Arial"/>
          <w:sz w:val="24"/>
          <w:szCs w:val="24"/>
          <w:lang w:val="es-CO" w:eastAsia="es-CO"/>
        </w:rPr>
        <w:t>Es que lo que dispuso el Acuerdo 224 de 1966 aprobado por el Decreto 3041 de esa misma anualidad para este tipo de trabajadores, los que no habían alcanzado a cumplir diez años de servicios continuos o discontinuos con su empleador, fue la posibilidad de adquirir el derecho a la pensión de vejez con un mínimo de 500 semanas de cotización, algo menos de diez años, situación ésta que compensaba precisamente los diez años o menos que eventualmente se hubieren servido antes de entrar a regir el sistema mismos que si se observa bien, sumados a las 500 semanas exigidas en los reglamentos, refleja en total los 20 años exigidos tradicionalmente para acceder a la pensión de vejez (Artículo 260 del C.S.T. literal c) artículo 14 de la ley 6ª de 1945).</w:t>
      </w:r>
    </w:p>
    <w:p w14:paraId="41E9C7DA" w14:textId="24A8427A" w:rsidR="009E4549" w:rsidRDefault="009E4549" w:rsidP="00147E48">
      <w:pPr>
        <w:spacing w:line="276" w:lineRule="auto"/>
        <w:ind w:left="426" w:right="420"/>
        <w:jc w:val="both"/>
        <w:textAlignment w:val="baseline"/>
        <w:rPr>
          <w:rFonts w:ascii="Arial" w:hAnsi="Arial" w:cs="Arial"/>
          <w:sz w:val="24"/>
          <w:szCs w:val="24"/>
          <w:lang w:val="es-CO" w:eastAsia="es-CO"/>
        </w:rPr>
      </w:pPr>
    </w:p>
    <w:p w14:paraId="660AF9C4" w14:textId="77777777" w:rsidR="002E7BBB" w:rsidRPr="005943E7" w:rsidRDefault="002E7BBB" w:rsidP="00147E48">
      <w:pPr>
        <w:spacing w:line="276" w:lineRule="auto"/>
        <w:ind w:left="426" w:right="420"/>
        <w:jc w:val="both"/>
        <w:textAlignment w:val="baseline"/>
        <w:rPr>
          <w:rFonts w:ascii="Arial" w:hAnsi="Arial" w:cs="Arial"/>
          <w:sz w:val="24"/>
          <w:szCs w:val="24"/>
          <w:lang w:val="es-CO" w:eastAsia="es-CO"/>
        </w:rPr>
      </w:pPr>
    </w:p>
    <w:p w14:paraId="1F9EA6EF" w14:textId="33CD6E09" w:rsidR="004348DD" w:rsidRPr="005943E7" w:rsidRDefault="004348DD" w:rsidP="00147E48">
      <w:pPr>
        <w:spacing w:line="276" w:lineRule="auto"/>
        <w:ind w:left="426" w:right="420"/>
        <w:jc w:val="both"/>
        <w:textAlignment w:val="baseline"/>
        <w:rPr>
          <w:rFonts w:ascii="Arial" w:hAnsi="Arial" w:cs="Arial"/>
          <w:b/>
          <w:bCs/>
          <w:sz w:val="24"/>
          <w:szCs w:val="24"/>
          <w:lang w:val="es-CO" w:eastAsia="es-CO"/>
        </w:rPr>
      </w:pPr>
      <w:r w:rsidRPr="005943E7">
        <w:rPr>
          <w:rFonts w:ascii="Arial" w:hAnsi="Arial" w:cs="Arial"/>
          <w:b/>
          <w:bCs/>
          <w:sz w:val="24"/>
          <w:szCs w:val="24"/>
          <w:lang w:val="es-CO" w:eastAsia="es-CO"/>
        </w:rPr>
        <w:t>SEGUNDO:</w:t>
      </w:r>
    </w:p>
    <w:p w14:paraId="7D6BC5C5" w14:textId="77777777" w:rsidR="004348DD" w:rsidRPr="005943E7" w:rsidRDefault="004348DD" w:rsidP="00147E48">
      <w:pPr>
        <w:spacing w:line="276" w:lineRule="auto"/>
        <w:ind w:left="426" w:right="420"/>
        <w:jc w:val="both"/>
        <w:textAlignment w:val="baseline"/>
        <w:rPr>
          <w:rFonts w:ascii="Arial" w:hAnsi="Arial" w:cs="Arial"/>
          <w:b/>
          <w:bCs/>
          <w:sz w:val="24"/>
          <w:szCs w:val="24"/>
          <w:lang w:val="es-CO" w:eastAsia="es-CO"/>
        </w:rPr>
      </w:pPr>
    </w:p>
    <w:p w14:paraId="40A4C5C5" w14:textId="2476D23A" w:rsidR="009E4549" w:rsidRPr="005943E7" w:rsidRDefault="009E4549" w:rsidP="00147E48">
      <w:pPr>
        <w:spacing w:line="276" w:lineRule="auto"/>
        <w:ind w:left="426" w:right="420"/>
        <w:jc w:val="both"/>
        <w:textAlignment w:val="baseline"/>
        <w:rPr>
          <w:rFonts w:ascii="Arial" w:hAnsi="Arial" w:cs="Arial"/>
          <w:b/>
          <w:bCs/>
          <w:sz w:val="24"/>
          <w:szCs w:val="24"/>
          <w:lang w:val="es-CO" w:eastAsia="es-CO"/>
        </w:rPr>
      </w:pPr>
      <w:r w:rsidRPr="005943E7">
        <w:rPr>
          <w:rFonts w:ascii="Arial" w:hAnsi="Arial" w:cs="Arial"/>
          <w:b/>
          <w:bCs/>
          <w:sz w:val="24"/>
          <w:szCs w:val="24"/>
          <w:lang w:val="es-CO" w:eastAsia="es-CO"/>
        </w:rPr>
        <w:t>CONSTITUCIONALIDAD DEL LITERAL C. DEL PARÁGRAFO 1º DEL ARTÍCULO 33 DE LA LEY 100 DE 1993.</w:t>
      </w:r>
    </w:p>
    <w:p w14:paraId="0C43ECAA" w14:textId="77777777" w:rsidR="009E4549" w:rsidRPr="005943E7" w:rsidRDefault="009E4549" w:rsidP="00147E48">
      <w:pPr>
        <w:spacing w:line="276" w:lineRule="auto"/>
        <w:ind w:left="426" w:right="420"/>
        <w:jc w:val="both"/>
        <w:textAlignment w:val="baseline"/>
        <w:rPr>
          <w:rFonts w:ascii="Arial" w:hAnsi="Arial" w:cs="Arial"/>
          <w:sz w:val="24"/>
          <w:szCs w:val="24"/>
          <w:lang w:val="es-CO" w:eastAsia="es-CO"/>
        </w:rPr>
      </w:pPr>
    </w:p>
    <w:p w14:paraId="24DADDEC" w14:textId="77777777" w:rsidR="009E4549" w:rsidRPr="005943E7" w:rsidRDefault="009E4549" w:rsidP="00147E48">
      <w:pPr>
        <w:spacing w:line="276" w:lineRule="auto"/>
        <w:ind w:left="426" w:right="420"/>
        <w:jc w:val="both"/>
        <w:textAlignment w:val="baseline"/>
        <w:rPr>
          <w:rFonts w:ascii="Arial" w:hAnsi="Arial" w:cs="Arial"/>
          <w:b/>
          <w:bCs/>
          <w:sz w:val="24"/>
          <w:szCs w:val="24"/>
          <w:lang w:val="es-CO" w:eastAsia="es-CO"/>
        </w:rPr>
      </w:pPr>
      <w:r w:rsidRPr="005943E7">
        <w:rPr>
          <w:rFonts w:ascii="Arial" w:hAnsi="Arial" w:cs="Arial"/>
          <w:sz w:val="24"/>
          <w:szCs w:val="24"/>
          <w:lang w:val="es-CO" w:eastAsia="es-CO"/>
        </w:rPr>
        <w:t xml:space="preserve">Establece la norma en cita que, para efectos del cómputo de las semanas tendientes a obtener la pensión de vejez, deberá tenerse en cuenta el tiempo de servicio de los trabajadores vinculados con empleadores que antes de la vigencia de ese cuerpo normativo tenían a su cargo el reconocimiento y pago de la pensión, </w:t>
      </w:r>
      <w:r w:rsidRPr="005943E7">
        <w:rPr>
          <w:rFonts w:ascii="Arial" w:hAnsi="Arial" w:cs="Arial"/>
          <w:b/>
          <w:bCs/>
          <w:sz w:val="24"/>
          <w:szCs w:val="24"/>
          <w:lang w:val="es-CO" w:eastAsia="es-CO"/>
        </w:rPr>
        <w:t>siempre y cuando la vinculación laboral se encontrara vigente o se haya iniciado con posterioridad a la vigencia de la Ley 100 de 1993.</w:t>
      </w:r>
    </w:p>
    <w:p w14:paraId="7B8067FE" w14:textId="77777777" w:rsidR="009E4549" w:rsidRPr="005943E7" w:rsidRDefault="009E4549" w:rsidP="00147E48">
      <w:pPr>
        <w:spacing w:line="276" w:lineRule="auto"/>
        <w:ind w:left="426" w:right="420"/>
        <w:jc w:val="both"/>
        <w:textAlignment w:val="baseline"/>
        <w:rPr>
          <w:rFonts w:ascii="Arial" w:hAnsi="Arial" w:cs="Arial"/>
          <w:sz w:val="24"/>
          <w:szCs w:val="24"/>
          <w:lang w:val="es-CO" w:eastAsia="es-CO"/>
        </w:rPr>
      </w:pPr>
    </w:p>
    <w:p w14:paraId="0822837F" w14:textId="77777777" w:rsidR="009E4549" w:rsidRPr="005943E7" w:rsidRDefault="009E4549" w:rsidP="00147E48">
      <w:pPr>
        <w:spacing w:line="276" w:lineRule="auto"/>
        <w:ind w:left="426" w:right="420"/>
        <w:jc w:val="both"/>
        <w:textAlignment w:val="baseline"/>
        <w:rPr>
          <w:rFonts w:ascii="Arial" w:hAnsi="Arial" w:cs="Arial"/>
          <w:sz w:val="24"/>
          <w:szCs w:val="24"/>
          <w:lang w:val="es-CO" w:eastAsia="es-CO"/>
        </w:rPr>
      </w:pPr>
      <w:r w:rsidRPr="005943E7">
        <w:rPr>
          <w:rFonts w:ascii="Arial" w:hAnsi="Arial" w:cs="Arial"/>
          <w:sz w:val="24"/>
          <w:szCs w:val="24"/>
          <w:lang w:val="es-CO" w:eastAsia="es-CO"/>
        </w:rPr>
        <w:t xml:space="preserve">En ejercicio de la acción pública de inconstitucionalidad fue demandada la expresión </w:t>
      </w:r>
      <w:r w:rsidRPr="005943E7">
        <w:rPr>
          <w:rFonts w:ascii="Arial" w:hAnsi="Arial" w:cs="Arial"/>
          <w:iCs/>
          <w:sz w:val="24"/>
          <w:szCs w:val="24"/>
          <w:lang w:val="es-CO" w:eastAsia="es-CO"/>
        </w:rPr>
        <w:t>“… siempre y cuando la vinculación laboral se encontrara vigente o se haya iniciado con posterioridad a la vigencia de la Ley 100 de 1993.</w:t>
      </w:r>
      <w:r w:rsidRPr="005943E7">
        <w:rPr>
          <w:rFonts w:ascii="Arial" w:hAnsi="Arial" w:cs="Arial"/>
          <w:sz w:val="24"/>
          <w:szCs w:val="24"/>
          <w:lang w:val="es-CO" w:eastAsia="es-CO"/>
        </w:rPr>
        <w:t>”, lo que llevó a la Corte Constitucional a abordar el tema propuesto, concluyendo en sentencia C-506 de 2001, que tal expresión no vulneraba los artículos 1º, 2º, 25, 46, 48 y 53 de la Carta Política, y en consecuencia la declaró exequible.</w:t>
      </w:r>
    </w:p>
    <w:p w14:paraId="2F1B5B4E" w14:textId="77777777" w:rsidR="009E4549" w:rsidRPr="005943E7" w:rsidRDefault="009E4549" w:rsidP="00147E48">
      <w:pPr>
        <w:spacing w:line="276" w:lineRule="auto"/>
        <w:ind w:left="426" w:right="420"/>
        <w:jc w:val="both"/>
        <w:textAlignment w:val="baseline"/>
        <w:rPr>
          <w:rFonts w:ascii="Arial" w:hAnsi="Arial" w:cs="Arial"/>
          <w:sz w:val="24"/>
          <w:szCs w:val="24"/>
          <w:lang w:val="es-CO" w:eastAsia="es-CO"/>
        </w:rPr>
      </w:pPr>
    </w:p>
    <w:p w14:paraId="478A93B4" w14:textId="77777777" w:rsidR="009E4549" w:rsidRPr="005943E7" w:rsidRDefault="009E4549" w:rsidP="00147E48">
      <w:pPr>
        <w:spacing w:line="276" w:lineRule="auto"/>
        <w:ind w:left="426" w:right="420"/>
        <w:jc w:val="both"/>
        <w:textAlignment w:val="baseline"/>
        <w:rPr>
          <w:rFonts w:ascii="Arial" w:hAnsi="Arial" w:cs="Arial"/>
          <w:sz w:val="24"/>
          <w:szCs w:val="24"/>
          <w:lang w:val="es-CO" w:eastAsia="es-CO"/>
        </w:rPr>
      </w:pPr>
      <w:r w:rsidRPr="005943E7">
        <w:rPr>
          <w:rFonts w:ascii="Arial" w:hAnsi="Arial" w:cs="Arial"/>
          <w:sz w:val="24"/>
          <w:szCs w:val="24"/>
          <w:lang w:val="es-CO" w:eastAsia="es-CO"/>
        </w:rPr>
        <w:t xml:space="preserve">Para llegar a esa conclusión, el máximo órgano de la jurisdicción constitucional, después de recordar cuales fueron los argumentos que precedieron la expedición de la Ley 100 de 1993, señaló que antes de su entrada en vigor, los trabajadores del sector privado no tenían la posibilidad de exigir el reconocimiento y pago de la pensión de vejez por los tiempos de servicio acumulado en varias entidades privadas que tuviesen a su cargo el pago de la pensión, si no cumplían el lleno de los requisitos para acceder a esa prestación dentro de la respectiva empresa; por lo que, </w:t>
      </w:r>
      <w:r w:rsidRPr="005943E7">
        <w:rPr>
          <w:rFonts w:ascii="Arial" w:hAnsi="Arial" w:cs="Arial"/>
          <w:iCs/>
          <w:sz w:val="24"/>
          <w:szCs w:val="24"/>
          <w:lang w:val="es-CO" w:eastAsia="es-CO"/>
        </w:rPr>
        <w:t>“… si los trabajadores privados no alcanzaban a cumplir de manera completa tales requisitos, no se consolidaba el derecho a la prestación y las semanas servidas a la entidad no podían tenerse en cuenta para efectos de ninguna otra pensión</w:t>
      </w:r>
      <w:r w:rsidRPr="005943E7">
        <w:rPr>
          <w:rFonts w:ascii="Arial" w:hAnsi="Arial" w:cs="Arial"/>
          <w:sz w:val="24"/>
          <w:szCs w:val="24"/>
          <w:lang w:val="es-CO" w:eastAsia="es-CO"/>
        </w:rPr>
        <w:t>.”.</w:t>
      </w:r>
    </w:p>
    <w:p w14:paraId="2A514E76" w14:textId="77777777" w:rsidR="009E4549" w:rsidRPr="005943E7" w:rsidRDefault="009E4549" w:rsidP="00147E48">
      <w:pPr>
        <w:spacing w:line="276" w:lineRule="auto"/>
        <w:ind w:left="426" w:right="420"/>
        <w:jc w:val="both"/>
        <w:textAlignment w:val="baseline"/>
        <w:rPr>
          <w:rFonts w:ascii="Arial" w:hAnsi="Arial" w:cs="Arial"/>
          <w:sz w:val="24"/>
          <w:szCs w:val="24"/>
          <w:lang w:val="es-CO" w:eastAsia="es-CO"/>
        </w:rPr>
      </w:pPr>
    </w:p>
    <w:p w14:paraId="0C3BD831" w14:textId="77777777" w:rsidR="009E4549" w:rsidRPr="005943E7" w:rsidRDefault="009E4549" w:rsidP="00147E48">
      <w:pPr>
        <w:spacing w:line="276" w:lineRule="auto"/>
        <w:ind w:left="426" w:right="420"/>
        <w:jc w:val="both"/>
        <w:textAlignment w:val="baseline"/>
        <w:rPr>
          <w:rFonts w:ascii="Arial" w:hAnsi="Arial" w:cs="Arial"/>
          <w:sz w:val="24"/>
          <w:szCs w:val="24"/>
          <w:lang w:val="es-CO" w:eastAsia="es-CO"/>
        </w:rPr>
      </w:pPr>
      <w:r w:rsidRPr="005943E7">
        <w:rPr>
          <w:rFonts w:ascii="Arial" w:hAnsi="Arial" w:cs="Arial"/>
          <w:sz w:val="24"/>
          <w:szCs w:val="24"/>
          <w:lang w:val="es-CO" w:eastAsia="es-CO"/>
        </w:rPr>
        <w:t>En atención a ello, señaló la Corte, fue que el legislador a partir de la expedición de la ley 100 de 1993 estableció una nueva obligación en cabeza de esos empleadores, que consistió en el aprovisionamiento hacía el futuro de los cálculos actuariales que correspondían al tiempo de servicios del trabajador con contrato laboral vigente a la fecha en que entró en vigencia esa ley, o que se inició con posterioridad a ella; lo cual, en su entender, constituyó un avance en el proceso de universalización de la seguridad social.</w:t>
      </w:r>
    </w:p>
    <w:p w14:paraId="6EE182AD" w14:textId="77777777" w:rsidR="009E4549" w:rsidRPr="005943E7" w:rsidRDefault="009E4549" w:rsidP="00147E48">
      <w:pPr>
        <w:spacing w:line="276" w:lineRule="auto"/>
        <w:ind w:left="426" w:right="420"/>
        <w:jc w:val="both"/>
        <w:textAlignment w:val="baseline"/>
        <w:rPr>
          <w:rFonts w:ascii="Arial" w:hAnsi="Arial" w:cs="Arial"/>
          <w:sz w:val="24"/>
          <w:szCs w:val="24"/>
          <w:lang w:val="es-CO" w:eastAsia="es-CO"/>
        </w:rPr>
      </w:pPr>
    </w:p>
    <w:p w14:paraId="5C5F0D7F" w14:textId="77777777" w:rsidR="009E4549" w:rsidRPr="005943E7" w:rsidRDefault="009E4549" w:rsidP="00147E48">
      <w:pPr>
        <w:spacing w:line="276" w:lineRule="auto"/>
        <w:ind w:left="426" w:right="420"/>
        <w:jc w:val="both"/>
        <w:textAlignment w:val="baseline"/>
        <w:rPr>
          <w:rFonts w:ascii="Arial" w:hAnsi="Arial" w:cs="Arial"/>
          <w:sz w:val="24"/>
          <w:szCs w:val="24"/>
          <w:lang w:val="es-CO" w:eastAsia="es-CO"/>
        </w:rPr>
      </w:pPr>
      <w:r w:rsidRPr="005943E7">
        <w:rPr>
          <w:rFonts w:ascii="Arial" w:hAnsi="Arial" w:cs="Arial"/>
          <w:sz w:val="24"/>
          <w:szCs w:val="24"/>
          <w:lang w:val="es-CO" w:eastAsia="es-CO"/>
        </w:rPr>
        <w:t xml:space="preserve">No obstante, afirmó la Corte, que lo que no podía hacer el legislador, </w:t>
      </w:r>
      <w:r w:rsidRPr="005943E7">
        <w:rPr>
          <w:rFonts w:ascii="Arial" w:hAnsi="Arial" w:cs="Arial"/>
          <w:b/>
          <w:bCs/>
          <w:sz w:val="24"/>
          <w:szCs w:val="24"/>
          <w:lang w:val="es-CO" w:eastAsia="es-CO"/>
        </w:rPr>
        <w:t>era imponer obligaciones en relación con situaciones jurídicas ya consolidadas</w:t>
      </w:r>
      <w:r w:rsidRPr="005943E7">
        <w:rPr>
          <w:rFonts w:ascii="Arial" w:hAnsi="Arial" w:cs="Arial"/>
          <w:sz w:val="24"/>
          <w:szCs w:val="24"/>
          <w:lang w:val="es-CO" w:eastAsia="es-CO"/>
        </w:rPr>
        <w:t>, explicando que:</w:t>
      </w:r>
    </w:p>
    <w:p w14:paraId="4595BBA5" w14:textId="77777777" w:rsidR="009E4549" w:rsidRPr="005943E7" w:rsidRDefault="009E4549" w:rsidP="00147E48">
      <w:pPr>
        <w:spacing w:line="276" w:lineRule="auto"/>
        <w:ind w:left="426" w:right="420"/>
        <w:jc w:val="both"/>
        <w:textAlignment w:val="baseline"/>
        <w:rPr>
          <w:rFonts w:ascii="Arial" w:hAnsi="Arial" w:cs="Arial"/>
          <w:sz w:val="24"/>
          <w:szCs w:val="24"/>
          <w:lang w:val="es-CO" w:eastAsia="es-CO"/>
        </w:rPr>
      </w:pPr>
    </w:p>
    <w:p w14:paraId="1C4C821C" w14:textId="77777777" w:rsidR="009E4549" w:rsidRPr="005943E7" w:rsidRDefault="009E4549" w:rsidP="00147E48">
      <w:pPr>
        <w:spacing w:line="276" w:lineRule="auto"/>
        <w:ind w:left="851" w:right="987"/>
        <w:jc w:val="both"/>
        <w:textAlignment w:val="baseline"/>
        <w:rPr>
          <w:rFonts w:ascii="Arial" w:hAnsi="Arial" w:cs="Arial"/>
          <w:iCs/>
          <w:sz w:val="24"/>
          <w:szCs w:val="24"/>
          <w:lang w:val="es-CO" w:eastAsia="es-CO"/>
        </w:rPr>
      </w:pPr>
      <w:r w:rsidRPr="005943E7">
        <w:rPr>
          <w:rFonts w:ascii="Arial" w:hAnsi="Arial" w:cs="Arial"/>
          <w:iCs/>
          <w:sz w:val="24"/>
          <w:szCs w:val="24"/>
          <w:lang w:val="es-CO" w:eastAsia="es-CO"/>
        </w:rPr>
        <w:t>“Para la Corte al respecto, la argumentación planteada por la demandante atinentes al empobrecimiento del trabajador y el correlativo enriquecimiento injustificado del empleador en este caso, desconoce el hecho de que en lo concerniente a las relaciones laborales extintas antes del 23 de diciembre de 1993 (fecha de entrada en vigencia de la ley 100 de 1993) no había nacido ningún tipo de obligación en cabeza del empleador ni ningún derecho correlativo en cabeza del trabajador que pudiera considerarse válidamente un derecho patrimonial y que fuese por tanto exigible al primero de ellos. Como se dijo atrás los trabajadores que se encontraban en estas circunstancias tenían una simple expectativa de derecho que solo se consolidaba con el cumplimiento de la totalidad de los requisitos legales.</w:t>
      </w:r>
    </w:p>
    <w:p w14:paraId="3E28257E" w14:textId="77777777" w:rsidR="009E4549" w:rsidRPr="005943E7" w:rsidRDefault="009E4549" w:rsidP="00147E48">
      <w:pPr>
        <w:spacing w:line="276" w:lineRule="auto"/>
        <w:ind w:left="851" w:right="987"/>
        <w:jc w:val="both"/>
        <w:textAlignment w:val="baseline"/>
        <w:rPr>
          <w:rFonts w:ascii="Arial" w:hAnsi="Arial" w:cs="Arial"/>
          <w:iCs/>
          <w:sz w:val="24"/>
          <w:szCs w:val="24"/>
          <w:lang w:val="es-CO" w:eastAsia="es-CO"/>
        </w:rPr>
      </w:pPr>
    </w:p>
    <w:p w14:paraId="25332AE4" w14:textId="77777777" w:rsidR="009E4549" w:rsidRPr="005943E7" w:rsidRDefault="009E4549" w:rsidP="00147E48">
      <w:pPr>
        <w:spacing w:line="276" w:lineRule="auto"/>
        <w:ind w:left="851" w:right="987"/>
        <w:jc w:val="both"/>
        <w:textAlignment w:val="baseline"/>
        <w:rPr>
          <w:rFonts w:ascii="Arial" w:hAnsi="Arial" w:cs="Arial"/>
          <w:iCs/>
          <w:sz w:val="24"/>
          <w:szCs w:val="24"/>
          <w:lang w:val="es-CO" w:eastAsia="es-CO"/>
        </w:rPr>
      </w:pPr>
      <w:r w:rsidRPr="005943E7">
        <w:rPr>
          <w:rFonts w:ascii="Arial" w:hAnsi="Arial" w:cs="Arial"/>
          <w:iCs/>
          <w:sz w:val="24"/>
          <w:szCs w:val="24"/>
          <w:lang w:val="es-CO" w:eastAsia="es-CO"/>
        </w:rPr>
        <w:t>Crear en cabeza del empleador una obligación retroactiva referente a una relación jurídica ya extinguida sería necesariamente inconstitucional por atentar contra el principio de seguridad jurídica, postulado básico de un Estado de Derecho (art. 1 y 58 C.P.). Así lo ha reconocido la Corte en los siguientes términos:</w:t>
      </w:r>
    </w:p>
    <w:p w14:paraId="370137AF" w14:textId="77777777" w:rsidR="009E4549" w:rsidRPr="005943E7" w:rsidRDefault="009E4549" w:rsidP="00147E48">
      <w:pPr>
        <w:spacing w:line="276" w:lineRule="auto"/>
        <w:ind w:left="851" w:right="987"/>
        <w:jc w:val="both"/>
        <w:textAlignment w:val="baseline"/>
        <w:rPr>
          <w:rFonts w:ascii="Arial" w:hAnsi="Arial" w:cs="Arial"/>
          <w:iCs/>
          <w:sz w:val="24"/>
          <w:szCs w:val="24"/>
          <w:lang w:val="es-CO" w:eastAsia="es-CO"/>
        </w:rPr>
      </w:pPr>
    </w:p>
    <w:p w14:paraId="44C1F9A8" w14:textId="77777777" w:rsidR="009E4549" w:rsidRPr="005943E7" w:rsidRDefault="009E4549" w:rsidP="00147E48">
      <w:pPr>
        <w:spacing w:line="276" w:lineRule="auto"/>
        <w:ind w:left="851" w:right="987"/>
        <w:jc w:val="both"/>
        <w:textAlignment w:val="baseline"/>
        <w:rPr>
          <w:rFonts w:ascii="Arial" w:hAnsi="Arial" w:cs="Arial"/>
          <w:iCs/>
          <w:sz w:val="24"/>
          <w:szCs w:val="24"/>
          <w:lang w:val="es-CO" w:eastAsia="es-CO"/>
        </w:rPr>
      </w:pPr>
      <w:r w:rsidRPr="005943E7">
        <w:rPr>
          <w:rFonts w:ascii="Arial" w:hAnsi="Arial" w:cs="Arial"/>
          <w:iCs/>
          <w:sz w:val="24"/>
          <w:szCs w:val="24"/>
          <w:lang w:val="es-CO" w:eastAsia="es-CO"/>
        </w:rPr>
        <w:t>“El principio de la irretroactividad de la ley tiene plena aplicación en el ordenamiento jurídico colombiano. Una nueva ley, dispone tal principio fundamental para la seguridad jurídica en el Estado Social de Derecho, no puede regular las situaciones jurídicas del pasado que ya se han definido o consolidado, y que por tanto resultan incólumes en sus efectos jurídicos, con la fuerza que les presta la ley bajo la cual se constituyeron”.”.</w:t>
      </w:r>
    </w:p>
    <w:p w14:paraId="60938E00" w14:textId="77777777" w:rsidR="009E4549" w:rsidRPr="005943E7" w:rsidRDefault="009E4549" w:rsidP="005943E7">
      <w:pPr>
        <w:spacing w:line="276" w:lineRule="auto"/>
        <w:jc w:val="both"/>
        <w:textAlignment w:val="baseline"/>
        <w:rPr>
          <w:rFonts w:ascii="Arial" w:hAnsi="Arial" w:cs="Arial"/>
          <w:iCs/>
          <w:sz w:val="24"/>
          <w:szCs w:val="24"/>
          <w:lang w:val="es-CO" w:eastAsia="es-CO"/>
        </w:rPr>
      </w:pPr>
    </w:p>
    <w:p w14:paraId="3E092B98" w14:textId="345B43BC" w:rsidR="003C11E2" w:rsidRPr="005943E7" w:rsidRDefault="00021937" w:rsidP="005943E7">
      <w:pPr>
        <w:spacing w:line="276" w:lineRule="auto"/>
        <w:jc w:val="both"/>
        <w:textAlignment w:val="baseline"/>
        <w:rPr>
          <w:rFonts w:ascii="Arial" w:hAnsi="Arial" w:cs="Arial"/>
          <w:sz w:val="24"/>
          <w:szCs w:val="24"/>
          <w:lang w:val="es-CO" w:eastAsia="es-CO"/>
        </w:rPr>
      </w:pPr>
      <w:r w:rsidRPr="005943E7">
        <w:rPr>
          <w:rFonts w:ascii="Arial" w:hAnsi="Arial" w:cs="Arial"/>
          <w:sz w:val="24"/>
          <w:szCs w:val="24"/>
          <w:lang w:val="es-CO" w:eastAsia="es-CO"/>
        </w:rPr>
        <w:t xml:space="preserve">Así las cosas, considero que, en este tipo de casos, </w:t>
      </w:r>
      <w:r w:rsidR="003C11E2" w:rsidRPr="005943E7">
        <w:rPr>
          <w:rFonts w:ascii="Arial" w:hAnsi="Arial" w:cs="Arial"/>
          <w:sz w:val="24"/>
          <w:szCs w:val="24"/>
          <w:lang w:val="es-CO" w:eastAsia="es-CO"/>
        </w:rPr>
        <w:t>no es posible responsabilizar al empleador a cancelar título actuarial por los periodos en los que no hubo cobertura por parte del ISS en las zonas del territorio nacional donde sus trabajadores prestaban el servicio, no solamente porque esa postura estaba sólidamente fundamentada por la propia Sala de Casación Laboral por más de 20 años desde la sentencia CSJ SL 8453 de 1996, sino también porque como se expuso previamente, para este tipo de trabajadores que no habían concretado diez años de servicios continuos o discontinuos con su empleador al momento en el que inició la cobertura del ISS, el Acuerdo 224 de 1966 aprobado por el Decreto 3041 de 1966 dispuso la posibilidad de acceder al derecho a la pensión de vejez acreditando 500 semanas de cotización, que compensaba la ausencia de cotizaciones en esos diez años de servicios en los que no hubo cotizaciones.</w:t>
      </w:r>
    </w:p>
    <w:p w14:paraId="00DA49A7" w14:textId="77777777" w:rsidR="003C11E2" w:rsidRPr="005943E7" w:rsidRDefault="003C11E2" w:rsidP="005943E7">
      <w:pPr>
        <w:spacing w:line="276" w:lineRule="auto"/>
        <w:ind w:left="708"/>
        <w:jc w:val="both"/>
        <w:textAlignment w:val="baseline"/>
        <w:rPr>
          <w:rFonts w:ascii="Arial" w:hAnsi="Arial" w:cs="Arial"/>
          <w:sz w:val="24"/>
          <w:szCs w:val="24"/>
          <w:lang w:val="es-CO" w:eastAsia="es-CO"/>
        </w:rPr>
      </w:pPr>
    </w:p>
    <w:p w14:paraId="51484091" w14:textId="6194766D" w:rsidR="003C11E2" w:rsidRPr="005943E7" w:rsidRDefault="00021937" w:rsidP="005943E7">
      <w:pPr>
        <w:spacing w:line="276" w:lineRule="auto"/>
        <w:jc w:val="both"/>
        <w:textAlignment w:val="baseline"/>
        <w:rPr>
          <w:rFonts w:ascii="Arial" w:hAnsi="Arial" w:cs="Arial"/>
          <w:sz w:val="24"/>
          <w:szCs w:val="24"/>
          <w:lang w:val="es-CO" w:eastAsia="es-CO"/>
        </w:rPr>
      </w:pPr>
      <w:r w:rsidRPr="005943E7">
        <w:rPr>
          <w:rFonts w:ascii="Arial" w:hAnsi="Arial" w:cs="Arial"/>
          <w:sz w:val="24"/>
          <w:szCs w:val="24"/>
          <w:lang w:val="es-CO" w:eastAsia="es-CO"/>
        </w:rPr>
        <w:t xml:space="preserve">Sin que adicionalmente </w:t>
      </w:r>
      <w:r w:rsidR="003C11E2" w:rsidRPr="005943E7">
        <w:rPr>
          <w:rFonts w:ascii="Arial" w:hAnsi="Arial" w:cs="Arial"/>
          <w:sz w:val="24"/>
          <w:szCs w:val="24"/>
          <w:lang w:val="es-CO" w:eastAsia="es-CO"/>
        </w:rPr>
        <w:t>pued</w:t>
      </w:r>
      <w:r w:rsidRPr="005943E7">
        <w:rPr>
          <w:rFonts w:ascii="Arial" w:hAnsi="Arial" w:cs="Arial"/>
          <w:sz w:val="24"/>
          <w:szCs w:val="24"/>
          <w:lang w:val="es-CO" w:eastAsia="es-CO"/>
        </w:rPr>
        <w:t>a</w:t>
      </w:r>
      <w:r w:rsidR="003C11E2" w:rsidRPr="005943E7">
        <w:rPr>
          <w:rFonts w:ascii="Arial" w:hAnsi="Arial" w:cs="Arial"/>
          <w:sz w:val="24"/>
          <w:szCs w:val="24"/>
          <w:lang w:val="es-CO" w:eastAsia="es-CO"/>
        </w:rPr>
        <w:t xml:space="preserve"> perderse de vista lo dicho por la Corte Constitucional en la sentencia C-506 de 2001 cuando declaró exequible el literal c) del parágrafo 1º del artículo 33 de la Ley 100 de 1993, cuando después de avalar la nueva obligación creada en cabeza de empleadores que asumían el </w:t>
      </w:r>
      <w:r w:rsidR="003C11E2" w:rsidRPr="005943E7">
        <w:rPr>
          <w:rFonts w:ascii="Arial" w:hAnsi="Arial" w:cs="Arial"/>
          <w:sz w:val="24"/>
          <w:szCs w:val="24"/>
          <w:lang w:val="es-CO" w:eastAsia="es-CO"/>
        </w:rPr>
        <w:lastRenderedPageBreak/>
        <w:t xml:space="preserve">reconocimiento y pago de la pensión de vejez, </w:t>
      </w:r>
      <w:r w:rsidR="003C11E2" w:rsidRPr="005943E7">
        <w:rPr>
          <w:rFonts w:ascii="Arial" w:hAnsi="Arial" w:cs="Arial"/>
          <w:b/>
          <w:bCs/>
          <w:sz w:val="24"/>
          <w:szCs w:val="24"/>
          <w:lang w:val="es-CO" w:eastAsia="es-CO"/>
        </w:rPr>
        <w:t>siempre y cuando la vinculación laboral se encontrara vigente o se haya iniciado con posterioridad a la vigencia de la Ley 100 de 1993 (requisito que no se cumple en este evento al haber finalizado la relación laboral el 30 de junio de 1987)</w:t>
      </w:r>
      <w:r w:rsidR="003C11E2" w:rsidRPr="005943E7">
        <w:rPr>
          <w:rFonts w:ascii="Arial" w:hAnsi="Arial" w:cs="Arial"/>
          <w:sz w:val="24"/>
          <w:szCs w:val="24"/>
          <w:lang w:val="es-CO" w:eastAsia="es-CO"/>
        </w:rPr>
        <w:t>, le advirtió al legislador que le quedaba prohibido imponer obligaciones en relación con situaciones jurídicas ya consolidadas, como en este caso, ya que ello resultaría abiertamente inconstitucional al atentar contra el principio de seguridad jurídica; lo que impide precisamente que por esta vía se dispongan ese tipo de obligaciones a empleadores que no hicieron cotizaciones frente a sus trabajadores por la falta de cobertura del ISS y respecto de los cuales su situación jurídica ya quedó consolidada.</w:t>
      </w:r>
    </w:p>
    <w:p w14:paraId="5BE1DDA8" w14:textId="77777777" w:rsidR="003C11E2" w:rsidRPr="005943E7" w:rsidRDefault="003C11E2" w:rsidP="005943E7">
      <w:pPr>
        <w:spacing w:line="276" w:lineRule="auto"/>
        <w:jc w:val="both"/>
        <w:textAlignment w:val="baseline"/>
        <w:rPr>
          <w:rFonts w:ascii="Arial" w:hAnsi="Arial" w:cs="Arial"/>
          <w:sz w:val="24"/>
          <w:szCs w:val="24"/>
          <w:lang w:val="es-CO" w:eastAsia="es-CO"/>
        </w:rPr>
      </w:pPr>
    </w:p>
    <w:p w14:paraId="166AEEF8" w14:textId="72F8AE24" w:rsidR="0052735D" w:rsidRPr="005943E7" w:rsidRDefault="0052735D" w:rsidP="005943E7">
      <w:pPr>
        <w:pStyle w:val="Textoindependiente3"/>
        <w:spacing w:line="276" w:lineRule="auto"/>
      </w:pPr>
      <w:r w:rsidRPr="005943E7">
        <w:t>Ahora bien, en la sentencia finalmente no se condenó a Comestibles la Rosa S.A. al pago del cálculo actuarial, pero ello se debió al hecho consistente en que la demandante había adquirido su derecho pensional, lo cual, en términos de la jurisprudencia de la Corte, también exime al empleador de asumir el pago de aquel.</w:t>
      </w:r>
    </w:p>
    <w:p w14:paraId="17AB443A" w14:textId="2C30728A" w:rsidR="001E7D12" w:rsidRPr="005943E7" w:rsidRDefault="004D71B2" w:rsidP="005943E7">
      <w:pPr>
        <w:pStyle w:val="Textoindependiente3"/>
        <w:spacing w:line="276" w:lineRule="auto"/>
      </w:pPr>
      <w:r w:rsidRPr="005943E7">
        <w:t xml:space="preserve"> </w:t>
      </w:r>
    </w:p>
    <w:p w14:paraId="2065309A" w14:textId="73DE3792" w:rsidR="00815D3A" w:rsidRPr="005943E7" w:rsidRDefault="0052735D" w:rsidP="005943E7">
      <w:pPr>
        <w:tabs>
          <w:tab w:val="left" w:pos="7185"/>
        </w:tabs>
        <w:spacing w:line="276" w:lineRule="auto"/>
        <w:jc w:val="both"/>
        <w:rPr>
          <w:rFonts w:ascii="Arial" w:hAnsi="Arial" w:cs="Arial"/>
          <w:iCs/>
          <w:sz w:val="24"/>
          <w:szCs w:val="24"/>
        </w:rPr>
      </w:pPr>
      <w:r w:rsidRPr="005943E7">
        <w:rPr>
          <w:rFonts w:ascii="Arial" w:hAnsi="Arial" w:cs="Arial"/>
          <w:iCs/>
          <w:sz w:val="24"/>
          <w:szCs w:val="24"/>
        </w:rPr>
        <w:t xml:space="preserve">Por lo anterior es que </w:t>
      </w:r>
      <w:r w:rsidR="00C147D6" w:rsidRPr="005943E7">
        <w:rPr>
          <w:rFonts w:ascii="Arial" w:hAnsi="Arial" w:cs="Arial"/>
          <w:iCs/>
          <w:sz w:val="24"/>
          <w:szCs w:val="24"/>
        </w:rPr>
        <w:t>dejo hecha esta aclaración.</w:t>
      </w:r>
    </w:p>
    <w:p w14:paraId="0EFAD205" w14:textId="77777777" w:rsidR="00F229A5" w:rsidRPr="00231474" w:rsidRDefault="00F229A5" w:rsidP="00231474">
      <w:pPr>
        <w:spacing w:line="276" w:lineRule="auto"/>
        <w:jc w:val="both"/>
        <w:rPr>
          <w:rFonts w:ascii="Arial" w:hAnsi="Arial" w:cs="Arial"/>
          <w:sz w:val="24"/>
          <w:szCs w:val="24"/>
        </w:rPr>
      </w:pPr>
    </w:p>
    <w:p w14:paraId="36333D26" w14:textId="0536B279" w:rsidR="00C147D6" w:rsidRDefault="00C147D6" w:rsidP="00231474">
      <w:pPr>
        <w:spacing w:line="276" w:lineRule="auto"/>
        <w:jc w:val="both"/>
        <w:rPr>
          <w:rFonts w:ascii="Arial" w:hAnsi="Arial" w:cs="Arial"/>
          <w:sz w:val="24"/>
          <w:szCs w:val="24"/>
        </w:rPr>
      </w:pPr>
    </w:p>
    <w:p w14:paraId="1E698222" w14:textId="77777777" w:rsidR="00231474" w:rsidRPr="00231474" w:rsidRDefault="00231474" w:rsidP="00231474">
      <w:pPr>
        <w:spacing w:line="276" w:lineRule="auto"/>
        <w:jc w:val="both"/>
        <w:rPr>
          <w:rFonts w:ascii="Arial" w:hAnsi="Arial" w:cs="Arial"/>
          <w:sz w:val="24"/>
          <w:szCs w:val="24"/>
        </w:rPr>
      </w:pPr>
    </w:p>
    <w:p w14:paraId="16635424" w14:textId="77777777" w:rsidR="00C147D6" w:rsidRPr="00231474" w:rsidRDefault="00C147D6" w:rsidP="00231474">
      <w:pPr>
        <w:spacing w:line="276" w:lineRule="auto"/>
        <w:jc w:val="both"/>
        <w:rPr>
          <w:rFonts w:ascii="Arial" w:hAnsi="Arial" w:cs="Arial"/>
          <w:sz w:val="24"/>
          <w:szCs w:val="24"/>
        </w:rPr>
      </w:pPr>
    </w:p>
    <w:p w14:paraId="65063B04" w14:textId="66BDB205" w:rsidR="00F93C8E" w:rsidRPr="005943E7" w:rsidRDefault="00F93C8E" w:rsidP="005943E7">
      <w:pPr>
        <w:spacing w:line="276" w:lineRule="auto"/>
        <w:jc w:val="center"/>
        <w:rPr>
          <w:rFonts w:ascii="Arial" w:hAnsi="Arial" w:cs="Arial"/>
          <w:b/>
          <w:sz w:val="24"/>
          <w:szCs w:val="24"/>
        </w:rPr>
      </w:pPr>
      <w:r w:rsidRPr="005943E7">
        <w:rPr>
          <w:rFonts w:ascii="Arial" w:hAnsi="Arial" w:cs="Arial"/>
          <w:b/>
          <w:sz w:val="24"/>
          <w:szCs w:val="24"/>
        </w:rPr>
        <w:t>JULIO CÉSAR SALAZAR MUÑOZ</w:t>
      </w:r>
    </w:p>
    <w:p w14:paraId="3B12F5B3" w14:textId="77777777" w:rsidR="00F93C8E" w:rsidRPr="005943E7" w:rsidRDefault="00F93C8E" w:rsidP="005943E7">
      <w:pPr>
        <w:spacing w:line="276" w:lineRule="auto"/>
        <w:jc w:val="center"/>
        <w:rPr>
          <w:rFonts w:ascii="Arial" w:hAnsi="Arial" w:cs="Arial"/>
          <w:sz w:val="24"/>
          <w:szCs w:val="24"/>
        </w:rPr>
      </w:pPr>
      <w:r w:rsidRPr="005943E7">
        <w:rPr>
          <w:rFonts w:ascii="Arial" w:hAnsi="Arial" w:cs="Arial"/>
          <w:sz w:val="24"/>
          <w:szCs w:val="24"/>
        </w:rPr>
        <w:t>Magistrado</w:t>
      </w:r>
      <w:bookmarkEnd w:id="0"/>
    </w:p>
    <w:sectPr w:rsidR="00F93C8E" w:rsidRPr="005943E7" w:rsidSect="002E7BBB">
      <w:headerReference w:type="default" r:id="rId10"/>
      <w:pgSz w:w="12242" w:h="18722" w:code="258"/>
      <w:pgMar w:top="1985" w:right="1418" w:bottom="1418" w:left="1985" w:header="567" w:footer="567"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C07DE" w14:textId="77777777" w:rsidR="00F17BC0" w:rsidRDefault="00F17BC0">
      <w:r>
        <w:separator/>
      </w:r>
    </w:p>
  </w:endnote>
  <w:endnote w:type="continuationSeparator" w:id="0">
    <w:p w14:paraId="2E4256AB" w14:textId="77777777" w:rsidR="00F17BC0" w:rsidRDefault="00F17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School Book">
    <w:altName w:val="Times New Roman"/>
    <w:panose1 w:val="00000000000000000000"/>
    <w:charset w:val="00"/>
    <w:family w:val="roman"/>
    <w:notTrueType/>
    <w:pitch w:val="default"/>
    <w:sig w:usb0="40000000" w:usb1="0062FE28" w:usb2="7F24142E" w:usb3="0049006E" w:csb0="005600D8" w:csb1="0062EF54"/>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B1EAF" w14:textId="77777777" w:rsidR="00F17BC0" w:rsidRDefault="00F17BC0">
      <w:r>
        <w:separator/>
      </w:r>
    </w:p>
  </w:footnote>
  <w:footnote w:type="continuationSeparator" w:id="0">
    <w:p w14:paraId="120F168F" w14:textId="77777777" w:rsidR="00F17BC0" w:rsidRDefault="00F17B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DA63D" w14:textId="4D1F4D6B" w:rsidR="00F93C8E" w:rsidRDefault="00F93C8E" w:rsidP="00B66A34">
    <w:pPr>
      <w:tabs>
        <w:tab w:val="left" w:pos="-720"/>
      </w:tabs>
      <w:suppressAutoHyphens/>
      <w:jc w:val="center"/>
      <w:rPr>
        <w:rFonts w:ascii="Arial" w:hAnsi="Arial"/>
        <w:b/>
        <w:spacing w:val="-3"/>
        <w:sz w:val="16"/>
      </w:rPr>
    </w:pPr>
    <w:r>
      <w:rPr>
        <w:rFonts w:ascii="Arial" w:hAnsi="Arial"/>
        <w:b/>
        <w:spacing w:val="-3"/>
        <w:sz w:val="16"/>
      </w:rPr>
      <w:t>TRIBUNAL SUPERIOR DEL DISTRITO</w:t>
    </w:r>
  </w:p>
  <w:p w14:paraId="23AF3573" w14:textId="5CC3AE16" w:rsidR="00F93C8E" w:rsidRDefault="00F93C8E" w:rsidP="00B66A34">
    <w:pPr>
      <w:tabs>
        <w:tab w:val="left" w:pos="-720"/>
      </w:tabs>
      <w:suppressAutoHyphens/>
      <w:jc w:val="center"/>
      <w:rPr>
        <w:rFonts w:ascii="Arial" w:hAnsi="Arial"/>
        <w:sz w:val="16"/>
      </w:rPr>
    </w:pPr>
    <w:r>
      <w:rPr>
        <w:rFonts w:ascii="Arial" w:hAnsi="Arial"/>
        <w:b/>
        <w:spacing w:val="-3"/>
        <w:sz w:val="16"/>
      </w:rPr>
      <w:object w:dxaOrig="3090" w:dyaOrig="3285" w14:anchorId="118310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64.5pt" fillcolor="window">
          <v:imagedata r:id="rId1" o:title=""/>
        </v:shape>
        <o:OLEObject Type="Embed" ProgID="PBrush" ShapeID="_x0000_i1025" DrawAspect="Content" ObjectID="_1750689484" r:id="rId2"/>
      </w:object>
    </w:r>
  </w:p>
  <w:p w14:paraId="13A2349A" w14:textId="77568CE1" w:rsidR="00F93C8E" w:rsidRDefault="00F93C8E" w:rsidP="00B66A34">
    <w:pPr>
      <w:pStyle w:val="Ttulo3"/>
      <w:jc w:val="center"/>
    </w:pPr>
    <w:r>
      <w:t>SALA LABORAL</w:t>
    </w:r>
  </w:p>
  <w:p w14:paraId="4DB355C8" w14:textId="4E6797C3" w:rsidR="00F93C8E" w:rsidRDefault="00F93C8E" w:rsidP="00B66A34">
    <w:pPr>
      <w:pStyle w:val="Ttulo1"/>
      <w:ind w:left="0" w:firstLine="0"/>
      <w:jc w:val="center"/>
    </w:pPr>
    <w:r>
      <w:rPr>
        <w:rFonts w:ascii="Arial" w:hAnsi="Arial"/>
        <w:i w:val="0"/>
        <w:sz w:val="16"/>
      </w:rPr>
      <w:t>PEREIRA – RISARALDA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96876"/>
    <w:multiLevelType w:val="multilevel"/>
    <w:tmpl w:val="9404E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NotTrackMoves/>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75A2E"/>
    <w:rsid w:val="00012266"/>
    <w:rsid w:val="00021937"/>
    <w:rsid w:val="00040B7C"/>
    <w:rsid w:val="00043B07"/>
    <w:rsid w:val="00097493"/>
    <w:rsid w:val="000A4F95"/>
    <w:rsid w:val="000C2D3C"/>
    <w:rsid w:val="000E0A70"/>
    <w:rsid w:val="00147E48"/>
    <w:rsid w:val="001E7D12"/>
    <w:rsid w:val="00231474"/>
    <w:rsid w:val="0023751B"/>
    <w:rsid w:val="0024083A"/>
    <w:rsid w:val="0024345F"/>
    <w:rsid w:val="002B7F85"/>
    <w:rsid w:val="002D4FB4"/>
    <w:rsid w:val="002E2869"/>
    <w:rsid w:val="002E7BBB"/>
    <w:rsid w:val="003269FC"/>
    <w:rsid w:val="0033341D"/>
    <w:rsid w:val="00377A7D"/>
    <w:rsid w:val="003A4B23"/>
    <w:rsid w:val="003C11E2"/>
    <w:rsid w:val="003C6690"/>
    <w:rsid w:val="003D16E8"/>
    <w:rsid w:val="003D2663"/>
    <w:rsid w:val="004348DD"/>
    <w:rsid w:val="0044582C"/>
    <w:rsid w:val="00457920"/>
    <w:rsid w:val="00460562"/>
    <w:rsid w:val="004A0363"/>
    <w:rsid w:val="004A123B"/>
    <w:rsid w:val="004C7987"/>
    <w:rsid w:val="004D3DD1"/>
    <w:rsid w:val="004D71B2"/>
    <w:rsid w:val="004E2551"/>
    <w:rsid w:val="004E2E48"/>
    <w:rsid w:val="0052735D"/>
    <w:rsid w:val="00561D44"/>
    <w:rsid w:val="005941FB"/>
    <w:rsid w:val="005943E7"/>
    <w:rsid w:val="005A0081"/>
    <w:rsid w:val="005B03E3"/>
    <w:rsid w:val="005B538B"/>
    <w:rsid w:val="005C3200"/>
    <w:rsid w:val="005E66EB"/>
    <w:rsid w:val="00601230"/>
    <w:rsid w:val="006317AA"/>
    <w:rsid w:val="00633013"/>
    <w:rsid w:val="00681C62"/>
    <w:rsid w:val="006D3DE4"/>
    <w:rsid w:val="007222A6"/>
    <w:rsid w:val="007F45EC"/>
    <w:rsid w:val="00815D3A"/>
    <w:rsid w:val="00820095"/>
    <w:rsid w:val="00865D57"/>
    <w:rsid w:val="008C1CCF"/>
    <w:rsid w:val="00951131"/>
    <w:rsid w:val="00961FE9"/>
    <w:rsid w:val="009648B4"/>
    <w:rsid w:val="009706A9"/>
    <w:rsid w:val="009A6D7D"/>
    <w:rsid w:val="009E4549"/>
    <w:rsid w:val="00A418C3"/>
    <w:rsid w:val="00A54E72"/>
    <w:rsid w:val="00A60BF5"/>
    <w:rsid w:val="00A76BE8"/>
    <w:rsid w:val="00A85604"/>
    <w:rsid w:val="00AA54E1"/>
    <w:rsid w:val="00AC47C1"/>
    <w:rsid w:val="00AD1098"/>
    <w:rsid w:val="00AE62C6"/>
    <w:rsid w:val="00B23175"/>
    <w:rsid w:val="00B66A34"/>
    <w:rsid w:val="00B823F6"/>
    <w:rsid w:val="00BB7A85"/>
    <w:rsid w:val="00BC2998"/>
    <w:rsid w:val="00BC7D37"/>
    <w:rsid w:val="00BE3E41"/>
    <w:rsid w:val="00C147D6"/>
    <w:rsid w:val="00C4490E"/>
    <w:rsid w:val="00C46C95"/>
    <w:rsid w:val="00C65A99"/>
    <w:rsid w:val="00C857D6"/>
    <w:rsid w:val="00D07A5A"/>
    <w:rsid w:val="00D6498D"/>
    <w:rsid w:val="00D71A6D"/>
    <w:rsid w:val="00D73DC6"/>
    <w:rsid w:val="00D87D30"/>
    <w:rsid w:val="00D94D3E"/>
    <w:rsid w:val="00DD60DF"/>
    <w:rsid w:val="00E712DB"/>
    <w:rsid w:val="00E75A2E"/>
    <w:rsid w:val="00ED3A86"/>
    <w:rsid w:val="00ED3DAE"/>
    <w:rsid w:val="00F019D5"/>
    <w:rsid w:val="00F17BC0"/>
    <w:rsid w:val="00F229A5"/>
    <w:rsid w:val="00F262DD"/>
    <w:rsid w:val="00F26FDE"/>
    <w:rsid w:val="00F3531A"/>
    <w:rsid w:val="00F41C88"/>
    <w:rsid w:val="00F82A15"/>
    <w:rsid w:val="00F93C8E"/>
    <w:rsid w:val="00FD55D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D32B20"/>
  <w15:chartTrackingRefBased/>
  <w15:docId w15:val="{4AAF5369-270A-471A-A7E2-6304CF55F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ES" w:eastAsia="es-ES"/>
    </w:rPr>
  </w:style>
  <w:style w:type="paragraph" w:styleId="Ttulo1">
    <w:name w:val="heading 1"/>
    <w:basedOn w:val="Normal"/>
    <w:next w:val="Normal"/>
    <w:qFormat/>
    <w:pPr>
      <w:keepNext/>
      <w:widowControl w:val="0"/>
      <w:ind w:left="2160" w:firstLine="720"/>
      <w:jc w:val="both"/>
      <w:outlineLvl w:val="0"/>
    </w:pPr>
    <w:rPr>
      <w:rFonts w:ascii="Century Gothic School Book" w:hAnsi="Century Gothic School Book"/>
      <w:b/>
      <w:i/>
      <w:snapToGrid w:val="0"/>
      <w:sz w:val="26"/>
    </w:rPr>
  </w:style>
  <w:style w:type="paragraph" w:styleId="Ttulo2">
    <w:name w:val="heading 2"/>
    <w:basedOn w:val="Normal"/>
    <w:next w:val="Normal"/>
    <w:qFormat/>
    <w:pPr>
      <w:keepNext/>
      <w:spacing w:line="360" w:lineRule="auto"/>
      <w:jc w:val="both"/>
      <w:outlineLvl w:val="1"/>
    </w:pPr>
    <w:rPr>
      <w:rFonts w:ascii="Arial" w:hAnsi="Arial" w:cs="Arial"/>
      <w:sz w:val="24"/>
    </w:rPr>
  </w:style>
  <w:style w:type="paragraph" w:styleId="Ttulo3">
    <w:name w:val="heading 3"/>
    <w:basedOn w:val="Normal"/>
    <w:next w:val="Normal"/>
    <w:qFormat/>
    <w:pPr>
      <w:keepNext/>
      <w:tabs>
        <w:tab w:val="left" w:pos="-720"/>
      </w:tabs>
      <w:suppressAutoHyphens/>
      <w:jc w:val="both"/>
      <w:outlineLvl w:val="2"/>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paragraph" w:styleId="Textodeglobo">
    <w:name w:val="Balloon Text"/>
    <w:basedOn w:val="Normal"/>
    <w:semiHidden/>
    <w:rPr>
      <w:rFonts w:ascii="Tahoma" w:hAnsi="Tahoma" w:cs="Tahoma"/>
      <w:sz w:val="16"/>
      <w:szCs w:val="16"/>
    </w:rPr>
  </w:style>
  <w:style w:type="paragraph" w:styleId="Textoindependiente">
    <w:name w:val="Body Text"/>
    <w:basedOn w:val="Normal"/>
    <w:semiHidden/>
    <w:pPr>
      <w:spacing w:line="360" w:lineRule="auto"/>
      <w:jc w:val="both"/>
    </w:pPr>
    <w:rPr>
      <w:rFonts w:ascii="Arial" w:hAnsi="Arial" w:cs="Arial"/>
      <w:iCs/>
      <w:sz w:val="26"/>
      <w:szCs w:val="26"/>
    </w:rPr>
  </w:style>
  <w:style w:type="paragraph" w:styleId="Textoindependiente2">
    <w:name w:val="Body Text 2"/>
    <w:basedOn w:val="Normal"/>
    <w:semiHidden/>
    <w:pPr>
      <w:spacing w:line="360" w:lineRule="auto"/>
      <w:jc w:val="both"/>
    </w:pPr>
    <w:rPr>
      <w:rFonts w:ascii="Arial" w:hAnsi="Arial" w:cs="Arial"/>
      <w:iCs/>
      <w:sz w:val="22"/>
      <w:szCs w:val="26"/>
    </w:rPr>
  </w:style>
  <w:style w:type="paragraph" w:styleId="Textoindependiente3">
    <w:name w:val="Body Text 3"/>
    <w:basedOn w:val="Normal"/>
    <w:semiHidden/>
    <w:pPr>
      <w:tabs>
        <w:tab w:val="left" w:pos="7185"/>
      </w:tabs>
      <w:spacing w:line="360" w:lineRule="auto"/>
      <w:jc w:val="both"/>
    </w:pPr>
    <w:rPr>
      <w:rFonts w:ascii="Arial" w:hAnsi="Arial" w:cs="Arial"/>
      <w:iCs/>
      <w:sz w:val="24"/>
      <w:szCs w:val="24"/>
    </w:rPr>
  </w:style>
  <w:style w:type="character" w:customStyle="1" w:styleId="apple-converted-space">
    <w:name w:val="apple-converted-space"/>
    <w:basedOn w:val="Fuentedeprrafopredeter"/>
  </w:style>
  <w:style w:type="character" w:styleId="Hipervnculo">
    <w:name w:val="Hyperlink"/>
    <w:semiHidden/>
    <w:rPr>
      <w:color w:val="0000FF"/>
      <w:u w:val="single"/>
    </w:rPr>
  </w:style>
  <w:style w:type="paragraph" w:customStyle="1" w:styleId="Puesto">
    <w:name w:val="Puesto"/>
    <w:basedOn w:val="Normal"/>
    <w:next w:val="Normal"/>
    <w:link w:val="PuestoCar"/>
    <w:uiPriority w:val="10"/>
    <w:qFormat/>
    <w:rsid w:val="009706A9"/>
    <w:pPr>
      <w:spacing w:before="240" w:after="60"/>
      <w:jc w:val="center"/>
      <w:outlineLvl w:val="0"/>
    </w:pPr>
    <w:rPr>
      <w:rFonts w:ascii="Calibri Light" w:hAnsi="Calibri Light"/>
      <w:b/>
      <w:bCs/>
      <w:kern w:val="28"/>
      <w:sz w:val="32"/>
      <w:szCs w:val="32"/>
    </w:rPr>
  </w:style>
  <w:style w:type="character" w:customStyle="1" w:styleId="PuestoCar">
    <w:name w:val="Puesto Car"/>
    <w:link w:val="Puesto"/>
    <w:uiPriority w:val="10"/>
    <w:rsid w:val="009706A9"/>
    <w:rPr>
      <w:rFonts w:ascii="Calibri Light" w:eastAsia="Times New Roman" w:hAnsi="Calibri Light" w:cs="Times New Roman"/>
      <w:b/>
      <w:bCs/>
      <w:kern w:val="28"/>
      <w:sz w:val="32"/>
      <w:szCs w:val="32"/>
    </w:rPr>
  </w:style>
  <w:style w:type="character" w:styleId="Mencinsinresolver">
    <w:name w:val="Unresolved Mention"/>
    <w:uiPriority w:val="99"/>
    <w:semiHidden/>
    <w:unhideWhenUsed/>
    <w:rsid w:val="00A60B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786939">
      <w:bodyDiv w:val="1"/>
      <w:marLeft w:val="0"/>
      <w:marRight w:val="0"/>
      <w:marTop w:val="0"/>
      <w:marBottom w:val="0"/>
      <w:divBdr>
        <w:top w:val="none" w:sz="0" w:space="0" w:color="auto"/>
        <w:left w:val="none" w:sz="0" w:space="0" w:color="auto"/>
        <w:bottom w:val="none" w:sz="0" w:space="0" w:color="auto"/>
        <w:right w:val="none" w:sz="0" w:space="0" w:color="auto"/>
      </w:divBdr>
      <w:divsChild>
        <w:div w:id="344745954">
          <w:marLeft w:val="0"/>
          <w:marRight w:val="0"/>
          <w:marTop w:val="0"/>
          <w:marBottom w:val="0"/>
          <w:divBdr>
            <w:top w:val="none" w:sz="0" w:space="0" w:color="auto"/>
            <w:left w:val="none" w:sz="0" w:space="0" w:color="auto"/>
            <w:bottom w:val="none" w:sz="0" w:space="0" w:color="auto"/>
            <w:right w:val="none" w:sz="0" w:space="0" w:color="auto"/>
          </w:divBdr>
        </w:div>
        <w:div w:id="2108456327">
          <w:marLeft w:val="0"/>
          <w:marRight w:val="0"/>
          <w:marTop w:val="0"/>
          <w:marBottom w:val="0"/>
          <w:divBdr>
            <w:top w:val="none" w:sz="0" w:space="0" w:color="auto"/>
            <w:left w:val="none" w:sz="0" w:space="0" w:color="auto"/>
            <w:bottom w:val="none" w:sz="0" w:space="0" w:color="auto"/>
            <w:right w:val="none" w:sz="0" w:space="0" w:color="auto"/>
          </w:divBdr>
        </w:div>
        <w:div w:id="1551578356">
          <w:marLeft w:val="0"/>
          <w:marRight w:val="0"/>
          <w:marTop w:val="0"/>
          <w:marBottom w:val="0"/>
          <w:divBdr>
            <w:top w:val="none" w:sz="0" w:space="0" w:color="auto"/>
            <w:left w:val="none" w:sz="0" w:space="0" w:color="auto"/>
            <w:bottom w:val="none" w:sz="0" w:space="0" w:color="auto"/>
            <w:right w:val="none" w:sz="0" w:space="0" w:color="auto"/>
          </w:divBdr>
        </w:div>
        <w:div w:id="331565839">
          <w:marLeft w:val="0"/>
          <w:marRight w:val="0"/>
          <w:marTop w:val="0"/>
          <w:marBottom w:val="0"/>
          <w:divBdr>
            <w:top w:val="none" w:sz="0" w:space="0" w:color="auto"/>
            <w:left w:val="none" w:sz="0" w:space="0" w:color="auto"/>
            <w:bottom w:val="none" w:sz="0" w:space="0" w:color="auto"/>
            <w:right w:val="none" w:sz="0" w:space="0" w:color="auto"/>
          </w:divBdr>
        </w:div>
        <w:div w:id="764575219">
          <w:marLeft w:val="0"/>
          <w:marRight w:val="0"/>
          <w:marTop w:val="0"/>
          <w:marBottom w:val="0"/>
          <w:divBdr>
            <w:top w:val="none" w:sz="0" w:space="0" w:color="auto"/>
            <w:left w:val="none" w:sz="0" w:space="0" w:color="auto"/>
            <w:bottom w:val="none" w:sz="0" w:space="0" w:color="auto"/>
            <w:right w:val="none" w:sz="0" w:space="0" w:color="auto"/>
          </w:divBdr>
        </w:div>
        <w:div w:id="16010452">
          <w:marLeft w:val="0"/>
          <w:marRight w:val="0"/>
          <w:marTop w:val="0"/>
          <w:marBottom w:val="0"/>
          <w:divBdr>
            <w:top w:val="none" w:sz="0" w:space="0" w:color="auto"/>
            <w:left w:val="none" w:sz="0" w:space="0" w:color="auto"/>
            <w:bottom w:val="none" w:sz="0" w:space="0" w:color="auto"/>
            <w:right w:val="none" w:sz="0" w:space="0" w:color="auto"/>
          </w:divBdr>
        </w:div>
        <w:div w:id="63988536">
          <w:marLeft w:val="0"/>
          <w:marRight w:val="0"/>
          <w:marTop w:val="0"/>
          <w:marBottom w:val="0"/>
          <w:divBdr>
            <w:top w:val="none" w:sz="0" w:space="0" w:color="auto"/>
            <w:left w:val="none" w:sz="0" w:space="0" w:color="auto"/>
            <w:bottom w:val="none" w:sz="0" w:space="0" w:color="auto"/>
            <w:right w:val="none" w:sz="0" w:space="0" w:color="auto"/>
          </w:divBdr>
        </w:div>
        <w:div w:id="1910187339">
          <w:marLeft w:val="0"/>
          <w:marRight w:val="0"/>
          <w:marTop w:val="0"/>
          <w:marBottom w:val="0"/>
          <w:divBdr>
            <w:top w:val="none" w:sz="0" w:space="0" w:color="auto"/>
            <w:left w:val="none" w:sz="0" w:space="0" w:color="auto"/>
            <w:bottom w:val="none" w:sz="0" w:space="0" w:color="auto"/>
            <w:right w:val="none" w:sz="0" w:space="0" w:color="auto"/>
          </w:divBdr>
        </w:div>
        <w:div w:id="910576415">
          <w:marLeft w:val="0"/>
          <w:marRight w:val="0"/>
          <w:marTop w:val="0"/>
          <w:marBottom w:val="0"/>
          <w:divBdr>
            <w:top w:val="none" w:sz="0" w:space="0" w:color="auto"/>
            <w:left w:val="none" w:sz="0" w:space="0" w:color="auto"/>
            <w:bottom w:val="none" w:sz="0" w:space="0" w:color="auto"/>
            <w:right w:val="none" w:sz="0" w:space="0" w:color="auto"/>
          </w:divBdr>
        </w:div>
        <w:div w:id="169566107">
          <w:marLeft w:val="0"/>
          <w:marRight w:val="0"/>
          <w:marTop w:val="0"/>
          <w:marBottom w:val="0"/>
          <w:divBdr>
            <w:top w:val="none" w:sz="0" w:space="0" w:color="auto"/>
            <w:left w:val="none" w:sz="0" w:space="0" w:color="auto"/>
            <w:bottom w:val="none" w:sz="0" w:space="0" w:color="auto"/>
            <w:right w:val="none" w:sz="0" w:space="0" w:color="auto"/>
          </w:divBdr>
        </w:div>
        <w:div w:id="1749041006">
          <w:marLeft w:val="0"/>
          <w:marRight w:val="0"/>
          <w:marTop w:val="0"/>
          <w:marBottom w:val="0"/>
          <w:divBdr>
            <w:top w:val="none" w:sz="0" w:space="0" w:color="auto"/>
            <w:left w:val="none" w:sz="0" w:space="0" w:color="auto"/>
            <w:bottom w:val="none" w:sz="0" w:space="0" w:color="auto"/>
            <w:right w:val="none" w:sz="0" w:space="0" w:color="auto"/>
          </w:divBdr>
        </w:div>
        <w:div w:id="1824156719">
          <w:marLeft w:val="0"/>
          <w:marRight w:val="0"/>
          <w:marTop w:val="0"/>
          <w:marBottom w:val="0"/>
          <w:divBdr>
            <w:top w:val="none" w:sz="0" w:space="0" w:color="auto"/>
            <w:left w:val="none" w:sz="0" w:space="0" w:color="auto"/>
            <w:bottom w:val="none" w:sz="0" w:space="0" w:color="auto"/>
            <w:right w:val="none" w:sz="0" w:space="0" w:color="auto"/>
          </w:divBdr>
        </w:div>
        <w:div w:id="2008557798">
          <w:marLeft w:val="0"/>
          <w:marRight w:val="0"/>
          <w:marTop w:val="0"/>
          <w:marBottom w:val="0"/>
          <w:divBdr>
            <w:top w:val="none" w:sz="0" w:space="0" w:color="auto"/>
            <w:left w:val="none" w:sz="0" w:space="0" w:color="auto"/>
            <w:bottom w:val="none" w:sz="0" w:space="0" w:color="auto"/>
            <w:right w:val="none" w:sz="0" w:space="0" w:color="auto"/>
          </w:divBdr>
        </w:div>
        <w:div w:id="80493189">
          <w:marLeft w:val="0"/>
          <w:marRight w:val="0"/>
          <w:marTop w:val="0"/>
          <w:marBottom w:val="0"/>
          <w:divBdr>
            <w:top w:val="none" w:sz="0" w:space="0" w:color="auto"/>
            <w:left w:val="none" w:sz="0" w:space="0" w:color="auto"/>
            <w:bottom w:val="none" w:sz="0" w:space="0" w:color="auto"/>
            <w:right w:val="none" w:sz="0" w:space="0" w:color="auto"/>
          </w:divBdr>
        </w:div>
        <w:div w:id="268511219">
          <w:marLeft w:val="0"/>
          <w:marRight w:val="0"/>
          <w:marTop w:val="0"/>
          <w:marBottom w:val="0"/>
          <w:divBdr>
            <w:top w:val="none" w:sz="0" w:space="0" w:color="auto"/>
            <w:left w:val="none" w:sz="0" w:space="0" w:color="auto"/>
            <w:bottom w:val="none" w:sz="0" w:space="0" w:color="auto"/>
            <w:right w:val="none" w:sz="0" w:space="0" w:color="auto"/>
          </w:divBdr>
        </w:div>
        <w:div w:id="984091205">
          <w:marLeft w:val="0"/>
          <w:marRight w:val="0"/>
          <w:marTop w:val="0"/>
          <w:marBottom w:val="0"/>
          <w:divBdr>
            <w:top w:val="none" w:sz="0" w:space="0" w:color="auto"/>
            <w:left w:val="none" w:sz="0" w:space="0" w:color="auto"/>
            <w:bottom w:val="none" w:sz="0" w:space="0" w:color="auto"/>
            <w:right w:val="none" w:sz="0" w:space="0" w:color="auto"/>
          </w:divBdr>
        </w:div>
        <w:div w:id="2107311663">
          <w:marLeft w:val="0"/>
          <w:marRight w:val="0"/>
          <w:marTop w:val="0"/>
          <w:marBottom w:val="0"/>
          <w:divBdr>
            <w:top w:val="none" w:sz="0" w:space="0" w:color="auto"/>
            <w:left w:val="none" w:sz="0" w:space="0" w:color="auto"/>
            <w:bottom w:val="none" w:sz="0" w:space="0" w:color="auto"/>
            <w:right w:val="none" w:sz="0" w:space="0" w:color="auto"/>
          </w:divBdr>
        </w:div>
        <w:div w:id="1116875740">
          <w:marLeft w:val="0"/>
          <w:marRight w:val="0"/>
          <w:marTop w:val="0"/>
          <w:marBottom w:val="0"/>
          <w:divBdr>
            <w:top w:val="none" w:sz="0" w:space="0" w:color="auto"/>
            <w:left w:val="none" w:sz="0" w:space="0" w:color="auto"/>
            <w:bottom w:val="none" w:sz="0" w:space="0" w:color="auto"/>
            <w:right w:val="none" w:sz="0" w:space="0" w:color="auto"/>
          </w:divBdr>
        </w:div>
        <w:div w:id="720372576">
          <w:marLeft w:val="0"/>
          <w:marRight w:val="0"/>
          <w:marTop w:val="0"/>
          <w:marBottom w:val="0"/>
          <w:divBdr>
            <w:top w:val="none" w:sz="0" w:space="0" w:color="auto"/>
            <w:left w:val="none" w:sz="0" w:space="0" w:color="auto"/>
            <w:bottom w:val="none" w:sz="0" w:space="0" w:color="auto"/>
            <w:right w:val="none" w:sz="0" w:space="0" w:color="auto"/>
          </w:divBdr>
        </w:div>
        <w:div w:id="196434214">
          <w:marLeft w:val="0"/>
          <w:marRight w:val="0"/>
          <w:marTop w:val="0"/>
          <w:marBottom w:val="0"/>
          <w:divBdr>
            <w:top w:val="none" w:sz="0" w:space="0" w:color="auto"/>
            <w:left w:val="none" w:sz="0" w:space="0" w:color="auto"/>
            <w:bottom w:val="none" w:sz="0" w:space="0" w:color="auto"/>
            <w:right w:val="none" w:sz="0" w:space="0" w:color="auto"/>
          </w:divBdr>
        </w:div>
        <w:div w:id="601189851">
          <w:marLeft w:val="0"/>
          <w:marRight w:val="0"/>
          <w:marTop w:val="0"/>
          <w:marBottom w:val="0"/>
          <w:divBdr>
            <w:top w:val="none" w:sz="0" w:space="0" w:color="auto"/>
            <w:left w:val="none" w:sz="0" w:space="0" w:color="auto"/>
            <w:bottom w:val="none" w:sz="0" w:space="0" w:color="auto"/>
            <w:right w:val="none" w:sz="0" w:space="0" w:color="auto"/>
          </w:divBdr>
        </w:div>
      </w:divsChild>
    </w:div>
    <w:div w:id="1109278522">
      <w:bodyDiv w:val="1"/>
      <w:marLeft w:val="0"/>
      <w:marRight w:val="0"/>
      <w:marTop w:val="0"/>
      <w:marBottom w:val="0"/>
      <w:divBdr>
        <w:top w:val="none" w:sz="0" w:space="0" w:color="auto"/>
        <w:left w:val="none" w:sz="0" w:space="0" w:color="auto"/>
        <w:bottom w:val="none" w:sz="0" w:space="0" w:color="auto"/>
        <w:right w:val="none" w:sz="0" w:space="0" w:color="auto"/>
      </w:divBdr>
      <w:divsChild>
        <w:div w:id="1991669725">
          <w:marLeft w:val="0"/>
          <w:marRight w:val="0"/>
          <w:marTop w:val="0"/>
          <w:marBottom w:val="0"/>
          <w:divBdr>
            <w:top w:val="none" w:sz="0" w:space="0" w:color="auto"/>
            <w:left w:val="none" w:sz="0" w:space="0" w:color="auto"/>
            <w:bottom w:val="none" w:sz="0" w:space="0" w:color="auto"/>
            <w:right w:val="none" w:sz="0" w:space="0" w:color="auto"/>
          </w:divBdr>
        </w:div>
        <w:div w:id="2084179530">
          <w:marLeft w:val="0"/>
          <w:marRight w:val="0"/>
          <w:marTop w:val="0"/>
          <w:marBottom w:val="0"/>
          <w:divBdr>
            <w:top w:val="none" w:sz="0" w:space="0" w:color="auto"/>
            <w:left w:val="none" w:sz="0" w:space="0" w:color="auto"/>
            <w:bottom w:val="none" w:sz="0" w:space="0" w:color="auto"/>
            <w:right w:val="none" w:sz="0" w:space="0" w:color="auto"/>
          </w:divBdr>
        </w:div>
        <w:div w:id="830751483">
          <w:marLeft w:val="0"/>
          <w:marRight w:val="0"/>
          <w:marTop w:val="0"/>
          <w:marBottom w:val="0"/>
          <w:divBdr>
            <w:top w:val="none" w:sz="0" w:space="0" w:color="auto"/>
            <w:left w:val="none" w:sz="0" w:space="0" w:color="auto"/>
            <w:bottom w:val="none" w:sz="0" w:space="0" w:color="auto"/>
            <w:right w:val="none" w:sz="0" w:space="0" w:color="auto"/>
          </w:divBdr>
        </w:div>
        <w:div w:id="840317848">
          <w:marLeft w:val="0"/>
          <w:marRight w:val="0"/>
          <w:marTop w:val="0"/>
          <w:marBottom w:val="0"/>
          <w:divBdr>
            <w:top w:val="none" w:sz="0" w:space="0" w:color="auto"/>
            <w:left w:val="none" w:sz="0" w:space="0" w:color="auto"/>
            <w:bottom w:val="none" w:sz="0" w:space="0" w:color="auto"/>
            <w:right w:val="none" w:sz="0" w:space="0" w:color="auto"/>
          </w:divBdr>
        </w:div>
        <w:div w:id="1225945805">
          <w:marLeft w:val="0"/>
          <w:marRight w:val="0"/>
          <w:marTop w:val="0"/>
          <w:marBottom w:val="0"/>
          <w:divBdr>
            <w:top w:val="none" w:sz="0" w:space="0" w:color="auto"/>
            <w:left w:val="none" w:sz="0" w:space="0" w:color="auto"/>
            <w:bottom w:val="none" w:sz="0" w:space="0" w:color="auto"/>
            <w:right w:val="none" w:sz="0" w:space="0" w:color="auto"/>
          </w:divBdr>
        </w:div>
        <w:div w:id="1210923280">
          <w:marLeft w:val="0"/>
          <w:marRight w:val="0"/>
          <w:marTop w:val="0"/>
          <w:marBottom w:val="0"/>
          <w:divBdr>
            <w:top w:val="none" w:sz="0" w:space="0" w:color="auto"/>
            <w:left w:val="none" w:sz="0" w:space="0" w:color="auto"/>
            <w:bottom w:val="none" w:sz="0" w:space="0" w:color="auto"/>
            <w:right w:val="none" w:sz="0" w:space="0" w:color="auto"/>
          </w:divBdr>
        </w:div>
      </w:divsChild>
    </w:div>
    <w:div w:id="1534806753">
      <w:bodyDiv w:val="1"/>
      <w:marLeft w:val="0"/>
      <w:marRight w:val="0"/>
      <w:marTop w:val="0"/>
      <w:marBottom w:val="0"/>
      <w:divBdr>
        <w:top w:val="none" w:sz="0" w:space="0" w:color="auto"/>
        <w:left w:val="none" w:sz="0" w:space="0" w:color="auto"/>
        <w:bottom w:val="none" w:sz="0" w:space="0" w:color="auto"/>
        <w:right w:val="none" w:sz="0" w:space="0" w:color="auto"/>
      </w:divBdr>
    </w:div>
    <w:div w:id="2053770952">
      <w:bodyDiv w:val="1"/>
      <w:marLeft w:val="0"/>
      <w:marRight w:val="0"/>
      <w:marTop w:val="0"/>
      <w:marBottom w:val="0"/>
      <w:divBdr>
        <w:top w:val="none" w:sz="0" w:space="0" w:color="auto"/>
        <w:left w:val="none" w:sz="0" w:space="0" w:color="auto"/>
        <w:bottom w:val="none" w:sz="0" w:space="0" w:color="auto"/>
        <w:right w:val="none" w:sz="0" w:space="0" w:color="auto"/>
      </w:divBdr>
      <w:divsChild>
        <w:div w:id="426269909">
          <w:marLeft w:val="0"/>
          <w:marRight w:val="0"/>
          <w:marTop w:val="0"/>
          <w:marBottom w:val="0"/>
          <w:divBdr>
            <w:top w:val="none" w:sz="0" w:space="0" w:color="auto"/>
            <w:left w:val="none" w:sz="0" w:space="0" w:color="auto"/>
            <w:bottom w:val="none" w:sz="0" w:space="0" w:color="auto"/>
            <w:right w:val="none" w:sz="0" w:space="0" w:color="auto"/>
          </w:divBdr>
          <w:divsChild>
            <w:div w:id="1978991999">
              <w:marLeft w:val="0"/>
              <w:marRight w:val="0"/>
              <w:marTop w:val="0"/>
              <w:marBottom w:val="0"/>
              <w:divBdr>
                <w:top w:val="none" w:sz="0" w:space="0" w:color="auto"/>
                <w:left w:val="none" w:sz="0" w:space="0" w:color="auto"/>
                <w:bottom w:val="none" w:sz="0" w:space="0" w:color="auto"/>
                <w:right w:val="none" w:sz="0" w:space="0" w:color="auto"/>
              </w:divBdr>
            </w:div>
            <w:div w:id="1834374745">
              <w:marLeft w:val="0"/>
              <w:marRight w:val="0"/>
              <w:marTop w:val="0"/>
              <w:marBottom w:val="0"/>
              <w:divBdr>
                <w:top w:val="none" w:sz="0" w:space="0" w:color="auto"/>
                <w:left w:val="none" w:sz="0" w:space="0" w:color="auto"/>
                <w:bottom w:val="none" w:sz="0" w:space="0" w:color="auto"/>
                <w:right w:val="none" w:sz="0" w:space="0" w:color="auto"/>
              </w:divBdr>
            </w:div>
            <w:div w:id="905456040">
              <w:marLeft w:val="0"/>
              <w:marRight w:val="0"/>
              <w:marTop w:val="0"/>
              <w:marBottom w:val="0"/>
              <w:divBdr>
                <w:top w:val="none" w:sz="0" w:space="0" w:color="auto"/>
                <w:left w:val="none" w:sz="0" w:space="0" w:color="auto"/>
                <w:bottom w:val="none" w:sz="0" w:space="0" w:color="auto"/>
                <w:right w:val="none" w:sz="0" w:space="0" w:color="auto"/>
              </w:divBdr>
            </w:div>
          </w:divsChild>
        </w:div>
        <w:div w:id="201213006">
          <w:marLeft w:val="0"/>
          <w:marRight w:val="0"/>
          <w:marTop w:val="0"/>
          <w:marBottom w:val="0"/>
          <w:divBdr>
            <w:top w:val="none" w:sz="0" w:space="0" w:color="auto"/>
            <w:left w:val="none" w:sz="0" w:space="0" w:color="auto"/>
            <w:bottom w:val="none" w:sz="0" w:space="0" w:color="auto"/>
            <w:right w:val="none" w:sz="0" w:space="0" w:color="auto"/>
          </w:divBdr>
        </w:div>
        <w:div w:id="331182236">
          <w:marLeft w:val="0"/>
          <w:marRight w:val="0"/>
          <w:marTop w:val="0"/>
          <w:marBottom w:val="0"/>
          <w:divBdr>
            <w:top w:val="none" w:sz="0" w:space="0" w:color="auto"/>
            <w:left w:val="none" w:sz="0" w:space="0" w:color="auto"/>
            <w:bottom w:val="none" w:sz="0" w:space="0" w:color="auto"/>
            <w:right w:val="none" w:sz="0" w:space="0" w:color="auto"/>
          </w:divBdr>
        </w:div>
        <w:div w:id="1166047250">
          <w:marLeft w:val="0"/>
          <w:marRight w:val="0"/>
          <w:marTop w:val="0"/>
          <w:marBottom w:val="0"/>
          <w:divBdr>
            <w:top w:val="none" w:sz="0" w:space="0" w:color="auto"/>
            <w:left w:val="none" w:sz="0" w:space="0" w:color="auto"/>
            <w:bottom w:val="none" w:sz="0" w:space="0" w:color="auto"/>
            <w:right w:val="none" w:sz="0" w:space="0" w:color="auto"/>
          </w:divBdr>
        </w:div>
        <w:div w:id="1666977765">
          <w:marLeft w:val="0"/>
          <w:marRight w:val="0"/>
          <w:marTop w:val="0"/>
          <w:marBottom w:val="0"/>
          <w:divBdr>
            <w:top w:val="none" w:sz="0" w:space="0" w:color="auto"/>
            <w:left w:val="none" w:sz="0" w:space="0" w:color="auto"/>
            <w:bottom w:val="none" w:sz="0" w:space="0" w:color="auto"/>
            <w:right w:val="none" w:sz="0" w:space="0" w:color="auto"/>
          </w:divBdr>
        </w:div>
        <w:div w:id="1226723056">
          <w:marLeft w:val="0"/>
          <w:marRight w:val="0"/>
          <w:marTop w:val="0"/>
          <w:marBottom w:val="0"/>
          <w:divBdr>
            <w:top w:val="none" w:sz="0" w:space="0" w:color="auto"/>
            <w:left w:val="none" w:sz="0" w:space="0" w:color="auto"/>
            <w:bottom w:val="none" w:sz="0" w:space="0" w:color="auto"/>
            <w:right w:val="none" w:sz="0" w:space="0" w:color="auto"/>
          </w:divBdr>
        </w:div>
        <w:div w:id="2145350591">
          <w:marLeft w:val="0"/>
          <w:marRight w:val="0"/>
          <w:marTop w:val="0"/>
          <w:marBottom w:val="0"/>
          <w:divBdr>
            <w:top w:val="none" w:sz="0" w:space="0" w:color="auto"/>
            <w:left w:val="none" w:sz="0" w:space="0" w:color="auto"/>
            <w:bottom w:val="none" w:sz="0" w:space="0" w:color="auto"/>
            <w:right w:val="none" w:sz="0" w:space="0" w:color="auto"/>
          </w:divBdr>
        </w:div>
        <w:div w:id="575017567">
          <w:marLeft w:val="0"/>
          <w:marRight w:val="0"/>
          <w:marTop w:val="0"/>
          <w:marBottom w:val="0"/>
          <w:divBdr>
            <w:top w:val="none" w:sz="0" w:space="0" w:color="auto"/>
            <w:left w:val="none" w:sz="0" w:space="0" w:color="auto"/>
            <w:bottom w:val="none" w:sz="0" w:space="0" w:color="auto"/>
            <w:right w:val="none" w:sz="0" w:space="0" w:color="auto"/>
          </w:divBdr>
        </w:div>
        <w:div w:id="1612131539">
          <w:marLeft w:val="0"/>
          <w:marRight w:val="0"/>
          <w:marTop w:val="0"/>
          <w:marBottom w:val="0"/>
          <w:divBdr>
            <w:top w:val="none" w:sz="0" w:space="0" w:color="auto"/>
            <w:left w:val="none" w:sz="0" w:space="0" w:color="auto"/>
            <w:bottom w:val="none" w:sz="0" w:space="0" w:color="auto"/>
            <w:right w:val="none" w:sz="0" w:space="0" w:color="auto"/>
          </w:divBdr>
        </w:div>
        <w:div w:id="955597884">
          <w:marLeft w:val="0"/>
          <w:marRight w:val="0"/>
          <w:marTop w:val="0"/>
          <w:marBottom w:val="0"/>
          <w:divBdr>
            <w:top w:val="none" w:sz="0" w:space="0" w:color="auto"/>
            <w:left w:val="none" w:sz="0" w:space="0" w:color="auto"/>
            <w:bottom w:val="none" w:sz="0" w:space="0" w:color="auto"/>
            <w:right w:val="none" w:sz="0" w:space="0" w:color="auto"/>
          </w:divBdr>
        </w:div>
        <w:div w:id="1325207682">
          <w:marLeft w:val="0"/>
          <w:marRight w:val="0"/>
          <w:marTop w:val="0"/>
          <w:marBottom w:val="0"/>
          <w:divBdr>
            <w:top w:val="none" w:sz="0" w:space="0" w:color="auto"/>
            <w:left w:val="none" w:sz="0" w:space="0" w:color="auto"/>
            <w:bottom w:val="none" w:sz="0" w:space="0" w:color="auto"/>
            <w:right w:val="none" w:sz="0" w:space="0" w:color="auto"/>
          </w:divBdr>
        </w:div>
        <w:div w:id="1383402664">
          <w:marLeft w:val="0"/>
          <w:marRight w:val="0"/>
          <w:marTop w:val="0"/>
          <w:marBottom w:val="0"/>
          <w:divBdr>
            <w:top w:val="none" w:sz="0" w:space="0" w:color="auto"/>
            <w:left w:val="none" w:sz="0" w:space="0" w:color="auto"/>
            <w:bottom w:val="none" w:sz="0" w:space="0" w:color="auto"/>
            <w:right w:val="none" w:sz="0" w:space="0" w:color="auto"/>
          </w:divBdr>
        </w:div>
        <w:div w:id="469442138">
          <w:marLeft w:val="0"/>
          <w:marRight w:val="0"/>
          <w:marTop w:val="0"/>
          <w:marBottom w:val="0"/>
          <w:divBdr>
            <w:top w:val="none" w:sz="0" w:space="0" w:color="auto"/>
            <w:left w:val="none" w:sz="0" w:space="0" w:color="auto"/>
            <w:bottom w:val="none" w:sz="0" w:space="0" w:color="auto"/>
            <w:right w:val="none" w:sz="0" w:space="0" w:color="auto"/>
          </w:divBdr>
        </w:div>
        <w:div w:id="2053067462">
          <w:marLeft w:val="0"/>
          <w:marRight w:val="0"/>
          <w:marTop w:val="0"/>
          <w:marBottom w:val="0"/>
          <w:divBdr>
            <w:top w:val="none" w:sz="0" w:space="0" w:color="auto"/>
            <w:left w:val="none" w:sz="0" w:space="0" w:color="auto"/>
            <w:bottom w:val="none" w:sz="0" w:space="0" w:color="auto"/>
            <w:right w:val="none" w:sz="0" w:space="0" w:color="auto"/>
          </w:divBdr>
        </w:div>
        <w:div w:id="538208180">
          <w:marLeft w:val="0"/>
          <w:marRight w:val="0"/>
          <w:marTop w:val="0"/>
          <w:marBottom w:val="0"/>
          <w:divBdr>
            <w:top w:val="none" w:sz="0" w:space="0" w:color="auto"/>
            <w:left w:val="none" w:sz="0" w:space="0" w:color="auto"/>
            <w:bottom w:val="none" w:sz="0" w:space="0" w:color="auto"/>
            <w:right w:val="none" w:sz="0" w:space="0" w:color="auto"/>
          </w:divBdr>
        </w:div>
        <w:div w:id="376052923">
          <w:marLeft w:val="0"/>
          <w:marRight w:val="0"/>
          <w:marTop w:val="0"/>
          <w:marBottom w:val="0"/>
          <w:divBdr>
            <w:top w:val="none" w:sz="0" w:space="0" w:color="auto"/>
            <w:left w:val="none" w:sz="0" w:space="0" w:color="auto"/>
            <w:bottom w:val="none" w:sz="0" w:space="0" w:color="auto"/>
            <w:right w:val="none" w:sz="0" w:space="0" w:color="auto"/>
          </w:divBdr>
        </w:div>
        <w:div w:id="835923781">
          <w:marLeft w:val="0"/>
          <w:marRight w:val="0"/>
          <w:marTop w:val="0"/>
          <w:marBottom w:val="0"/>
          <w:divBdr>
            <w:top w:val="none" w:sz="0" w:space="0" w:color="auto"/>
            <w:left w:val="none" w:sz="0" w:space="0" w:color="auto"/>
            <w:bottom w:val="none" w:sz="0" w:space="0" w:color="auto"/>
            <w:right w:val="none" w:sz="0" w:space="0" w:color="auto"/>
          </w:divBdr>
        </w:div>
        <w:div w:id="171536361">
          <w:marLeft w:val="0"/>
          <w:marRight w:val="0"/>
          <w:marTop w:val="0"/>
          <w:marBottom w:val="0"/>
          <w:divBdr>
            <w:top w:val="none" w:sz="0" w:space="0" w:color="auto"/>
            <w:left w:val="none" w:sz="0" w:space="0" w:color="auto"/>
            <w:bottom w:val="none" w:sz="0" w:space="0" w:color="auto"/>
            <w:right w:val="none" w:sz="0" w:space="0" w:color="auto"/>
          </w:divBdr>
        </w:div>
        <w:div w:id="1604150572">
          <w:marLeft w:val="0"/>
          <w:marRight w:val="0"/>
          <w:marTop w:val="0"/>
          <w:marBottom w:val="0"/>
          <w:divBdr>
            <w:top w:val="none" w:sz="0" w:space="0" w:color="auto"/>
            <w:left w:val="none" w:sz="0" w:space="0" w:color="auto"/>
            <w:bottom w:val="none" w:sz="0" w:space="0" w:color="auto"/>
            <w:right w:val="none" w:sz="0" w:space="0" w:color="auto"/>
          </w:divBdr>
        </w:div>
        <w:div w:id="1673219969">
          <w:marLeft w:val="0"/>
          <w:marRight w:val="0"/>
          <w:marTop w:val="0"/>
          <w:marBottom w:val="0"/>
          <w:divBdr>
            <w:top w:val="none" w:sz="0" w:space="0" w:color="auto"/>
            <w:left w:val="none" w:sz="0" w:space="0" w:color="auto"/>
            <w:bottom w:val="none" w:sz="0" w:space="0" w:color="auto"/>
            <w:right w:val="none" w:sz="0" w:space="0" w:color="auto"/>
          </w:divBdr>
        </w:div>
        <w:div w:id="500582844">
          <w:marLeft w:val="0"/>
          <w:marRight w:val="0"/>
          <w:marTop w:val="0"/>
          <w:marBottom w:val="0"/>
          <w:divBdr>
            <w:top w:val="none" w:sz="0" w:space="0" w:color="auto"/>
            <w:left w:val="none" w:sz="0" w:space="0" w:color="auto"/>
            <w:bottom w:val="none" w:sz="0" w:space="0" w:color="auto"/>
            <w:right w:val="none" w:sz="0" w:space="0" w:color="auto"/>
          </w:divBdr>
        </w:div>
        <w:div w:id="1528366500">
          <w:marLeft w:val="0"/>
          <w:marRight w:val="0"/>
          <w:marTop w:val="0"/>
          <w:marBottom w:val="0"/>
          <w:divBdr>
            <w:top w:val="none" w:sz="0" w:space="0" w:color="auto"/>
            <w:left w:val="none" w:sz="0" w:space="0" w:color="auto"/>
            <w:bottom w:val="none" w:sz="0" w:space="0" w:color="auto"/>
            <w:right w:val="none" w:sz="0" w:space="0" w:color="auto"/>
          </w:divBdr>
        </w:div>
        <w:div w:id="1881823548">
          <w:marLeft w:val="0"/>
          <w:marRight w:val="0"/>
          <w:marTop w:val="0"/>
          <w:marBottom w:val="0"/>
          <w:divBdr>
            <w:top w:val="none" w:sz="0" w:space="0" w:color="auto"/>
            <w:left w:val="none" w:sz="0" w:space="0" w:color="auto"/>
            <w:bottom w:val="none" w:sz="0" w:space="0" w:color="auto"/>
            <w:right w:val="none" w:sz="0" w:space="0" w:color="auto"/>
          </w:divBdr>
        </w:div>
        <w:div w:id="1966617192">
          <w:marLeft w:val="0"/>
          <w:marRight w:val="0"/>
          <w:marTop w:val="0"/>
          <w:marBottom w:val="0"/>
          <w:divBdr>
            <w:top w:val="none" w:sz="0" w:space="0" w:color="auto"/>
            <w:left w:val="none" w:sz="0" w:space="0" w:color="auto"/>
            <w:bottom w:val="none" w:sz="0" w:space="0" w:color="auto"/>
            <w:right w:val="none" w:sz="0" w:space="0" w:color="auto"/>
          </w:divBdr>
        </w:div>
        <w:div w:id="1143934337">
          <w:marLeft w:val="0"/>
          <w:marRight w:val="0"/>
          <w:marTop w:val="0"/>
          <w:marBottom w:val="0"/>
          <w:divBdr>
            <w:top w:val="none" w:sz="0" w:space="0" w:color="auto"/>
            <w:left w:val="none" w:sz="0" w:space="0" w:color="auto"/>
            <w:bottom w:val="none" w:sz="0" w:space="0" w:color="auto"/>
            <w:right w:val="none" w:sz="0" w:space="0" w:color="auto"/>
          </w:divBdr>
        </w:div>
        <w:div w:id="121534884">
          <w:marLeft w:val="0"/>
          <w:marRight w:val="0"/>
          <w:marTop w:val="0"/>
          <w:marBottom w:val="0"/>
          <w:divBdr>
            <w:top w:val="none" w:sz="0" w:space="0" w:color="auto"/>
            <w:left w:val="none" w:sz="0" w:space="0" w:color="auto"/>
            <w:bottom w:val="none" w:sz="0" w:space="0" w:color="auto"/>
            <w:right w:val="none" w:sz="0" w:space="0" w:color="auto"/>
          </w:divBdr>
        </w:div>
        <w:div w:id="941760446">
          <w:marLeft w:val="0"/>
          <w:marRight w:val="0"/>
          <w:marTop w:val="0"/>
          <w:marBottom w:val="0"/>
          <w:divBdr>
            <w:top w:val="none" w:sz="0" w:space="0" w:color="auto"/>
            <w:left w:val="none" w:sz="0" w:space="0" w:color="auto"/>
            <w:bottom w:val="none" w:sz="0" w:space="0" w:color="auto"/>
            <w:right w:val="none" w:sz="0" w:space="0" w:color="auto"/>
          </w:divBdr>
        </w:div>
        <w:div w:id="1427768757">
          <w:marLeft w:val="0"/>
          <w:marRight w:val="0"/>
          <w:marTop w:val="0"/>
          <w:marBottom w:val="0"/>
          <w:divBdr>
            <w:top w:val="none" w:sz="0" w:space="0" w:color="auto"/>
            <w:left w:val="none" w:sz="0" w:space="0" w:color="auto"/>
            <w:bottom w:val="none" w:sz="0" w:space="0" w:color="auto"/>
            <w:right w:val="none" w:sz="0" w:space="0" w:color="auto"/>
          </w:divBdr>
        </w:div>
        <w:div w:id="28380018">
          <w:marLeft w:val="0"/>
          <w:marRight w:val="0"/>
          <w:marTop w:val="0"/>
          <w:marBottom w:val="0"/>
          <w:divBdr>
            <w:top w:val="none" w:sz="0" w:space="0" w:color="auto"/>
            <w:left w:val="none" w:sz="0" w:space="0" w:color="auto"/>
            <w:bottom w:val="none" w:sz="0" w:space="0" w:color="auto"/>
            <w:right w:val="none" w:sz="0" w:space="0" w:color="auto"/>
          </w:divBdr>
        </w:div>
        <w:div w:id="474956223">
          <w:marLeft w:val="0"/>
          <w:marRight w:val="0"/>
          <w:marTop w:val="0"/>
          <w:marBottom w:val="0"/>
          <w:divBdr>
            <w:top w:val="none" w:sz="0" w:space="0" w:color="auto"/>
            <w:left w:val="none" w:sz="0" w:space="0" w:color="auto"/>
            <w:bottom w:val="none" w:sz="0" w:space="0" w:color="auto"/>
            <w:right w:val="none" w:sz="0" w:space="0" w:color="auto"/>
          </w:divBdr>
        </w:div>
        <w:div w:id="1459958594">
          <w:marLeft w:val="0"/>
          <w:marRight w:val="0"/>
          <w:marTop w:val="0"/>
          <w:marBottom w:val="0"/>
          <w:divBdr>
            <w:top w:val="none" w:sz="0" w:space="0" w:color="auto"/>
            <w:left w:val="none" w:sz="0" w:space="0" w:color="auto"/>
            <w:bottom w:val="none" w:sz="0" w:space="0" w:color="auto"/>
            <w:right w:val="none" w:sz="0" w:space="0" w:color="auto"/>
          </w:divBdr>
        </w:div>
        <w:div w:id="81611760">
          <w:marLeft w:val="0"/>
          <w:marRight w:val="0"/>
          <w:marTop w:val="0"/>
          <w:marBottom w:val="0"/>
          <w:divBdr>
            <w:top w:val="none" w:sz="0" w:space="0" w:color="auto"/>
            <w:left w:val="none" w:sz="0" w:space="0" w:color="auto"/>
            <w:bottom w:val="none" w:sz="0" w:space="0" w:color="auto"/>
            <w:right w:val="none" w:sz="0" w:space="0" w:color="auto"/>
          </w:divBdr>
        </w:div>
        <w:div w:id="1737825961">
          <w:marLeft w:val="0"/>
          <w:marRight w:val="0"/>
          <w:marTop w:val="0"/>
          <w:marBottom w:val="0"/>
          <w:divBdr>
            <w:top w:val="none" w:sz="0" w:space="0" w:color="auto"/>
            <w:left w:val="none" w:sz="0" w:space="0" w:color="auto"/>
            <w:bottom w:val="none" w:sz="0" w:space="0" w:color="auto"/>
            <w:right w:val="none" w:sz="0" w:space="0" w:color="auto"/>
          </w:divBdr>
        </w:div>
        <w:div w:id="1152022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documentManagement>
</p:properties>
</file>

<file path=customXml/itemProps1.xml><?xml version="1.0" encoding="utf-8"?>
<ds:datastoreItem xmlns:ds="http://schemas.openxmlformats.org/officeDocument/2006/customXml" ds:itemID="{B1048D53-1AF3-441C-8114-EB4C0F583AFF}">
  <ds:schemaRefs>
    <ds:schemaRef ds:uri="http://schemas.microsoft.com/sharepoint/v3/contenttype/forms"/>
  </ds:schemaRefs>
</ds:datastoreItem>
</file>

<file path=customXml/itemProps2.xml><?xml version="1.0" encoding="utf-8"?>
<ds:datastoreItem xmlns:ds="http://schemas.openxmlformats.org/officeDocument/2006/customXml" ds:itemID="{0A0BA862-93A8-4B4F-8134-B575E04C81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816A09-CA8C-4C36-A100-10535E38B615}">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2133</Words>
  <Characters>11733</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Pereira, abril quince [15] de dos mil ocho [2008]</vt:lpstr>
    </vt:vector>
  </TitlesOfParts>
  <Company> </Company>
  <LinksUpToDate>false</LinksUpToDate>
  <CharactersWithSpaces>13839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Pereira, abril quince [15] de dos mil ocho [2008]</dc:title>
  <dc:subject/>
  <dc:creator>jtoroc</dc:creator>
  <cp:keywords/>
  <dc:description/>
  <cp:lastModifiedBy>Hermides Alonso Gaviria Ocampo</cp:lastModifiedBy>
  <cp:revision>7</cp:revision>
  <cp:lastPrinted>2016-04-18T20:28:00Z</cp:lastPrinted>
  <dcterms:created xsi:type="dcterms:W3CDTF">2023-05-05T20:42:00Z</dcterms:created>
  <dcterms:modified xsi:type="dcterms:W3CDTF">2023-07-12T22:52:00Z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