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08" w:rsidRPr="00064223" w:rsidRDefault="00226708" w:rsidP="0022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Providencia: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Auto de 31 de mayo de 2023</w:t>
      </w:r>
    </w:p>
    <w:p w:rsidR="00226708" w:rsidRPr="00064223" w:rsidRDefault="00226708" w:rsidP="0022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Radicación Nro.: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66001-31-05-004-2019-00441-02</w:t>
      </w:r>
    </w:p>
    <w:p w:rsidR="00226708" w:rsidRPr="00064223" w:rsidRDefault="00226708" w:rsidP="0022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Proceso: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Ordinario Laboral</w:t>
      </w:r>
    </w:p>
    <w:p w:rsidR="00226708" w:rsidRPr="00064223" w:rsidRDefault="00226708" w:rsidP="0022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Demandante: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César Augusto Restrepo Morales</w:t>
      </w:r>
    </w:p>
    <w:p w:rsidR="00226708" w:rsidRPr="00064223" w:rsidRDefault="00226708" w:rsidP="0022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Demandado: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Empresa de Acueducto y Alcantarillado de Pereira S.A. E.S.P.</w:t>
      </w:r>
    </w:p>
    <w:p w:rsidR="00226708" w:rsidRPr="00064223" w:rsidRDefault="00226708" w:rsidP="0022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Juzgado de origen: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Juzgado Cuarto Laboral del Circuito de Pereira</w:t>
      </w:r>
    </w:p>
    <w:p w:rsidR="00226708" w:rsidRPr="00064223" w:rsidRDefault="00226708" w:rsidP="00226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>Magistrado Ponente:</w:t>
      </w:r>
      <w:r w:rsidRPr="00064223">
        <w:rPr>
          <w:rFonts w:ascii="Arial" w:eastAsia="Times New Roman" w:hAnsi="Arial" w:cs="Arial"/>
          <w:sz w:val="20"/>
          <w:szCs w:val="20"/>
          <w:lang w:val="es-419" w:eastAsia="es-ES"/>
        </w:rPr>
        <w:tab/>
        <w:t>Julio César Salazar Muñoz</w:t>
      </w:r>
    </w:p>
    <w:p w:rsidR="00226708" w:rsidRDefault="00226708" w:rsidP="00226708">
      <w:pPr>
        <w:pStyle w:val="Textoindependiente"/>
        <w:spacing w:line="240" w:lineRule="auto"/>
        <w:ind w:right="51"/>
        <w:rPr>
          <w:rFonts w:cs="Arial"/>
          <w:bCs/>
          <w:sz w:val="20"/>
          <w:szCs w:val="18"/>
        </w:rPr>
      </w:pPr>
    </w:p>
    <w:p w:rsidR="00226708" w:rsidRPr="00064223" w:rsidRDefault="00226708" w:rsidP="00226708">
      <w:pPr>
        <w:pStyle w:val="Textoindependiente"/>
        <w:spacing w:line="240" w:lineRule="auto"/>
        <w:ind w:right="51"/>
        <w:rPr>
          <w:rFonts w:cs="Arial"/>
          <w:bCs/>
          <w:sz w:val="20"/>
          <w:szCs w:val="18"/>
        </w:rPr>
      </w:pPr>
    </w:p>
    <w:p w:rsidR="00226708" w:rsidRPr="00064223" w:rsidRDefault="00226708" w:rsidP="00226708">
      <w:pPr>
        <w:spacing w:after="0"/>
        <w:ind w:left="2829" w:hanging="2829"/>
        <w:jc w:val="both"/>
        <w:rPr>
          <w:rFonts w:ascii="Arial" w:hAnsi="Arial" w:cs="Arial"/>
          <w:bCs/>
          <w:sz w:val="20"/>
          <w:szCs w:val="18"/>
          <w:lang w:val="es-ES_tradnl"/>
        </w:rPr>
      </w:pPr>
    </w:p>
    <w:p w:rsidR="00226708" w:rsidRDefault="00226708" w:rsidP="00226708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TRIBUNAL SUPERIOR DEL DISTRITO JUDICIAL</w:t>
      </w:r>
    </w:p>
    <w:p w:rsidR="00226708" w:rsidRDefault="00226708" w:rsidP="002267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LABORAL</w:t>
      </w:r>
    </w:p>
    <w:p w:rsidR="00226708" w:rsidRDefault="00226708" w:rsidP="002267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MAGISTRADO PONENTE: JULIO CÉSAR SALAZAR MUÑOZ </w:t>
      </w:r>
    </w:p>
    <w:p w:rsidR="00226708" w:rsidRDefault="00226708" w:rsidP="00226708">
      <w:pPr>
        <w:spacing w:after="0"/>
        <w:rPr>
          <w:rFonts w:ascii="Arial" w:hAnsi="Arial" w:cs="Arial"/>
          <w:sz w:val="24"/>
          <w:szCs w:val="24"/>
        </w:rPr>
      </w:pPr>
    </w:p>
    <w:p w:rsidR="00226708" w:rsidRDefault="00226708" w:rsidP="002267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Pereira, treinta y uno de mayo de dos mil veintitrés</w:t>
      </w:r>
    </w:p>
    <w:p w:rsidR="00226708" w:rsidRDefault="00226708" w:rsidP="002267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Sala de Discusión No 085 de 39 de mayo de 2023</w:t>
      </w:r>
    </w:p>
    <w:p w:rsidR="00226708" w:rsidRDefault="00226708" w:rsidP="0022670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226708" w:rsidRDefault="00226708" w:rsidP="0022670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bCs/>
        </w:rPr>
      </w:pPr>
    </w:p>
    <w:p w:rsidR="00226708" w:rsidRPr="007339D1" w:rsidRDefault="00226708" w:rsidP="0022670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32"/>
        </w:rPr>
      </w:pPr>
      <w:r w:rsidRPr="007339D1">
        <w:rPr>
          <w:rStyle w:val="eop"/>
          <w:rFonts w:ascii="Arial" w:hAnsi="Arial" w:cs="Arial"/>
          <w:b/>
          <w:bCs/>
          <w:sz w:val="32"/>
        </w:rPr>
        <w:t xml:space="preserve">ANEXO </w:t>
      </w:r>
      <w:r>
        <w:rPr>
          <w:rStyle w:val="eop"/>
          <w:rFonts w:ascii="Arial" w:hAnsi="Arial" w:cs="Arial"/>
          <w:b/>
          <w:bCs/>
          <w:sz w:val="32"/>
        </w:rPr>
        <w:t>3</w:t>
      </w:r>
    </w:p>
    <w:p w:rsidR="00226708" w:rsidRDefault="00226708" w:rsidP="0022670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Cs/>
        </w:rPr>
      </w:pPr>
    </w:p>
    <w:p w:rsidR="00674172" w:rsidRDefault="00674172" w:rsidP="0067417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bCs/>
        </w:rPr>
      </w:pPr>
      <w:r>
        <w:rPr>
          <w:rStyle w:val="eop"/>
          <w:rFonts w:ascii="Arial" w:hAnsi="Arial" w:cs="Arial"/>
          <w:b/>
          <w:bCs/>
        </w:rPr>
        <w:t>VALOR TOTAL DE LAS CONDENAS</w:t>
      </w:r>
    </w:p>
    <w:p w:rsidR="00226708" w:rsidRDefault="00226708" w:rsidP="0022670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Cs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418"/>
        <w:gridCol w:w="4418"/>
      </w:tblGrid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CONCEPTO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Valor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Diferencia Salarial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$6.389.655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 xml:space="preserve">Prima de Vacaciones 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$1.521.342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Prima de navidad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$753.507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Prima de antigüedad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$3.334.687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Prima de servicios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$557.471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Vacaciones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$278.735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Intereses a las cesantías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$45.642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Indemnización moratoria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$34.260.990.79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 xml:space="preserve">Indemnización por no consignación de las cesantías 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$11.110.997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Reajuste de aporte pensional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$14.284.180.69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Intereses por mora aporte pensión</w:t>
            </w:r>
          </w:p>
          <w:p w:rsidR="00C860A5" w:rsidRDefault="00C860A5" w:rsidP="004441E8">
            <w:pPr>
              <w:pStyle w:val="Textoindependiente"/>
            </w:pPr>
            <w:r w:rsidRPr="116459F0">
              <w:rPr>
                <w:sz w:val="16"/>
                <w:szCs w:val="16"/>
              </w:rPr>
              <w:t>(la suma debida es superior, dado que la sentencia ordenó cálculo actuarial)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>$54.415.323</w:t>
            </w:r>
          </w:p>
        </w:tc>
      </w:tr>
      <w:tr w:rsidR="00C860A5" w:rsidTr="004441E8">
        <w:trPr>
          <w:trHeight w:val="300"/>
        </w:trPr>
        <w:tc>
          <w:tcPr>
            <w:tcW w:w="4418" w:type="dxa"/>
          </w:tcPr>
          <w:p w:rsidR="00C860A5" w:rsidRDefault="00C860A5" w:rsidP="004441E8">
            <w:pPr>
              <w:pStyle w:val="Textoindependiente"/>
            </w:pPr>
            <w:r>
              <w:t xml:space="preserve">TOTAL </w:t>
            </w:r>
          </w:p>
        </w:tc>
        <w:tc>
          <w:tcPr>
            <w:tcW w:w="4418" w:type="dxa"/>
          </w:tcPr>
          <w:p w:rsidR="00C860A5" w:rsidRDefault="00C860A5" w:rsidP="004441E8">
            <w:pPr>
              <w:pStyle w:val="Textoindependiente"/>
              <w:rPr>
                <w:b/>
                <w:bCs/>
              </w:rPr>
            </w:pPr>
            <w:r w:rsidRPr="3A133A35">
              <w:rPr>
                <w:b/>
                <w:bCs/>
              </w:rPr>
              <w:t>$126.952.530.38</w:t>
            </w:r>
          </w:p>
        </w:tc>
      </w:tr>
    </w:tbl>
    <w:p w:rsidR="00674172" w:rsidRDefault="00674172" w:rsidP="0067417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674172" w:rsidRDefault="00674172" w:rsidP="0067417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674172" w:rsidRDefault="00674172" w:rsidP="0067417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674172" w:rsidRDefault="00674172" w:rsidP="0067417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:rsidR="00674172" w:rsidRPr="00CB6013" w:rsidRDefault="00674172" w:rsidP="0067417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CB6013">
        <w:rPr>
          <w:rStyle w:val="eop"/>
          <w:rFonts w:ascii="Arial" w:hAnsi="Arial" w:cs="Arial"/>
          <w:b/>
          <w:bCs/>
        </w:rPr>
        <w:t>JULIO CÉSAR SALAZAR MUÑOZ</w:t>
      </w:r>
    </w:p>
    <w:p w:rsidR="00087683" w:rsidRPr="00674172" w:rsidRDefault="00674172" w:rsidP="0067417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CB6013">
        <w:rPr>
          <w:rStyle w:val="eop"/>
          <w:rFonts w:ascii="Arial" w:hAnsi="Arial" w:cs="Arial"/>
        </w:rPr>
        <w:t>Magistrado Ponente</w:t>
      </w:r>
    </w:p>
    <w:sectPr w:rsidR="00087683" w:rsidRPr="00674172" w:rsidSect="00226708">
      <w:pgSz w:w="12242" w:h="18722" w:code="258"/>
      <w:pgMar w:top="1871" w:right="1304" w:bottom="1304" w:left="187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A5"/>
    <w:rsid w:val="00226708"/>
    <w:rsid w:val="00674172"/>
    <w:rsid w:val="00B92B96"/>
    <w:rsid w:val="00C3243D"/>
    <w:rsid w:val="00C860A5"/>
    <w:rsid w:val="00D26EDF"/>
    <w:rsid w:val="00EB4A94"/>
    <w:rsid w:val="00F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F9E"/>
  <w15:chartTrackingRefBased/>
  <w15:docId w15:val="{281E49C0-1FFC-4A2B-AB69-122AC4C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860A5"/>
    <w:pPr>
      <w:spacing w:after="0" w:line="360" w:lineRule="auto"/>
      <w:jc w:val="both"/>
    </w:pPr>
    <w:rPr>
      <w:rFonts w:ascii="Arial" w:eastAsia="Times New Roman" w:hAnsi="Arial"/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860A5"/>
    <w:rPr>
      <w:rFonts w:ascii="Arial" w:eastAsia="Times New Roman" w:hAnsi="Arial" w:cs="Times New Roman"/>
      <w:sz w:val="26"/>
      <w:szCs w:val="20"/>
      <w:lang w:val="es-ES_tradnl"/>
    </w:rPr>
  </w:style>
  <w:style w:type="table" w:styleId="Tablaconcuadrcula">
    <w:name w:val="Table Grid"/>
    <w:basedOn w:val="Tablanormal"/>
    <w:uiPriority w:val="59"/>
    <w:rsid w:val="00C8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uesto">
    <w:name w:val="Puesto"/>
    <w:basedOn w:val="Normal"/>
    <w:qFormat/>
    <w:rsid w:val="00B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man 12cpi" w:eastAsia="Times New Roman" w:hAnsi="Roman 12cpi"/>
      <w:b/>
      <w:bCs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B92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B9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Ramírez Gómez</dc:creator>
  <cp:keywords/>
  <dc:description/>
  <cp:lastModifiedBy>Hermides Alonso Gaviria Ocampo</cp:lastModifiedBy>
  <cp:revision>4</cp:revision>
  <dcterms:created xsi:type="dcterms:W3CDTF">2023-05-30T16:26:00Z</dcterms:created>
  <dcterms:modified xsi:type="dcterms:W3CDTF">2023-06-29T15:14:00Z</dcterms:modified>
</cp:coreProperties>
</file>