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B6DAF" w14:textId="77777777" w:rsidR="00DA3EAC" w:rsidRPr="00DA3EAC" w:rsidRDefault="00DA3EAC" w:rsidP="00DA3EAC">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Hlk141165409"/>
      <w:bookmarkStart w:id="2" w:name="_GoBack"/>
      <w:bookmarkEnd w:id="2"/>
      <w:r w:rsidRPr="00DA3EAC">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2B9CC1" w14:textId="77777777" w:rsidR="00DA3EAC" w:rsidRPr="00DA3EAC" w:rsidRDefault="00DA3EAC" w:rsidP="00DA3EAC">
      <w:pPr>
        <w:spacing w:after="0" w:line="240" w:lineRule="auto"/>
        <w:jc w:val="both"/>
        <w:rPr>
          <w:rFonts w:ascii="Arial" w:eastAsia="Times New Roman" w:hAnsi="Arial" w:cs="Arial"/>
          <w:sz w:val="20"/>
          <w:szCs w:val="20"/>
          <w:lang w:val="es-419" w:eastAsia="es-ES"/>
        </w:rPr>
      </w:pPr>
    </w:p>
    <w:p w14:paraId="6F296B35" w14:textId="51D3339B" w:rsidR="00DA3EAC" w:rsidRPr="00DA3EAC" w:rsidRDefault="008D69E9" w:rsidP="00DA3EAC">
      <w:pPr>
        <w:spacing w:after="0" w:line="240" w:lineRule="auto"/>
        <w:jc w:val="both"/>
        <w:rPr>
          <w:rFonts w:ascii="Arial" w:eastAsia="Arial" w:hAnsi="Arial" w:cs="Arial"/>
          <w:color w:val="000000"/>
          <w:sz w:val="20"/>
          <w:szCs w:val="20"/>
          <w:lang w:val="es-ES" w:eastAsia="es-ES"/>
        </w:rPr>
      </w:pPr>
      <w:r w:rsidRPr="00DA3EAC">
        <w:rPr>
          <w:rFonts w:ascii="Arial" w:eastAsia="Arial" w:hAnsi="Arial" w:cs="Arial"/>
          <w:b/>
          <w:bCs/>
          <w:color w:val="000000"/>
          <w:sz w:val="20"/>
          <w:szCs w:val="20"/>
          <w:u w:val="single"/>
          <w:lang w:val="es-419"/>
        </w:rPr>
        <w:t>TEMAS:</w:t>
      </w:r>
      <w:r w:rsidRPr="00DA3EAC">
        <w:rPr>
          <w:rFonts w:ascii="Arial" w:eastAsia="Arial" w:hAnsi="Arial" w:cs="Arial"/>
          <w:b/>
          <w:bCs/>
          <w:color w:val="000000"/>
          <w:sz w:val="20"/>
          <w:szCs w:val="20"/>
          <w:lang w:val="es-419"/>
        </w:rPr>
        <w:tab/>
      </w:r>
      <w:r>
        <w:rPr>
          <w:rFonts w:ascii="Arial" w:eastAsia="Arial" w:hAnsi="Arial" w:cs="Arial"/>
          <w:b/>
          <w:bCs/>
          <w:color w:val="000000"/>
          <w:sz w:val="20"/>
          <w:szCs w:val="20"/>
          <w:lang w:val="es-419"/>
        </w:rPr>
        <w:t>PENSIÓN DE JUBILACIÓN CONVENCIONAL / TRABAJADORA DEL INSTITUTO DE SEGUROS SOCIALES / REQUISITOS / ARTÍCULO 98 DE LA CONVENCIÓN / 50 AÑOS SI ES MUJER / 20 AÑOS DE SERVICIOS, CONTINUOS O DISCONTINUOS / CUMPLIDO ESTE LÍMITE NO ES PERTINENTE SUMAR TIEMPO CON OTRAS ENTIDADES PÚBLICAS PARA DEFINIR EL DERECHO / ARTÍCULO 101 DE LA CONVENCIÓN.</w:t>
      </w:r>
    </w:p>
    <w:p w14:paraId="2302BAF4"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ACAEF4B" w14:textId="39F3324A" w:rsidR="00DA3EAC" w:rsidRPr="00DA3EAC" w:rsidRDefault="00C077D2"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C077D2">
        <w:rPr>
          <w:rFonts w:ascii="Arial" w:eastAsia="Arial" w:hAnsi="Arial" w:cs="Arial"/>
          <w:color w:val="000000"/>
          <w:sz w:val="20"/>
          <w:szCs w:val="20"/>
          <w:lang w:val="es-ES" w:eastAsia="es-ES"/>
        </w:rPr>
        <w:t>Establece el artículo 98 de la convención colectiva de trabajo suscrita entre el otrora Instituto de Seguros Sociales y el Sindicato Nacional de Trabajadores de la Seguridad Social</w:t>
      </w:r>
      <w:r w:rsidR="00AF17AF">
        <w:rPr>
          <w:rFonts w:ascii="Arial" w:eastAsia="Arial" w:hAnsi="Arial" w:cs="Arial"/>
          <w:color w:val="000000"/>
          <w:sz w:val="20"/>
          <w:szCs w:val="20"/>
          <w:lang w:val="es-ES" w:eastAsia="es-ES"/>
        </w:rPr>
        <w:t>…</w:t>
      </w:r>
      <w:r w:rsidRPr="00C077D2">
        <w:rPr>
          <w:rFonts w:ascii="Arial" w:eastAsia="Arial" w:hAnsi="Arial" w:cs="Arial"/>
          <w:color w:val="000000"/>
          <w:sz w:val="20"/>
          <w:szCs w:val="20"/>
          <w:lang w:val="es-ES" w:eastAsia="es-ES"/>
        </w:rPr>
        <w:t>” que el trabajador oficial que cumpla veinte (20) años de servicio continuo o discontinuo al ISS y arribe a los cincuenta y cinco (55) años de edad en el caso de los hombres y cincuenta (50) años en el caso de las mujeres, tendrá derecho a que se le reconozca la pensión de jubilación convencional, indicando que en el caso de los trabajadores que adquieran el derecho pensional entre el 1° de enero de 2002 y el 31 de diciembre de 2006, se les reconocerá como mesada pensional el 100% del promedio mensual de lo percibido en los dos últimos años de servicio.</w:t>
      </w:r>
    </w:p>
    <w:p w14:paraId="164AE31F"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1F7CBB1" w14:textId="62B276EA" w:rsidR="00DA3EAC" w:rsidRPr="00DA3EAC" w:rsidRDefault="00AF17AF"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AF17AF">
        <w:rPr>
          <w:rFonts w:ascii="Arial" w:eastAsia="Arial" w:hAnsi="Arial" w:cs="Arial"/>
          <w:color w:val="000000"/>
          <w:sz w:val="20"/>
          <w:szCs w:val="20"/>
          <w:lang w:val="es-ES" w:eastAsia="es-ES"/>
        </w:rPr>
        <w:t>en el artículo 101 del referido compendio normativo, denominado como “Acumulación de Tiempo de Servicios”, las partes pactaron que “Los servicios prestados sucesiva o alternativamente en las demás entidades de derecho público podrá acumularse para el cómputo del tiempo requerido para poder tener derecho a pensión de jubilación y el monto correspondiente se distribuirá en proporción al tiempo laborado en cada una de tales entidades. En este caso, la cuantía de la pensión será del 75% del promedio de lo percibido en el último año de servicios</w:t>
      </w:r>
      <w:r>
        <w:rPr>
          <w:rFonts w:ascii="Arial" w:eastAsia="Arial" w:hAnsi="Arial" w:cs="Arial"/>
          <w:color w:val="000000"/>
          <w:sz w:val="20"/>
          <w:szCs w:val="20"/>
          <w:lang w:val="es-ES" w:eastAsia="es-ES"/>
        </w:rPr>
        <w:t>…</w:t>
      </w:r>
    </w:p>
    <w:p w14:paraId="2A4E1E51"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1EDDB2D" w14:textId="4EEDA9F2" w:rsidR="00DA3EAC" w:rsidRPr="00DA3EAC" w:rsidRDefault="00BB2099"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BB2099">
        <w:rPr>
          <w:rFonts w:ascii="Arial" w:eastAsia="Arial" w:hAnsi="Arial" w:cs="Arial"/>
          <w:color w:val="000000"/>
          <w:sz w:val="20"/>
          <w:szCs w:val="20"/>
          <w:lang w:val="es-ES" w:eastAsia="es-ES"/>
        </w:rPr>
        <w:t>en otras palabras, cuando un trabajador del ISS alcanza los veinte (20) años de servicios continuos o discontinuos a favor de esa entidad, inmediatamente adquiere el derecho a la pensión de jubilación por vía del artículo 98 de la convención colectiva de trabajo, independientemente si también acredita tiempo de servicios en otras entidades de derecho público diferentes al ISS; pero, en el evento en el que no alcance a computar los veinte (20) años de servicios exclusivos en el ISS, podrá completar el tiempo mínimo exigido con los servicios prestados en otras entidades de derecho público, casos estos en los cuales la pensión de jubilación se regirá por lo establecido en el artículo 101 de la convención</w:t>
      </w:r>
      <w:r>
        <w:rPr>
          <w:rFonts w:ascii="Arial" w:eastAsia="Arial" w:hAnsi="Arial" w:cs="Arial"/>
          <w:color w:val="000000"/>
          <w:sz w:val="20"/>
          <w:szCs w:val="20"/>
          <w:lang w:val="es-ES" w:eastAsia="es-ES"/>
        </w:rPr>
        <w:t>…</w:t>
      </w:r>
      <w:r w:rsidRPr="00BB2099">
        <w:rPr>
          <w:rFonts w:ascii="Arial" w:eastAsia="Arial" w:hAnsi="Arial" w:cs="Arial"/>
          <w:color w:val="000000"/>
          <w:sz w:val="20"/>
          <w:szCs w:val="20"/>
          <w:lang w:val="es-ES" w:eastAsia="es-ES"/>
        </w:rPr>
        <w:t xml:space="preserve"> </w:t>
      </w:r>
    </w:p>
    <w:p w14:paraId="6CFE0757"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2639F61B" w14:textId="1F241E54" w:rsidR="00DA3EAC" w:rsidRPr="00DA3EAC" w:rsidRDefault="008B5F63"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B5F63">
        <w:rPr>
          <w:rFonts w:ascii="Arial" w:eastAsia="Arial" w:hAnsi="Arial" w:cs="Arial"/>
          <w:color w:val="000000"/>
          <w:sz w:val="20"/>
          <w:szCs w:val="20"/>
          <w:lang w:val="es-ES" w:eastAsia="es-ES"/>
        </w:rPr>
        <w:t>en este evento la entonces trabajadora oficial logró acreditar, no solamente el cumplimiento de los cincuenta años el 3 de enero de 2006, al haber nacido en la misma calenda del año 1956</w:t>
      </w:r>
      <w:r>
        <w:rPr>
          <w:rFonts w:ascii="Arial" w:eastAsia="Arial" w:hAnsi="Arial" w:cs="Arial"/>
          <w:color w:val="000000"/>
          <w:sz w:val="20"/>
          <w:szCs w:val="20"/>
          <w:lang w:val="es-ES" w:eastAsia="es-ES"/>
        </w:rPr>
        <w:t>…</w:t>
      </w:r>
      <w:r w:rsidRPr="008B5F63">
        <w:rPr>
          <w:rFonts w:ascii="Arial" w:eastAsia="Arial" w:hAnsi="Arial" w:cs="Arial"/>
          <w:color w:val="000000"/>
          <w:sz w:val="20"/>
          <w:szCs w:val="20"/>
          <w:lang w:val="es-ES" w:eastAsia="es-ES"/>
        </w:rPr>
        <w:t>, sino también porque acreditó los veinte (20) años de servicios continuos o discontinuos prestados a favor del Instituto de Seguros Sociales, por lo que no era procedente aplicar lo reglado en el su artículo 101, ya que en este caso no era necesario acudir a la acumulación de tiempos de servicios para alcanzar el tiempo requerido para poder tener derecho a la pensión de jubilación, es decir, al cumplir con el tiempo mínimo de servicios exclusivos al ISS, no había lugar a completar esos veinte (20) años con servicios prestados en otras entidades de derecho público</w:t>
      </w:r>
      <w:r>
        <w:rPr>
          <w:rFonts w:ascii="Arial" w:eastAsia="Arial" w:hAnsi="Arial" w:cs="Arial"/>
          <w:color w:val="000000"/>
          <w:sz w:val="20"/>
          <w:szCs w:val="20"/>
          <w:lang w:val="es-ES" w:eastAsia="es-ES"/>
        </w:rPr>
        <w:t>…</w:t>
      </w:r>
    </w:p>
    <w:p w14:paraId="18A3393C"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8D77AF4"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D94B969" w14:textId="77777777" w:rsidR="00DA3EAC" w:rsidRPr="00DA3EAC" w:rsidRDefault="00DA3EAC" w:rsidP="00DA3EAC">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1D99B1A9" w14:textId="77777777" w:rsidR="00DA3EAC" w:rsidRPr="00DA3EAC" w:rsidRDefault="00DA3EAC" w:rsidP="00DA3EAC">
      <w:pPr>
        <w:keepNext/>
        <w:spacing w:after="0"/>
        <w:jc w:val="center"/>
        <w:rPr>
          <w:rFonts w:ascii="Arial" w:eastAsia="Arial" w:hAnsi="Arial" w:cs="Arial"/>
          <w:b/>
          <w:sz w:val="24"/>
          <w:szCs w:val="24"/>
          <w:lang w:eastAsia="es-CO"/>
        </w:rPr>
      </w:pPr>
      <w:r w:rsidRPr="00DA3EAC">
        <w:rPr>
          <w:rFonts w:ascii="Arial" w:eastAsia="Arial" w:hAnsi="Arial" w:cs="Arial"/>
          <w:b/>
          <w:sz w:val="24"/>
          <w:szCs w:val="24"/>
          <w:lang w:eastAsia="es-CO"/>
        </w:rPr>
        <w:t>TRIBUNAL SUPERIOR DEL DISTRITO JUDICIAL</w:t>
      </w:r>
    </w:p>
    <w:p w14:paraId="2C4162EF" w14:textId="77777777" w:rsidR="00DA3EAC" w:rsidRPr="00DA3EAC" w:rsidRDefault="00DA3EAC" w:rsidP="00DA3EAC">
      <w:pPr>
        <w:spacing w:after="0"/>
        <w:jc w:val="center"/>
        <w:rPr>
          <w:rFonts w:ascii="Arial" w:eastAsia="Arial" w:hAnsi="Arial" w:cs="Arial"/>
          <w:b/>
          <w:sz w:val="24"/>
          <w:szCs w:val="24"/>
          <w:lang w:eastAsia="es-CO"/>
        </w:rPr>
      </w:pPr>
      <w:r w:rsidRPr="00DA3EAC">
        <w:rPr>
          <w:rFonts w:ascii="Arial" w:eastAsia="Arial" w:hAnsi="Arial" w:cs="Arial"/>
          <w:b/>
          <w:sz w:val="24"/>
          <w:szCs w:val="24"/>
          <w:lang w:eastAsia="es-CO"/>
        </w:rPr>
        <w:t>SALA LABORAL</w:t>
      </w:r>
    </w:p>
    <w:p w14:paraId="637D29B0" w14:textId="77777777" w:rsidR="00DA3EAC" w:rsidRPr="00DA3EAC" w:rsidRDefault="00DA3EAC" w:rsidP="00DA3EAC">
      <w:pPr>
        <w:spacing w:after="0"/>
        <w:jc w:val="center"/>
        <w:rPr>
          <w:rFonts w:ascii="Arial" w:eastAsia="Arial" w:hAnsi="Arial" w:cs="Arial"/>
          <w:b/>
          <w:sz w:val="24"/>
          <w:szCs w:val="24"/>
          <w:lang w:eastAsia="es-CO"/>
        </w:rPr>
      </w:pPr>
      <w:r w:rsidRPr="00DA3EAC">
        <w:rPr>
          <w:rFonts w:ascii="Arial" w:eastAsia="Arial" w:hAnsi="Arial" w:cs="Arial"/>
          <w:b/>
          <w:sz w:val="24"/>
          <w:szCs w:val="24"/>
          <w:lang w:eastAsia="es-CO"/>
        </w:rPr>
        <w:t xml:space="preserve">MAGISTRADO PONENTE: JULIO CÉSAR SALAZAR MUÑOZ </w:t>
      </w:r>
    </w:p>
    <w:p w14:paraId="53B52DFC" w14:textId="77777777" w:rsidR="00DA3EAC" w:rsidRPr="00DA3EAC" w:rsidRDefault="00DA3EAC" w:rsidP="00DA3EAC">
      <w:pPr>
        <w:spacing w:after="0"/>
        <w:rPr>
          <w:rFonts w:ascii="Arial" w:eastAsia="Arial" w:hAnsi="Arial" w:cs="Arial"/>
          <w:sz w:val="24"/>
          <w:szCs w:val="24"/>
          <w:lang w:eastAsia="es-CO"/>
        </w:rPr>
      </w:pPr>
    </w:p>
    <w:bookmarkEnd w:id="1"/>
    <w:p w14:paraId="2EEFFABA" w14:textId="710AAA6D" w:rsidR="00DD34A1" w:rsidRPr="00DA3EAC" w:rsidRDefault="00DA3EAC" w:rsidP="00DA3EAC">
      <w:pPr>
        <w:spacing w:after="0"/>
        <w:jc w:val="center"/>
        <w:textAlignment w:val="baseline"/>
        <w:rPr>
          <w:rFonts w:ascii="Arial" w:eastAsia="Times New Roman" w:hAnsi="Arial" w:cs="Arial"/>
          <w:sz w:val="24"/>
          <w:szCs w:val="24"/>
          <w:lang w:eastAsia="es-CO"/>
        </w:rPr>
      </w:pPr>
      <w:r w:rsidRPr="00DA3EAC">
        <w:rPr>
          <w:rFonts w:ascii="Arial" w:eastAsia="Times New Roman" w:hAnsi="Arial" w:cs="Arial"/>
          <w:bCs/>
          <w:sz w:val="24"/>
          <w:szCs w:val="24"/>
          <w:lang w:eastAsia="es-CO"/>
        </w:rPr>
        <w:t xml:space="preserve">Pereira, </w:t>
      </w:r>
      <w:r w:rsidRPr="00DA3EAC">
        <w:rPr>
          <w:rFonts w:ascii="Arial" w:eastAsia="Times New Roman" w:hAnsi="Arial" w:cs="Arial"/>
          <w:sz w:val="24"/>
          <w:szCs w:val="24"/>
          <w:lang w:eastAsia="es-CO"/>
        </w:rPr>
        <w:t>siete de junio de dos mil veintitrés</w:t>
      </w:r>
    </w:p>
    <w:p w14:paraId="47728E1B" w14:textId="77777777" w:rsidR="00DD34A1" w:rsidRPr="00DA3EAC" w:rsidRDefault="00DD34A1" w:rsidP="00DA3EAC">
      <w:pPr>
        <w:spacing w:after="0"/>
        <w:jc w:val="center"/>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Acta de Sala de Discusión No 89 de 5 de junio de 2023</w:t>
      </w:r>
    </w:p>
    <w:p w14:paraId="659BFA86" w14:textId="77777777" w:rsidR="00D61081" w:rsidRPr="00DA3EAC" w:rsidRDefault="00D61081" w:rsidP="00DA3EAC">
      <w:pPr>
        <w:pStyle w:val="paragraph"/>
        <w:spacing w:before="0" w:beforeAutospacing="0" w:after="0" w:afterAutospacing="0" w:line="276" w:lineRule="auto"/>
        <w:textAlignment w:val="baseline"/>
        <w:rPr>
          <w:rFonts w:ascii="Arial" w:hAnsi="Arial" w:cs="Arial"/>
        </w:rPr>
      </w:pPr>
      <w:r w:rsidRPr="00DA3EAC">
        <w:rPr>
          <w:rStyle w:val="eop"/>
          <w:rFonts w:ascii="Arial" w:hAnsi="Arial" w:cs="Arial"/>
        </w:rPr>
        <w:t> </w:t>
      </w:r>
    </w:p>
    <w:p w14:paraId="4F351753"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eop"/>
          <w:rFonts w:ascii="Arial" w:hAnsi="Arial" w:cs="Arial"/>
        </w:rPr>
        <w:t> </w:t>
      </w:r>
    </w:p>
    <w:p w14:paraId="42CC9CF9" w14:textId="159E30AA" w:rsidR="00D61081" w:rsidRPr="00DA3EAC" w:rsidRDefault="00D61081" w:rsidP="00DA3EAC">
      <w:pPr>
        <w:suppressAutoHyphens/>
        <w:spacing w:after="0"/>
        <w:jc w:val="both"/>
        <w:rPr>
          <w:rStyle w:val="normaltextrun"/>
          <w:rFonts w:ascii="Arial" w:hAnsi="Arial" w:cs="Arial"/>
          <w:sz w:val="24"/>
          <w:szCs w:val="24"/>
        </w:rPr>
      </w:pPr>
      <w:r w:rsidRPr="00DA3EAC">
        <w:rPr>
          <w:rStyle w:val="normaltextrun"/>
          <w:rFonts w:ascii="Arial" w:hAnsi="Arial" w:cs="Arial"/>
          <w:sz w:val="24"/>
          <w:szCs w:val="24"/>
        </w:rPr>
        <w:t xml:space="preserve">Se resuelve el recurso de apelación interpuesto por </w:t>
      </w:r>
      <w:r w:rsidRPr="00530B9C">
        <w:rPr>
          <w:rStyle w:val="normaltextrun"/>
          <w:rFonts w:ascii="Arial" w:hAnsi="Arial" w:cs="Arial"/>
          <w:sz w:val="24"/>
          <w:szCs w:val="24"/>
        </w:rPr>
        <w:t>la</w:t>
      </w:r>
      <w:r w:rsidRPr="00DA3EAC">
        <w:rPr>
          <w:rStyle w:val="normaltextrun"/>
          <w:rFonts w:ascii="Arial" w:hAnsi="Arial" w:cs="Arial"/>
          <w:b/>
          <w:sz w:val="24"/>
          <w:szCs w:val="24"/>
        </w:rPr>
        <w:t xml:space="preserve"> </w:t>
      </w:r>
      <w:r w:rsidR="00530B9C" w:rsidRPr="00DA3EAC">
        <w:rPr>
          <w:rStyle w:val="normaltextrun"/>
          <w:rFonts w:ascii="Arial" w:hAnsi="Arial" w:cs="Arial"/>
          <w:b/>
          <w:sz w:val="24"/>
          <w:szCs w:val="24"/>
        </w:rPr>
        <w:t>Unidad Administrativa Especial de Gestión Pensional y Contribuciones Parafiscales de la Protección Social</w:t>
      </w:r>
      <w:r w:rsidR="00530B9C" w:rsidRPr="00DA3EAC">
        <w:rPr>
          <w:rStyle w:val="normaltextrun"/>
          <w:rFonts w:ascii="Arial" w:hAnsi="Arial" w:cs="Arial"/>
          <w:sz w:val="24"/>
          <w:szCs w:val="24"/>
        </w:rPr>
        <w:t xml:space="preserve"> </w:t>
      </w:r>
      <w:r w:rsidRPr="00DA3EAC">
        <w:rPr>
          <w:rStyle w:val="normaltextrun"/>
          <w:rFonts w:ascii="Arial" w:hAnsi="Arial" w:cs="Arial"/>
          <w:sz w:val="24"/>
          <w:szCs w:val="24"/>
        </w:rPr>
        <w:t xml:space="preserve">en contra de la sentencia proferida por el Juzgado Quinto Laboral del Circuito el 23 de enero de 2023, así como el grado jurisdiccional de consulta dispuesto a favor de la UGPP, dentro del proceso </w:t>
      </w:r>
      <w:r w:rsidR="00333C5C">
        <w:rPr>
          <w:rStyle w:val="normaltextrun"/>
          <w:rFonts w:ascii="Arial" w:hAnsi="Arial" w:cs="Arial"/>
          <w:b/>
          <w:sz w:val="24"/>
          <w:szCs w:val="24"/>
        </w:rPr>
        <w:t xml:space="preserve">ordinario laboral </w:t>
      </w:r>
      <w:r w:rsidRPr="00DA3EAC">
        <w:rPr>
          <w:rStyle w:val="normaltextrun"/>
          <w:rFonts w:ascii="Arial" w:hAnsi="Arial" w:cs="Arial"/>
          <w:sz w:val="24"/>
          <w:szCs w:val="24"/>
        </w:rPr>
        <w:t xml:space="preserve">que le promueve la señora </w:t>
      </w:r>
      <w:r w:rsidR="00530B9C" w:rsidRPr="00DA3EAC">
        <w:rPr>
          <w:rStyle w:val="normaltextrun"/>
          <w:rFonts w:ascii="Arial" w:hAnsi="Arial" w:cs="Arial"/>
          <w:b/>
          <w:sz w:val="24"/>
          <w:szCs w:val="24"/>
        </w:rPr>
        <w:t>María Dolores Alzate de Herrera</w:t>
      </w:r>
      <w:r w:rsidRPr="00DA3EAC">
        <w:rPr>
          <w:rStyle w:val="normaltextrun"/>
          <w:rFonts w:ascii="Arial" w:hAnsi="Arial" w:cs="Arial"/>
          <w:sz w:val="24"/>
          <w:szCs w:val="24"/>
        </w:rPr>
        <w:t>, cuya radicación corresponde al N°</w:t>
      </w:r>
      <w:r w:rsidR="00530B9C">
        <w:rPr>
          <w:rStyle w:val="normaltextrun"/>
          <w:rFonts w:ascii="Arial" w:hAnsi="Arial" w:cs="Arial"/>
          <w:sz w:val="24"/>
          <w:szCs w:val="24"/>
        </w:rPr>
        <w:t xml:space="preserve"> </w:t>
      </w:r>
      <w:r w:rsidRPr="00DA3EAC">
        <w:rPr>
          <w:rStyle w:val="normaltextrun"/>
          <w:rFonts w:ascii="Arial" w:hAnsi="Arial" w:cs="Arial"/>
          <w:sz w:val="24"/>
          <w:szCs w:val="24"/>
        </w:rPr>
        <w:t>66001</w:t>
      </w:r>
      <w:r w:rsidR="00530B9C">
        <w:rPr>
          <w:rStyle w:val="normaltextrun"/>
          <w:rFonts w:ascii="Arial" w:hAnsi="Arial" w:cs="Arial"/>
          <w:sz w:val="24"/>
          <w:szCs w:val="24"/>
        </w:rPr>
        <w:t>-</w:t>
      </w:r>
      <w:r w:rsidRPr="00DA3EAC">
        <w:rPr>
          <w:rStyle w:val="normaltextrun"/>
          <w:rFonts w:ascii="Arial" w:hAnsi="Arial" w:cs="Arial"/>
          <w:sz w:val="24"/>
          <w:szCs w:val="24"/>
        </w:rPr>
        <w:t>31</w:t>
      </w:r>
      <w:r w:rsidR="00530B9C">
        <w:rPr>
          <w:rStyle w:val="normaltextrun"/>
          <w:rFonts w:ascii="Arial" w:hAnsi="Arial" w:cs="Arial"/>
          <w:sz w:val="24"/>
          <w:szCs w:val="24"/>
        </w:rPr>
        <w:t>-</w:t>
      </w:r>
      <w:r w:rsidRPr="00DA3EAC">
        <w:rPr>
          <w:rStyle w:val="normaltextrun"/>
          <w:rFonts w:ascii="Arial" w:hAnsi="Arial" w:cs="Arial"/>
          <w:sz w:val="24"/>
          <w:szCs w:val="24"/>
        </w:rPr>
        <w:t>05</w:t>
      </w:r>
      <w:r w:rsidR="00530B9C">
        <w:rPr>
          <w:rStyle w:val="normaltextrun"/>
          <w:rFonts w:ascii="Arial" w:hAnsi="Arial" w:cs="Arial"/>
          <w:sz w:val="24"/>
          <w:szCs w:val="24"/>
        </w:rPr>
        <w:t>-</w:t>
      </w:r>
      <w:r w:rsidRPr="00DA3EAC">
        <w:rPr>
          <w:rStyle w:val="normaltextrun"/>
          <w:rFonts w:ascii="Arial" w:hAnsi="Arial" w:cs="Arial"/>
          <w:sz w:val="24"/>
          <w:szCs w:val="24"/>
        </w:rPr>
        <w:t>005</w:t>
      </w:r>
      <w:r w:rsidR="00530B9C">
        <w:rPr>
          <w:rStyle w:val="normaltextrun"/>
          <w:rFonts w:ascii="Arial" w:hAnsi="Arial" w:cs="Arial"/>
          <w:sz w:val="24"/>
          <w:szCs w:val="24"/>
        </w:rPr>
        <w:t>-</w:t>
      </w:r>
      <w:r w:rsidRPr="00DA3EAC">
        <w:rPr>
          <w:rStyle w:val="normaltextrun"/>
          <w:rFonts w:ascii="Arial" w:hAnsi="Arial" w:cs="Arial"/>
          <w:sz w:val="24"/>
          <w:szCs w:val="24"/>
        </w:rPr>
        <w:t>2014</w:t>
      </w:r>
      <w:r w:rsidR="00530B9C">
        <w:rPr>
          <w:rStyle w:val="normaltextrun"/>
          <w:rFonts w:ascii="Arial" w:hAnsi="Arial" w:cs="Arial"/>
          <w:sz w:val="24"/>
          <w:szCs w:val="24"/>
        </w:rPr>
        <w:t>-</w:t>
      </w:r>
      <w:r w:rsidRPr="00DA3EAC">
        <w:rPr>
          <w:rStyle w:val="normaltextrun"/>
          <w:rFonts w:ascii="Arial" w:hAnsi="Arial" w:cs="Arial"/>
          <w:sz w:val="24"/>
          <w:szCs w:val="24"/>
        </w:rPr>
        <w:t>00148</w:t>
      </w:r>
      <w:r w:rsidR="00530B9C">
        <w:rPr>
          <w:rStyle w:val="normaltextrun"/>
          <w:rFonts w:ascii="Arial" w:hAnsi="Arial" w:cs="Arial"/>
          <w:sz w:val="24"/>
          <w:szCs w:val="24"/>
        </w:rPr>
        <w:t>-</w:t>
      </w:r>
      <w:r w:rsidRPr="00DA3EAC">
        <w:rPr>
          <w:rStyle w:val="normaltextrun"/>
          <w:rFonts w:ascii="Arial" w:hAnsi="Arial" w:cs="Arial"/>
          <w:sz w:val="24"/>
          <w:szCs w:val="24"/>
        </w:rPr>
        <w:t>01.</w:t>
      </w:r>
    </w:p>
    <w:p w14:paraId="3EAEE3C9" w14:textId="77777777" w:rsidR="00D61081" w:rsidRPr="00DA3EAC" w:rsidRDefault="00D61081" w:rsidP="00DA3EAC">
      <w:pPr>
        <w:suppressAutoHyphens/>
        <w:spacing w:after="0"/>
        <w:jc w:val="both"/>
        <w:rPr>
          <w:rStyle w:val="normaltextrun"/>
          <w:rFonts w:ascii="Arial" w:hAnsi="Arial" w:cs="Arial"/>
          <w:sz w:val="24"/>
          <w:szCs w:val="24"/>
        </w:rPr>
      </w:pPr>
    </w:p>
    <w:p w14:paraId="56655C00" w14:textId="77777777" w:rsidR="00D61081" w:rsidRPr="00DA3EAC" w:rsidRDefault="00D61081" w:rsidP="00DA3EAC">
      <w:pPr>
        <w:suppressAutoHyphens/>
        <w:spacing w:after="0"/>
        <w:jc w:val="center"/>
        <w:rPr>
          <w:rStyle w:val="normaltextrun"/>
          <w:rFonts w:ascii="Arial" w:hAnsi="Arial" w:cs="Arial"/>
          <w:b/>
          <w:bCs/>
          <w:sz w:val="24"/>
          <w:szCs w:val="24"/>
        </w:rPr>
      </w:pPr>
      <w:r w:rsidRPr="00DA3EAC">
        <w:rPr>
          <w:rStyle w:val="normaltextrun"/>
          <w:rFonts w:ascii="Arial" w:hAnsi="Arial" w:cs="Arial"/>
          <w:b/>
          <w:bCs/>
          <w:sz w:val="24"/>
          <w:szCs w:val="24"/>
        </w:rPr>
        <w:t>ANTECEDENTES</w:t>
      </w:r>
    </w:p>
    <w:p w14:paraId="09875EDE" w14:textId="77777777" w:rsidR="00D61081" w:rsidRPr="00DA3EAC" w:rsidRDefault="00D61081" w:rsidP="00DA3EAC">
      <w:pPr>
        <w:keepNext/>
        <w:spacing w:after="0"/>
        <w:outlineLvl w:val="1"/>
        <w:rPr>
          <w:rFonts w:ascii="Arial" w:eastAsia="Times New Roman" w:hAnsi="Arial" w:cs="Arial"/>
          <w:b/>
          <w:bCs/>
          <w:iCs/>
          <w:sz w:val="24"/>
          <w:szCs w:val="24"/>
          <w:lang w:eastAsia="es-ES"/>
        </w:rPr>
      </w:pPr>
    </w:p>
    <w:p w14:paraId="571362F1" w14:textId="679D757E"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Pretende la señora María Dolores </w:t>
      </w:r>
      <w:r w:rsidR="00DD34A1" w:rsidRPr="00DA3EAC">
        <w:rPr>
          <w:rStyle w:val="normaltextrun"/>
          <w:rFonts w:ascii="Arial" w:eastAsia="Calibri" w:hAnsi="Arial" w:cs="Arial"/>
        </w:rPr>
        <w:t>Álzate</w:t>
      </w:r>
      <w:r w:rsidRPr="00DA3EAC">
        <w:rPr>
          <w:rStyle w:val="normaltextrun"/>
          <w:rFonts w:ascii="Arial" w:eastAsia="Calibri" w:hAnsi="Arial" w:cs="Arial"/>
        </w:rPr>
        <w:t xml:space="preserve"> de Herrera que la justicia laboral condene a la entidad accionada a reajustar la pensión de jubilación convencional reconocida a través de la resolución N°</w:t>
      </w:r>
      <w:r w:rsidR="006D68E1">
        <w:rPr>
          <w:rStyle w:val="normaltextrun"/>
          <w:rFonts w:ascii="Arial" w:eastAsia="Calibri" w:hAnsi="Arial" w:cs="Arial"/>
        </w:rPr>
        <w:t xml:space="preserve"> </w:t>
      </w:r>
      <w:r w:rsidRPr="00DA3EAC">
        <w:rPr>
          <w:rStyle w:val="normaltextrun"/>
          <w:rFonts w:ascii="Arial" w:eastAsia="Calibri" w:hAnsi="Arial" w:cs="Arial"/>
        </w:rPr>
        <w:t>154</w:t>
      </w:r>
      <w:r w:rsidR="0052252D">
        <w:rPr>
          <w:rStyle w:val="normaltextrun"/>
          <w:rFonts w:ascii="Arial" w:eastAsia="Calibri" w:hAnsi="Arial" w:cs="Arial"/>
        </w:rPr>
        <w:t>6</w:t>
      </w:r>
      <w:r w:rsidRPr="00DA3EAC">
        <w:rPr>
          <w:rStyle w:val="normaltextrun"/>
          <w:rFonts w:ascii="Arial" w:eastAsia="Calibri" w:hAnsi="Arial" w:cs="Arial"/>
        </w:rPr>
        <w:t xml:space="preserve"> de 9 de noviembre de 2006 con base en el 100% del ingreso base de liquidación equivalente al promedio de los salarios devengados en los últimos dos años de servicios, la indexación de las sumas reconocidas, además de las costas procesales a su favor.</w:t>
      </w:r>
    </w:p>
    <w:p w14:paraId="5971A6F1" w14:textId="77777777"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3E9ABC02" w14:textId="510DC631"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Refiere que</w:t>
      </w:r>
      <w:r w:rsidR="00E61DB6">
        <w:rPr>
          <w:rStyle w:val="normaltextrun"/>
          <w:rFonts w:ascii="Arial" w:eastAsia="Calibri" w:hAnsi="Arial" w:cs="Arial"/>
        </w:rPr>
        <w:t xml:space="preserve"> p</w:t>
      </w:r>
      <w:r w:rsidR="00DE3136" w:rsidRPr="00DA3EAC">
        <w:rPr>
          <w:rStyle w:val="normaltextrun"/>
          <w:rFonts w:ascii="Arial" w:eastAsia="Calibri" w:hAnsi="Arial" w:cs="Arial"/>
        </w:rPr>
        <w:t xml:space="preserve">or medio de la resolución </w:t>
      </w:r>
      <w:r w:rsidR="00724530" w:rsidRPr="00DA3EAC">
        <w:rPr>
          <w:rStyle w:val="normaltextrun"/>
          <w:rFonts w:ascii="Arial" w:eastAsia="Calibri" w:hAnsi="Arial" w:cs="Arial"/>
        </w:rPr>
        <w:t>1546 de 9 de noviembre de 2006</w:t>
      </w:r>
      <w:r w:rsidR="00246E8C" w:rsidRPr="00DA3EAC">
        <w:rPr>
          <w:rStyle w:val="normaltextrun"/>
          <w:rFonts w:ascii="Arial" w:eastAsia="Calibri" w:hAnsi="Arial" w:cs="Arial"/>
        </w:rPr>
        <w:t xml:space="preserve"> se le reconoció la pensión de jubilación convencional a partir del 7 de noviembre de 2006</w:t>
      </w:r>
      <w:r w:rsidR="00364769" w:rsidRPr="00DA3EAC">
        <w:rPr>
          <w:rStyle w:val="normaltextrun"/>
          <w:rFonts w:ascii="Arial" w:eastAsia="Calibri" w:hAnsi="Arial" w:cs="Arial"/>
        </w:rPr>
        <w:t xml:space="preserve">, al cumplir con los requisitos exigidos en la convención colectiva de trabajo suscrita </w:t>
      </w:r>
      <w:r w:rsidR="00246E8C" w:rsidRPr="00DA3EAC">
        <w:rPr>
          <w:rStyle w:val="normaltextrun"/>
          <w:rFonts w:ascii="Arial" w:eastAsia="Calibri" w:hAnsi="Arial" w:cs="Arial"/>
        </w:rPr>
        <w:t xml:space="preserve">entre el Instituto de Seguros Sociales </w:t>
      </w:r>
      <w:r w:rsidR="002617D7" w:rsidRPr="00DA3EAC">
        <w:rPr>
          <w:rStyle w:val="normaltextrun"/>
          <w:rFonts w:ascii="Arial" w:eastAsia="Calibri" w:hAnsi="Arial" w:cs="Arial"/>
        </w:rPr>
        <w:t>y</w:t>
      </w:r>
      <w:r w:rsidR="00364769" w:rsidRPr="00DA3EAC">
        <w:rPr>
          <w:rStyle w:val="normaltextrun"/>
          <w:rFonts w:ascii="Arial" w:eastAsia="Calibri" w:hAnsi="Arial" w:cs="Arial"/>
        </w:rPr>
        <w:t xml:space="preserve"> el Sindicato Nacional de Trabajadores de la Seguridad Social “</w:t>
      </w:r>
      <w:r w:rsidR="00364769" w:rsidRPr="00DA3EAC">
        <w:rPr>
          <w:rStyle w:val="normaltextrun"/>
          <w:rFonts w:ascii="Arial" w:eastAsia="Calibri" w:hAnsi="Arial" w:cs="Arial"/>
          <w:i/>
        </w:rPr>
        <w:t>S</w:t>
      </w:r>
      <w:r w:rsidR="002617D7" w:rsidRPr="00DA3EAC">
        <w:rPr>
          <w:rStyle w:val="normaltextrun"/>
          <w:rFonts w:ascii="Arial" w:eastAsia="Calibri" w:hAnsi="Arial" w:cs="Arial"/>
          <w:i/>
        </w:rPr>
        <w:t>INTRASEGURIDADSOCIA</w:t>
      </w:r>
      <w:r w:rsidR="002617D7" w:rsidRPr="00DA3EAC">
        <w:rPr>
          <w:rStyle w:val="normaltextrun"/>
          <w:rFonts w:ascii="Arial" w:eastAsia="Calibri" w:hAnsi="Arial" w:cs="Arial"/>
        </w:rPr>
        <w:t>L</w:t>
      </w:r>
      <w:r w:rsidR="00364769" w:rsidRPr="00DA3EAC">
        <w:rPr>
          <w:rStyle w:val="normaltextrun"/>
          <w:rFonts w:ascii="Arial" w:eastAsia="Calibri" w:hAnsi="Arial" w:cs="Arial"/>
        </w:rPr>
        <w:t xml:space="preserve">”; la mesada pensional reconocida fue equivalente a la suma de $1.150.803, producto de aplicarle el 75% del ingreso base de liquidación del promedio de los salarios devengados en el último año de servicios, liquidación que no se adecuó a lo preceptuado en la convención colectiva de trabajo de la cual era beneficiaria; en varias oportunidades elevó solicitud de reajuste de la prestación económica, pero todas fueron resueltas negativamente, quedando agotada la reclamación administrativa.  </w:t>
      </w:r>
    </w:p>
    <w:p w14:paraId="348D3DD5" w14:textId="77777777"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2AB09F11" w14:textId="36C58FC3" w:rsidR="00534D7C" w:rsidRPr="00DA3EAC" w:rsidRDefault="00534D7C"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Luego de admitirse la demanda en auto de 11 de julio de 2014, aclarado y corregido en autos de 22 de septiembre de 2014 y 8 de octubre de 2014 -archivos 06, 13 y 16 carpeta primera instancia-, </w:t>
      </w:r>
      <w:r w:rsidR="00D72615" w:rsidRPr="00DA3EAC">
        <w:rPr>
          <w:rStyle w:val="normaltextrun"/>
          <w:rFonts w:ascii="Arial" w:eastAsia="Calibri" w:hAnsi="Arial" w:cs="Arial"/>
        </w:rPr>
        <w:t xml:space="preserve">la UGPP procedió a dar respuesta a la acción -archivo 48 carpeta primera instancia- se opuso a las pretensiones elevadas por la actora argumentando que el otrora Instituto de Seguros Sociales -empleador- hoy Unidad Administrativa Especial de Gestión Pensional y Contribuciones Parafiscales de la Protección Social negó correctamente la reliquidación de la pensión de jubilación convencional que disfruta la señora María Dolores </w:t>
      </w:r>
      <w:r w:rsidR="00DD34A1" w:rsidRPr="00DA3EAC">
        <w:rPr>
          <w:rStyle w:val="normaltextrun"/>
          <w:rFonts w:ascii="Arial" w:eastAsia="Calibri" w:hAnsi="Arial" w:cs="Arial"/>
        </w:rPr>
        <w:t>Álzate</w:t>
      </w:r>
      <w:r w:rsidR="00D72615" w:rsidRPr="00DA3EAC">
        <w:rPr>
          <w:rStyle w:val="normaltextrun"/>
          <w:rFonts w:ascii="Arial" w:eastAsia="Calibri" w:hAnsi="Arial" w:cs="Arial"/>
        </w:rPr>
        <w:t xml:space="preserve"> de Herrera</w:t>
      </w:r>
      <w:r w:rsidR="0073768A" w:rsidRPr="00DA3EAC">
        <w:rPr>
          <w:rStyle w:val="normaltextrun"/>
          <w:rFonts w:ascii="Arial" w:eastAsia="Calibri" w:hAnsi="Arial" w:cs="Arial"/>
        </w:rPr>
        <w:t>, en consideración a que la prestación económica de origen convencional se reconoció correctamente en la resolución N°</w:t>
      </w:r>
      <w:r w:rsidR="00267A0F" w:rsidRPr="00DA3EAC">
        <w:rPr>
          <w:rStyle w:val="normaltextrun"/>
          <w:rFonts w:ascii="Arial" w:eastAsia="Calibri" w:hAnsi="Arial" w:cs="Arial"/>
        </w:rPr>
        <w:t>1546 de 9 de noviembre de 2006</w:t>
      </w:r>
      <w:r w:rsidR="00D72615" w:rsidRPr="00DA3EAC">
        <w:rPr>
          <w:rStyle w:val="normaltextrun"/>
          <w:rFonts w:ascii="Arial" w:eastAsia="Calibri" w:hAnsi="Arial" w:cs="Arial"/>
        </w:rPr>
        <w:t>. Formuló las excepciones de mérito que denominó “</w:t>
      </w:r>
      <w:r w:rsidR="00D72615" w:rsidRPr="00DA3EAC">
        <w:rPr>
          <w:rStyle w:val="normaltextrun"/>
          <w:rFonts w:ascii="Arial" w:eastAsia="Calibri" w:hAnsi="Arial" w:cs="Arial"/>
          <w:i/>
        </w:rPr>
        <w:t>Inexistencia de la obligación y cobro de lo no debido”, “Buena fe”, “Prescripción</w:t>
      </w:r>
      <w:r w:rsidR="00D72615" w:rsidRPr="00DA3EAC">
        <w:rPr>
          <w:rStyle w:val="normaltextrun"/>
          <w:rFonts w:ascii="Arial" w:eastAsia="Calibri" w:hAnsi="Arial" w:cs="Arial"/>
        </w:rPr>
        <w:t>”, “</w:t>
      </w:r>
      <w:r w:rsidR="00D72615" w:rsidRPr="00DA3EAC">
        <w:rPr>
          <w:rStyle w:val="normaltextrun"/>
          <w:rFonts w:ascii="Arial" w:eastAsia="Calibri" w:hAnsi="Arial" w:cs="Arial"/>
          <w:i/>
        </w:rPr>
        <w:t>La genérica</w:t>
      </w:r>
      <w:r w:rsidR="00D72615" w:rsidRPr="00DA3EAC">
        <w:rPr>
          <w:rStyle w:val="normaltextrun"/>
          <w:rFonts w:ascii="Arial" w:eastAsia="Calibri" w:hAnsi="Arial" w:cs="Arial"/>
        </w:rPr>
        <w:t>”.</w:t>
      </w:r>
    </w:p>
    <w:p w14:paraId="14C56F1F" w14:textId="77777777" w:rsidR="00F33277" w:rsidRPr="00DA3EAC" w:rsidRDefault="00F33277"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69182554" w14:textId="32139262" w:rsidR="00F33277" w:rsidRPr="00DA3EAC" w:rsidRDefault="00F33277"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En sentencia de 23 de enero de 2023, la funcionaria de primera instancia, luego de recordar que no se encontraba en discusión que el otrora Instituto de Seguros Sociales -empleador- hoy Unidad Administrativa Especial de Gestión Pensional y Contribuciones Parafiscales de la Protección Social le reconoció la pensión de jubilación convencional a la señora María Dolores </w:t>
      </w:r>
      <w:r w:rsidR="00DD34A1" w:rsidRPr="00DA3EAC">
        <w:rPr>
          <w:rStyle w:val="normaltextrun"/>
          <w:rFonts w:ascii="Arial" w:eastAsia="Calibri" w:hAnsi="Arial" w:cs="Arial"/>
        </w:rPr>
        <w:t>Álzate</w:t>
      </w:r>
      <w:r w:rsidRPr="00DA3EAC">
        <w:rPr>
          <w:rStyle w:val="normaltextrun"/>
          <w:rFonts w:ascii="Arial" w:eastAsia="Calibri" w:hAnsi="Arial" w:cs="Arial"/>
        </w:rPr>
        <w:t xml:space="preserve"> de Herrera por medio de la resolución N°</w:t>
      </w:r>
      <w:r w:rsidR="0052252D">
        <w:rPr>
          <w:rStyle w:val="normaltextrun"/>
          <w:rFonts w:ascii="Arial" w:eastAsia="Calibri" w:hAnsi="Arial" w:cs="Arial"/>
        </w:rPr>
        <w:t xml:space="preserve"> </w:t>
      </w:r>
      <w:r w:rsidRPr="00DA3EAC">
        <w:rPr>
          <w:rStyle w:val="normaltextrun"/>
          <w:rFonts w:ascii="Arial" w:eastAsia="Calibri" w:hAnsi="Arial" w:cs="Arial"/>
        </w:rPr>
        <w:t>154</w:t>
      </w:r>
      <w:r w:rsidR="002617D7" w:rsidRPr="00DA3EAC">
        <w:rPr>
          <w:rStyle w:val="normaltextrun"/>
          <w:rFonts w:ascii="Arial" w:eastAsia="Calibri" w:hAnsi="Arial" w:cs="Arial"/>
        </w:rPr>
        <w:t>6</w:t>
      </w:r>
      <w:r w:rsidRPr="00DA3EAC">
        <w:rPr>
          <w:rStyle w:val="normaltextrun"/>
          <w:rFonts w:ascii="Arial" w:eastAsia="Calibri" w:hAnsi="Arial" w:cs="Arial"/>
        </w:rPr>
        <w:t xml:space="preserve"> de 9 de noviembre de 2006, concluyó, después de valorar las pruebas allegadas al plenario, que la señora María Dolores </w:t>
      </w:r>
      <w:r w:rsidR="00DD34A1" w:rsidRPr="00DA3EAC">
        <w:rPr>
          <w:rStyle w:val="normaltextrun"/>
          <w:rFonts w:ascii="Arial" w:eastAsia="Calibri" w:hAnsi="Arial" w:cs="Arial"/>
        </w:rPr>
        <w:t>Álzate</w:t>
      </w:r>
      <w:r w:rsidRPr="00DA3EAC">
        <w:rPr>
          <w:rStyle w:val="normaltextrun"/>
          <w:rFonts w:ascii="Arial" w:eastAsia="Calibri" w:hAnsi="Arial" w:cs="Arial"/>
        </w:rPr>
        <w:t xml:space="preserve"> de Herrera en su calidad de trabajadora oficial del Instituto de Seguros Sociales -empleador-, cumple con las exigencias previstas en el artículo 98 de la convención colectiva de trabajo vigente para el año 2006</w:t>
      </w:r>
      <w:r w:rsidR="00556116" w:rsidRPr="00DA3EAC">
        <w:rPr>
          <w:rStyle w:val="normaltextrun"/>
          <w:rFonts w:ascii="Arial" w:eastAsia="Calibri" w:hAnsi="Arial" w:cs="Arial"/>
        </w:rPr>
        <w:t>, razón por la que no era dable aplicar a su caso el artículo 101 de ese compendio normativo como erradamente lo hizo el ISS -empleador-; motivo por el que declaró que la accionante tiene derecho a que se reajuste la pensión de jubilación convencional, calculando el ingreso base de liquidación con el promedio de los salarios devengados en los dos últimos años de servicios y aplicándole la tasa de reemplazo del 100%.</w:t>
      </w:r>
    </w:p>
    <w:p w14:paraId="79CB22EB" w14:textId="77777777"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1AB90288" w14:textId="3D00A1A3"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lastRenderedPageBreak/>
        <w:t xml:space="preserve">A continuación, luego de realizar los cálculos correspondientes, determinó que el promedio de los salarios devengados en los dos últimos años de servicios de la demandante equivale a la suma mensual de $1.602.304 y como la tasa de reemplazo a la que tiene derecho la actora es del 100%, condenó a la entidad accionada a reajustar la pensión de jubilación convencional a partir del 7 de noviembre de 2006 en la suma referida con anterioridad. </w:t>
      </w:r>
    </w:p>
    <w:p w14:paraId="7B6AFFA9" w14:textId="77777777"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4D28CE9B" w14:textId="228289FE"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Antes de liquidar la diferencia pensional a la que tiene derecho la demandante, determinó que como la reclamación administrativa se realizó en el año 2006 y la demanda se interpuso el 2 de julio de 2014, esto es, más de tres años después de resuelta negativamente la reclamación administrativa, las obligaciones pensionales generadas con antelación al 2 de julio de 2011 se encuentran prescritas.</w:t>
      </w:r>
    </w:p>
    <w:p w14:paraId="38B84B2D" w14:textId="77777777"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64787944" w14:textId="6B0588CF"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Así las cosas, condenó a la UGPP a reconocer y pagar a favor de la señora María Dolores </w:t>
      </w:r>
      <w:r w:rsidR="00DD34A1" w:rsidRPr="00DA3EAC">
        <w:rPr>
          <w:rStyle w:val="normaltextrun"/>
          <w:rFonts w:ascii="Arial" w:eastAsia="Calibri" w:hAnsi="Arial" w:cs="Arial"/>
        </w:rPr>
        <w:t>Álzate</w:t>
      </w:r>
      <w:r w:rsidRPr="00DA3EAC">
        <w:rPr>
          <w:rStyle w:val="normaltextrun"/>
          <w:rFonts w:ascii="Arial" w:eastAsia="Calibri" w:hAnsi="Arial" w:cs="Arial"/>
        </w:rPr>
        <w:t xml:space="preserve"> de Herrera la suma de $115.740.526 por concepto de diferencia pensional generada entre el 2 de julio de 2011 y el 31 de diciembre de 2022.</w:t>
      </w:r>
    </w:p>
    <w:p w14:paraId="46B11676" w14:textId="77777777"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28977E52" w14:textId="522960D8" w:rsidR="00556116" w:rsidRPr="00DA3EAC" w:rsidRDefault="00556116"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Al haber prosperado parcialmente la excepción de prescripción propuesta por la entidad </w:t>
      </w:r>
      <w:r w:rsidR="00F61EF6" w:rsidRPr="00DA3EAC">
        <w:rPr>
          <w:rStyle w:val="normaltextrun"/>
          <w:rFonts w:ascii="Arial" w:eastAsia="Calibri" w:hAnsi="Arial" w:cs="Arial"/>
        </w:rPr>
        <w:t>accionada</w:t>
      </w:r>
      <w:r w:rsidRPr="00DA3EAC">
        <w:rPr>
          <w:rStyle w:val="normaltextrun"/>
          <w:rFonts w:ascii="Arial" w:eastAsia="Calibri" w:hAnsi="Arial" w:cs="Arial"/>
        </w:rPr>
        <w:t xml:space="preserve"> </w:t>
      </w:r>
      <w:r w:rsidR="00D54339" w:rsidRPr="00DA3EAC">
        <w:rPr>
          <w:rStyle w:val="normaltextrun"/>
          <w:rFonts w:ascii="Arial" w:eastAsia="Calibri" w:hAnsi="Arial" w:cs="Arial"/>
        </w:rPr>
        <w:t>condenó a la UGPP en costas procesales en un 70%, en favor de la demandante.</w:t>
      </w:r>
    </w:p>
    <w:p w14:paraId="5B8482B3" w14:textId="77777777" w:rsidR="00D72615" w:rsidRPr="00DA3EAC" w:rsidRDefault="00D72615"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0C0C22D4" w14:textId="15B907CC" w:rsidR="00D72615" w:rsidRPr="00DA3EAC" w:rsidRDefault="00F33277"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Inconforme con la decisión, la apoderada judicial de la UGPP interpuso recurso de apelación, argumentando que el otrora Instituto de Seguros Sociales -empleador- hoy Unidad Administrativa Especial de Gestión Pensional y Contribuciones Parafiscales de la Protección Social concedió correctamente la pensión de jubilación convencional a la señora María Dolores </w:t>
      </w:r>
      <w:r w:rsidR="00DD34A1" w:rsidRPr="00DA3EAC">
        <w:rPr>
          <w:rStyle w:val="normaltextrun"/>
          <w:rFonts w:ascii="Arial" w:eastAsia="Calibri" w:hAnsi="Arial" w:cs="Arial"/>
        </w:rPr>
        <w:t>Álzate</w:t>
      </w:r>
      <w:r w:rsidRPr="00DA3EAC">
        <w:rPr>
          <w:rStyle w:val="normaltextrun"/>
          <w:rFonts w:ascii="Arial" w:eastAsia="Calibri" w:hAnsi="Arial" w:cs="Arial"/>
        </w:rPr>
        <w:t xml:space="preserve"> de Herrera por medio de la resolución N°</w:t>
      </w:r>
      <w:r w:rsidR="0052252D">
        <w:rPr>
          <w:rStyle w:val="normaltextrun"/>
          <w:rFonts w:ascii="Arial" w:eastAsia="Calibri" w:hAnsi="Arial" w:cs="Arial"/>
        </w:rPr>
        <w:t xml:space="preserve"> </w:t>
      </w:r>
      <w:r w:rsidRPr="00DA3EAC">
        <w:rPr>
          <w:rStyle w:val="normaltextrun"/>
          <w:rFonts w:ascii="Arial" w:eastAsia="Calibri" w:hAnsi="Arial" w:cs="Arial"/>
        </w:rPr>
        <w:t>154</w:t>
      </w:r>
      <w:r w:rsidR="0052252D">
        <w:rPr>
          <w:rStyle w:val="normaltextrun"/>
          <w:rFonts w:ascii="Arial" w:eastAsia="Calibri" w:hAnsi="Arial" w:cs="Arial"/>
        </w:rPr>
        <w:t>6</w:t>
      </w:r>
      <w:r w:rsidRPr="00DA3EAC">
        <w:rPr>
          <w:rStyle w:val="normaltextrun"/>
          <w:rFonts w:ascii="Arial" w:eastAsia="Calibri" w:hAnsi="Arial" w:cs="Arial"/>
        </w:rPr>
        <w:t xml:space="preserve"> de 9 de noviembre de 2006, con base en lo dispuesto en el artículo 101 de la convención colectiva de trabajo, debido a que la actora prestó sus servicios en dos entidades diferentes de la seguridad social, razón por la que no le es aplicable el artículo 98 de ese cuerpo normativo, como equivocadamente lo definió la falladora de primera instancia; razones por las que solicita que se revoque en su integridad la sentencia recurrida y en su lugar se nieguen las pretensiones de la demanda.</w:t>
      </w:r>
    </w:p>
    <w:p w14:paraId="4363F4CB" w14:textId="77777777"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6CB2EB88" w14:textId="4ACA452B"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Al haber resultado la decisión desfavorable a los intereses de la </w:t>
      </w:r>
      <w:r w:rsidR="00D54339" w:rsidRPr="00DA3EAC">
        <w:rPr>
          <w:rStyle w:val="normaltextrun"/>
          <w:rFonts w:ascii="Arial" w:eastAsia="Calibri" w:hAnsi="Arial" w:cs="Arial"/>
        </w:rPr>
        <w:t>UGPP</w:t>
      </w:r>
      <w:r w:rsidRPr="00DA3EAC">
        <w:rPr>
          <w:rStyle w:val="normaltextrun"/>
          <w:rFonts w:ascii="Arial" w:eastAsia="Calibri" w:hAnsi="Arial" w:cs="Arial"/>
        </w:rPr>
        <w:t>, se dispuso también el grado jurisdiccional de consulta a su favor.</w:t>
      </w:r>
    </w:p>
    <w:p w14:paraId="2702ADCE" w14:textId="77777777" w:rsidR="00D61081" w:rsidRPr="00DA3EAC" w:rsidRDefault="00D61081" w:rsidP="00DA3EAC">
      <w:pPr>
        <w:pStyle w:val="paragraph"/>
        <w:spacing w:before="0" w:beforeAutospacing="0" w:after="0" w:afterAutospacing="0" w:line="276" w:lineRule="auto"/>
        <w:jc w:val="both"/>
        <w:textAlignment w:val="baseline"/>
        <w:rPr>
          <w:rFonts w:ascii="Arial" w:eastAsia="Calibri" w:hAnsi="Arial" w:cs="Arial"/>
        </w:rPr>
      </w:pPr>
    </w:p>
    <w:p w14:paraId="2CD272CE"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b/>
          <w:bCs/>
        </w:rPr>
        <w:t>ALEGATOS DE CONCLUSIÓN</w:t>
      </w:r>
      <w:r w:rsidRPr="00DA3EAC">
        <w:rPr>
          <w:rStyle w:val="normaltextrun"/>
          <w:rFonts w:ascii="Arial" w:eastAsia="Calibri" w:hAnsi="Arial" w:cs="Arial"/>
        </w:rPr>
        <w:t>  </w:t>
      </w:r>
      <w:r w:rsidRPr="00DA3EAC">
        <w:rPr>
          <w:rStyle w:val="eop"/>
          <w:rFonts w:ascii="Arial" w:hAnsi="Arial" w:cs="Arial"/>
        </w:rPr>
        <w:t> </w:t>
      </w:r>
    </w:p>
    <w:p w14:paraId="208B20CE"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14763BC1" w14:textId="664D962B"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xml:space="preserve">Conforme se dejó plasmado en la constancia emitida por la Secretaría de la Corporación, </w:t>
      </w:r>
      <w:r w:rsidR="5B3C4FAA" w:rsidRPr="00DA3EAC">
        <w:rPr>
          <w:rStyle w:val="normaltextrun"/>
          <w:rFonts w:ascii="Arial" w:eastAsia="Calibri" w:hAnsi="Arial" w:cs="Arial"/>
        </w:rPr>
        <w:t>únicamente</w:t>
      </w:r>
      <w:r w:rsidR="71007F2D" w:rsidRPr="00DA3EAC">
        <w:rPr>
          <w:rStyle w:val="normaltextrun"/>
          <w:rFonts w:ascii="Arial" w:eastAsia="Calibri" w:hAnsi="Arial" w:cs="Arial"/>
        </w:rPr>
        <w:t xml:space="preserve"> la UGPP hizo uso del derecho a remitir en término los alegatos de conclusión.</w:t>
      </w:r>
    </w:p>
    <w:p w14:paraId="16DF2871"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0A1F3BEA" w14:textId="60DE8994"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En cuanto al contenido de los alegatos de conclusión remitidos por la entidad recurrente, teniendo en cuenta que el artículo 279 del CGP dispone que </w:t>
      </w:r>
      <w:r w:rsidRPr="00DA3EAC">
        <w:rPr>
          <w:rStyle w:val="normaltextrun"/>
          <w:rFonts w:ascii="Arial" w:eastAsia="Calibri" w:hAnsi="Arial" w:cs="Arial"/>
          <w:i/>
          <w:iCs/>
        </w:rPr>
        <w:t>“</w:t>
      </w:r>
      <w:r w:rsidR="00333C5C" w:rsidRPr="00333C5C">
        <w:rPr>
          <w:rStyle w:val="normaltextrun"/>
          <w:rFonts w:ascii="Arial" w:eastAsia="Calibri" w:hAnsi="Arial" w:cs="Arial"/>
          <w:i/>
          <w:iCs/>
          <w:sz w:val="22"/>
        </w:rPr>
        <w:t>n</w:t>
      </w:r>
      <w:r w:rsidRPr="00333C5C">
        <w:rPr>
          <w:rStyle w:val="normaltextrun"/>
          <w:rFonts w:ascii="Arial" w:eastAsia="Calibri" w:hAnsi="Arial" w:cs="Arial"/>
          <w:i/>
          <w:iCs/>
          <w:sz w:val="22"/>
        </w:rPr>
        <w:t>o se podrá hacer transcripciones o reproducciones de actas, decisiones o conceptos que obren en el expediente</w:t>
      </w:r>
      <w:r w:rsidRPr="00DA3EAC">
        <w:rPr>
          <w:rStyle w:val="normaltextrun"/>
          <w:rFonts w:ascii="Arial" w:eastAsia="Calibri" w:hAnsi="Arial" w:cs="Arial"/>
          <w:i/>
          <w:iCs/>
        </w:rPr>
        <w:t>”, </w:t>
      </w:r>
      <w:r w:rsidRPr="00DA3EAC">
        <w:rPr>
          <w:rStyle w:val="normaltextrun"/>
          <w:rFonts w:ascii="Arial" w:eastAsia="Calibri" w:hAnsi="Arial" w:cs="Arial"/>
        </w:rPr>
        <w:t>baste decir, que los argumentos allí esgrimidos coinciden con los expuestos en la sustentación del recurso de apelación</w:t>
      </w:r>
      <w:r w:rsidR="1010DD56" w:rsidRPr="00DA3EAC">
        <w:rPr>
          <w:rStyle w:val="normaltextrun"/>
          <w:rFonts w:ascii="Arial" w:eastAsia="Calibri" w:hAnsi="Arial" w:cs="Arial"/>
        </w:rPr>
        <w:t>.</w:t>
      </w:r>
    </w:p>
    <w:p w14:paraId="6B4A30B5"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183B9282"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lastRenderedPageBreak/>
        <w:t>Atendidas las argumentaciones a esta Sala de Decisión le corresponde resolver los siguientes:</w:t>
      </w:r>
      <w:r w:rsidRPr="00DA3EAC">
        <w:rPr>
          <w:rStyle w:val="normaltextrun"/>
          <w:rFonts w:ascii="Arial" w:eastAsia="Calibri" w:hAnsi="Arial" w:cs="Arial"/>
          <w:b/>
          <w:bCs/>
        </w:rPr>
        <w:t> </w:t>
      </w:r>
      <w:r w:rsidRPr="00DA3EAC">
        <w:rPr>
          <w:rStyle w:val="normaltextrun"/>
          <w:rFonts w:ascii="Arial" w:eastAsia="Calibri" w:hAnsi="Arial" w:cs="Arial"/>
        </w:rPr>
        <w:t>   </w:t>
      </w:r>
      <w:r w:rsidRPr="00DA3EAC">
        <w:rPr>
          <w:rStyle w:val="eop"/>
          <w:rFonts w:ascii="Arial" w:hAnsi="Arial" w:cs="Arial"/>
        </w:rPr>
        <w:t> </w:t>
      </w:r>
    </w:p>
    <w:p w14:paraId="4070375B"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2C086564"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b/>
          <w:bCs/>
        </w:rPr>
        <w:t>PROBLEMAS JURÍDICOS</w:t>
      </w:r>
      <w:r w:rsidRPr="00DA3EAC">
        <w:rPr>
          <w:rStyle w:val="normaltextrun"/>
          <w:rFonts w:ascii="Arial" w:eastAsia="Calibri" w:hAnsi="Arial" w:cs="Arial"/>
        </w:rPr>
        <w:t>  </w:t>
      </w:r>
      <w:r w:rsidRPr="00DA3EAC">
        <w:rPr>
          <w:rStyle w:val="eop"/>
          <w:rFonts w:ascii="Arial" w:hAnsi="Arial" w:cs="Arial"/>
        </w:rPr>
        <w:t> </w:t>
      </w:r>
    </w:p>
    <w:p w14:paraId="5926842B"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35A95378" w14:textId="6FC9F6F2" w:rsidR="00D61081" w:rsidRPr="00DA3EAC" w:rsidRDefault="00D61081" w:rsidP="00E61DB6">
      <w:pPr>
        <w:spacing w:after="0"/>
        <w:ind w:left="426" w:right="420"/>
        <w:jc w:val="both"/>
        <w:textAlignment w:val="baseline"/>
        <w:rPr>
          <w:rFonts w:ascii="Arial" w:eastAsia="Times New Roman" w:hAnsi="Arial" w:cs="Arial"/>
          <w:b/>
          <w:bCs/>
          <w:i/>
          <w:sz w:val="24"/>
          <w:szCs w:val="24"/>
          <w:lang w:val="es-ES" w:eastAsia="es-CO"/>
        </w:rPr>
      </w:pPr>
      <w:r w:rsidRPr="00DA3EAC">
        <w:rPr>
          <w:rFonts w:ascii="Arial" w:eastAsia="Times New Roman" w:hAnsi="Arial" w:cs="Arial"/>
          <w:b/>
          <w:bCs/>
          <w:i/>
          <w:sz w:val="24"/>
          <w:szCs w:val="24"/>
          <w:lang w:val="es-ES" w:eastAsia="es-CO"/>
        </w:rPr>
        <w:t>1. ¿</w:t>
      </w:r>
      <w:r w:rsidR="00F111B7" w:rsidRPr="00DA3EAC">
        <w:rPr>
          <w:rFonts w:ascii="Arial" w:eastAsia="Times New Roman" w:hAnsi="Arial" w:cs="Arial"/>
          <w:b/>
          <w:bCs/>
          <w:i/>
          <w:sz w:val="24"/>
          <w:szCs w:val="24"/>
          <w:lang w:val="es-ES" w:eastAsia="es-CO"/>
        </w:rPr>
        <w:t>Le asiste razón a la Unidad Administrativa Especial de Gestión Pensional y Contribuciones Parafiscales de la Protección Social cuándo sostiene que a la señora María Dolores Alzate de Herrera se le reconoció correctamente la pensión de jubilación convencional en la resolución N°</w:t>
      </w:r>
      <w:r w:rsidR="0052252D">
        <w:rPr>
          <w:rFonts w:ascii="Arial" w:eastAsia="Times New Roman" w:hAnsi="Arial" w:cs="Arial"/>
          <w:b/>
          <w:bCs/>
          <w:i/>
          <w:sz w:val="24"/>
          <w:szCs w:val="24"/>
          <w:lang w:val="es-ES" w:eastAsia="es-CO"/>
        </w:rPr>
        <w:t xml:space="preserve"> </w:t>
      </w:r>
      <w:r w:rsidR="00F111B7" w:rsidRPr="00DA3EAC">
        <w:rPr>
          <w:rFonts w:ascii="Arial" w:eastAsia="Times New Roman" w:hAnsi="Arial" w:cs="Arial"/>
          <w:b/>
          <w:bCs/>
          <w:i/>
          <w:sz w:val="24"/>
          <w:szCs w:val="24"/>
          <w:lang w:val="es-ES" w:eastAsia="es-CO"/>
        </w:rPr>
        <w:t>154</w:t>
      </w:r>
      <w:r w:rsidR="00267A0F" w:rsidRPr="00DA3EAC">
        <w:rPr>
          <w:rFonts w:ascii="Arial" w:eastAsia="Times New Roman" w:hAnsi="Arial" w:cs="Arial"/>
          <w:b/>
          <w:bCs/>
          <w:i/>
          <w:sz w:val="24"/>
          <w:szCs w:val="24"/>
          <w:lang w:val="es-ES" w:eastAsia="es-CO"/>
        </w:rPr>
        <w:t>6</w:t>
      </w:r>
      <w:r w:rsidR="00F111B7" w:rsidRPr="00DA3EAC">
        <w:rPr>
          <w:rFonts w:ascii="Arial" w:eastAsia="Times New Roman" w:hAnsi="Arial" w:cs="Arial"/>
          <w:b/>
          <w:bCs/>
          <w:i/>
          <w:sz w:val="24"/>
          <w:szCs w:val="24"/>
          <w:lang w:val="es-ES" w:eastAsia="es-CO"/>
        </w:rPr>
        <w:t xml:space="preserve"> de 9 de noviembre de 2006</w:t>
      </w:r>
      <w:r w:rsidRPr="00DA3EAC">
        <w:rPr>
          <w:rFonts w:ascii="Arial" w:eastAsia="Times New Roman" w:hAnsi="Arial" w:cs="Arial"/>
          <w:b/>
          <w:bCs/>
          <w:i/>
          <w:sz w:val="24"/>
          <w:szCs w:val="24"/>
          <w:lang w:val="es-ES" w:eastAsia="es-CO"/>
        </w:rPr>
        <w:t>?</w:t>
      </w:r>
    </w:p>
    <w:p w14:paraId="3BF3E102" w14:textId="77777777" w:rsidR="00D61081" w:rsidRPr="00DA3EAC" w:rsidRDefault="00D61081" w:rsidP="00E61DB6">
      <w:pPr>
        <w:spacing w:after="0"/>
        <w:ind w:left="426" w:right="420"/>
        <w:jc w:val="both"/>
        <w:textAlignment w:val="baseline"/>
        <w:rPr>
          <w:rFonts w:ascii="Arial" w:eastAsia="Times New Roman" w:hAnsi="Arial" w:cs="Arial"/>
          <w:b/>
          <w:bCs/>
          <w:i/>
          <w:sz w:val="24"/>
          <w:szCs w:val="24"/>
          <w:lang w:val="es-ES" w:eastAsia="es-CO"/>
        </w:rPr>
      </w:pPr>
    </w:p>
    <w:p w14:paraId="4BDC8402" w14:textId="5F15710F" w:rsidR="00D61081" w:rsidRPr="00DA3EAC" w:rsidRDefault="00D61081" w:rsidP="00E61DB6">
      <w:pPr>
        <w:spacing w:after="0"/>
        <w:ind w:left="426" w:right="420"/>
        <w:jc w:val="both"/>
        <w:textAlignment w:val="baseline"/>
        <w:rPr>
          <w:rFonts w:ascii="Arial" w:hAnsi="Arial" w:cs="Arial"/>
          <w:b/>
          <w:bCs/>
          <w:i/>
          <w:sz w:val="24"/>
          <w:szCs w:val="24"/>
          <w:lang w:val="es-ES"/>
        </w:rPr>
      </w:pPr>
      <w:r w:rsidRPr="00DA3EAC">
        <w:rPr>
          <w:rFonts w:ascii="Arial" w:eastAsia="Times New Roman" w:hAnsi="Arial" w:cs="Arial"/>
          <w:b/>
          <w:bCs/>
          <w:i/>
          <w:sz w:val="24"/>
          <w:szCs w:val="24"/>
          <w:lang w:val="es-ES" w:eastAsia="es-CO"/>
        </w:rPr>
        <w:t xml:space="preserve">2. </w:t>
      </w:r>
      <w:r w:rsidR="00F111B7" w:rsidRPr="00DA3EAC">
        <w:rPr>
          <w:rFonts w:ascii="Arial" w:eastAsia="Times New Roman" w:hAnsi="Arial" w:cs="Arial"/>
          <w:b/>
          <w:bCs/>
          <w:i/>
          <w:sz w:val="24"/>
          <w:szCs w:val="24"/>
          <w:lang w:val="es-ES" w:eastAsia="es-CO"/>
        </w:rPr>
        <w:t>Con base en la respuesta al interrogante anterior ¿Había lugar a acceder a las pretensiones en la forma dispuesta por la funcionaria de primera instancia?</w:t>
      </w:r>
    </w:p>
    <w:p w14:paraId="65C1268D" w14:textId="77777777" w:rsidR="00D61081" w:rsidRPr="00DA3EAC" w:rsidRDefault="00D61081" w:rsidP="00DA3EAC">
      <w:pPr>
        <w:pStyle w:val="paragraph"/>
        <w:spacing w:before="0" w:beforeAutospacing="0" w:after="0" w:afterAutospacing="0" w:line="276" w:lineRule="auto"/>
        <w:ind w:right="465"/>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3DF0E9A8" w14:textId="6B977BA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Con el propósito de dar solución a los interrogantes en el caso concreto, la Sala considera necesario precisar, </w:t>
      </w:r>
      <w:r w:rsidR="00F61EF6" w:rsidRPr="00DA3EAC">
        <w:rPr>
          <w:rStyle w:val="normaltextrun"/>
          <w:rFonts w:ascii="Arial" w:eastAsia="Calibri" w:hAnsi="Arial" w:cs="Arial"/>
        </w:rPr>
        <w:t>el siguiente aspecto</w:t>
      </w:r>
      <w:r w:rsidRPr="00DA3EAC">
        <w:rPr>
          <w:rStyle w:val="normaltextrun"/>
          <w:rFonts w:ascii="Arial" w:eastAsia="Calibri" w:hAnsi="Arial" w:cs="Arial"/>
        </w:rPr>
        <w:t>:  </w:t>
      </w:r>
      <w:r w:rsidRPr="00DA3EAC">
        <w:rPr>
          <w:rStyle w:val="eop"/>
          <w:rFonts w:ascii="Arial" w:hAnsi="Arial" w:cs="Arial"/>
        </w:rPr>
        <w:t> </w:t>
      </w:r>
    </w:p>
    <w:p w14:paraId="5E40A43A"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082EC7ED" w14:textId="1D39C7AA" w:rsidR="00D61081" w:rsidRPr="00DA3EAC" w:rsidRDefault="00F61EF6" w:rsidP="00DA3EAC">
      <w:pPr>
        <w:pStyle w:val="paragraph"/>
        <w:spacing w:before="0" w:beforeAutospacing="0" w:after="0" w:afterAutospacing="0" w:line="276" w:lineRule="auto"/>
        <w:jc w:val="both"/>
        <w:textAlignment w:val="baseline"/>
        <w:rPr>
          <w:rStyle w:val="normaltextrun"/>
          <w:rFonts w:ascii="Arial" w:eastAsia="Calibri" w:hAnsi="Arial" w:cs="Arial"/>
          <w:b/>
          <w:bCs/>
        </w:rPr>
      </w:pPr>
      <w:r w:rsidRPr="00DA3EAC">
        <w:rPr>
          <w:rStyle w:val="normaltextrun"/>
          <w:rFonts w:ascii="Arial" w:eastAsia="Calibri" w:hAnsi="Arial" w:cs="Arial"/>
          <w:b/>
          <w:bCs/>
        </w:rPr>
        <w:t xml:space="preserve">DE LA PENSIÓN DE JUBILACIÓN PREVISTA EN </w:t>
      </w:r>
      <w:r w:rsidR="00463378" w:rsidRPr="00DA3EAC">
        <w:rPr>
          <w:rStyle w:val="normaltextrun"/>
          <w:rFonts w:ascii="Arial" w:eastAsia="Calibri" w:hAnsi="Arial" w:cs="Arial"/>
          <w:b/>
          <w:bCs/>
        </w:rPr>
        <w:t xml:space="preserve">LA CONVENCIÓN COLECTIVA DE TRABAJO SUSCRITA ENTRE </w:t>
      </w:r>
      <w:r w:rsidR="00F4424C" w:rsidRPr="00DA3EAC">
        <w:rPr>
          <w:rStyle w:val="normaltextrun"/>
          <w:rFonts w:ascii="Arial" w:eastAsia="Calibri" w:hAnsi="Arial" w:cs="Arial"/>
          <w:b/>
          <w:bCs/>
        </w:rPr>
        <w:t>EL INSTITUTO DE SEGUROS SOCIALES Y EL SINDICATO NACIONAL DE TRABAJADORES DE LA SEGURIDAD SOCIAL.</w:t>
      </w:r>
    </w:p>
    <w:p w14:paraId="39B5FBC2" w14:textId="77777777" w:rsidR="00F4424C" w:rsidRPr="00DA3EAC" w:rsidRDefault="00F4424C" w:rsidP="00DA3EAC">
      <w:pPr>
        <w:pStyle w:val="paragraph"/>
        <w:spacing w:before="0" w:beforeAutospacing="0" w:after="0" w:afterAutospacing="0" w:line="276" w:lineRule="auto"/>
        <w:jc w:val="both"/>
        <w:textAlignment w:val="baseline"/>
        <w:rPr>
          <w:rStyle w:val="normaltextrun"/>
          <w:rFonts w:ascii="Arial" w:eastAsia="Calibri" w:hAnsi="Arial" w:cs="Arial"/>
          <w:b/>
          <w:bCs/>
        </w:rPr>
      </w:pPr>
    </w:p>
    <w:p w14:paraId="1FB5594F" w14:textId="5450E09C" w:rsidR="00F4424C" w:rsidRPr="00DA3EAC" w:rsidRDefault="00CB4512" w:rsidP="00DA3EAC">
      <w:pPr>
        <w:pStyle w:val="paragraph"/>
        <w:spacing w:before="0" w:beforeAutospacing="0" w:after="0" w:afterAutospacing="0" w:line="276" w:lineRule="auto"/>
        <w:jc w:val="both"/>
        <w:textAlignment w:val="baseline"/>
        <w:rPr>
          <w:rStyle w:val="normaltextrun"/>
          <w:rFonts w:ascii="Arial" w:eastAsia="Calibri" w:hAnsi="Arial" w:cs="Arial"/>
        </w:rPr>
      </w:pPr>
      <w:bookmarkStart w:id="3" w:name="_Hlk141876168"/>
      <w:r w:rsidRPr="00DA3EAC">
        <w:rPr>
          <w:rStyle w:val="normaltextrun"/>
          <w:rFonts w:ascii="Arial" w:eastAsia="Calibri" w:hAnsi="Arial" w:cs="Arial"/>
        </w:rPr>
        <w:t xml:space="preserve">Establece el artículo 98 de la convención colectiva de trabajo suscrita entre el otrora Instituto de Seguros Sociales y el Sindicato Nacional de Trabajadores de la Seguridad Social </w:t>
      </w:r>
      <w:r w:rsidR="00727BE8" w:rsidRPr="00DA3EAC">
        <w:rPr>
          <w:rStyle w:val="normaltextrun"/>
          <w:rFonts w:ascii="Arial" w:eastAsia="Calibri" w:hAnsi="Arial" w:cs="Arial"/>
        </w:rPr>
        <w:t>“</w:t>
      </w:r>
      <w:r w:rsidR="00727BE8" w:rsidRPr="00DA3EAC">
        <w:rPr>
          <w:rStyle w:val="normaltextrun"/>
          <w:rFonts w:ascii="Arial" w:eastAsia="Calibri" w:hAnsi="Arial" w:cs="Arial"/>
          <w:i/>
        </w:rPr>
        <w:t>SINTRASEGURIDADSOCIAL</w:t>
      </w:r>
      <w:r w:rsidR="00727BE8" w:rsidRPr="00DA3EAC">
        <w:rPr>
          <w:rStyle w:val="normaltextrun"/>
          <w:rFonts w:ascii="Arial" w:eastAsia="Calibri" w:hAnsi="Arial" w:cs="Arial"/>
        </w:rPr>
        <w:t>”</w:t>
      </w:r>
      <w:r w:rsidR="00DE5586" w:rsidRPr="00DA3EAC">
        <w:rPr>
          <w:rStyle w:val="normaltextrun"/>
          <w:rFonts w:ascii="Arial" w:eastAsia="Calibri" w:hAnsi="Arial" w:cs="Arial"/>
        </w:rPr>
        <w:t xml:space="preserve"> </w:t>
      </w:r>
      <w:r w:rsidR="005F6D01" w:rsidRPr="00DA3EAC">
        <w:rPr>
          <w:rStyle w:val="normaltextrun"/>
          <w:rFonts w:ascii="Arial" w:eastAsia="Calibri" w:hAnsi="Arial" w:cs="Arial"/>
        </w:rPr>
        <w:t>-</w:t>
      </w:r>
      <w:r w:rsidR="004F215E" w:rsidRPr="00DA3EAC">
        <w:rPr>
          <w:rStyle w:val="normaltextrun"/>
          <w:rFonts w:ascii="Arial" w:eastAsia="Calibri" w:hAnsi="Arial" w:cs="Arial"/>
          <w:i/>
          <w:iCs/>
        </w:rPr>
        <w:t xml:space="preserve">incorporada al proceso </w:t>
      </w:r>
      <w:r w:rsidR="00650184" w:rsidRPr="00DA3EAC">
        <w:rPr>
          <w:rStyle w:val="normaltextrun"/>
          <w:rFonts w:ascii="Arial" w:eastAsia="Calibri" w:hAnsi="Arial" w:cs="Arial"/>
          <w:i/>
          <w:iCs/>
        </w:rPr>
        <w:t xml:space="preserve">en las páginas </w:t>
      </w:r>
      <w:r w:rsidR="00713FE5" w:rsidRPr="00DA3EAC">
        <w:rPr>
          <w:rStyle w:val="normaltextrun"/>
          <w:rFonts w:ascii="Arial" w:eastAsia="Calibri" w:hAnsi="Arial" w:cs="Arial"/>
          <w:i/>
          <w:iCs/>
        </w:rPr>
        <w:t xml:space="preserve">17 a 86 del archivo </w:t>
      </w:r>
      <w:r w:rsidR="00516B33" w:rsidRPr="00DA3EAC">
        <w:rPr>
          <w:rStyle w:val="normaltextrun"/>
          <w:rFonts w:ascii="Arial" w:eastAsia="Calibri" w:hAnsi="Arial" w:cs="Arial"/>
          <w:i/>
          <w:iCs/>
        </w:rPr>
        <w:t>04 carpeta de primera instancia con su correspondiente nota de depósito</w:t>
      </w:r>
      <w:r w:rsidR="00516B33" w:rsidRPr="00DA3EAC">
        <w:rPr>
          <w:rStyle w:val="normaltextrun"/>
          <w:rFonts w:ascii="Arial" w:eastAsia="Calibri" w:hAnsi="Arial" w:cs="Arial"/>
        </w:rPr>
        <w:t>-</w:t>
      </w:r>
      <w:r w:rsidR="00727BE8" w:rsidRPr="00DA3EAC">
        <w:rPr>
          <w:rStyle w:val="normaltextrun"/>
          <w:rFonts w:ascii="Arial" w:eastAsia="Calibri" w:hAnsi="Arial" w:cs="Arial"/>
        </w:rPr>
        <w:t xml:space="preserve"> que el trabajador oficial que cumpla veinte (20) años de servicio continuo o discontinuo al ISS y arribe a los cincuenta y cinco (55) años de edad en el caso de los hombres y cincuenta (50) años en el caso de las mujeres</w:t>
      </w:r>
      <w:r w:rsidR="00A32B48" w:rsidRPr="00DA3EAC">
        <w:rPr>
          <w:rStyle w:val="normaltextrun"/>
          <w:rFonts w:ascii="Arial" w:eastAsia="Calibri" w:hAnsi="Arial" w:cs="Arial"/>
        </w:rPr>
        <w:t>, tendrá derecho a que se le reconozca la pensión de jubilación convencional</w:t>
      </w:r>
      <w:r w:rsidR="00D93F49" w:rsidRPr="00DA3EAC">
        <w:rPr>
          <w:rStyle w:val="normaltextrun"/>
          <w:rFonts w:ascii="Arial" w:eastAsia="Calibri" w:hAnsi="Arial" w:cs="Arial"/>
        </w:rPr>
        <w:t xml:space="preserve">, indicando que en el caso de los trabajadores </w:t>
      </w:r>
      <w:r w:rsidR="007E49E9" w:rsidRPr="00DA3EAC">
        <w:rPr>
          <w:rStyle w:val="normaltextrun"/>
          <w:rFonts w:ascii="Arial" w:eastAsia="Calibri" w:hAnsi="Arial" w:cs="Arial"/>
        </w:rPr>
        <w:t>que adquieran el derecho pensional entre el 1° de enero de 2002 y el 31 de diciembre de 2006</w:t>
      </w:r>
      <w:r w:rsidR="0066650D" w:rsidRPr="00DA3EAC">
        <w:rPr>
          <w:rStyle w:val="normaltextrun"/>
          <w:rFonts w:ascii="Arial" w:eastAsia="Calibri" w:hAnsi="Arial" w:cs="Arial"/>
        </w:rPr>
        <w:t>, se les reconocerá como mesada p</w:t>
      </w:r>
      <w:r w:rsidR="00C86239" w:rsidRPr="00DA3EAC">
        <w:rPr>
          <w:rStyle w:val="normaltextrun"/>
          <w:rFonts w:ascii="Arial" w:eastAsia="Calibri" w:hAnsi="Arial" w:cs="Arial"/>
        </w:rPr>
        <w:t>ensional el 100% del promedio mensual de lo percibido en los dos últimos años de servicio.</w:t>
      </w:r>
    </w:p>
    <w:bookmarkEnd w:id="3"/>
    <w:p w14:paraId="4FE78B73" w14:textId="77777777" w:rsidR="00C86239" w:rsidRPr="00DA3EAC" w:rsidRDefault="00C86239"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53193AD9" w14:textId="366CD34A" w:rsidR="00C86239" w:rsidRPr="00DA3EAC" w:rsidRDefault="00C86239"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 xml:space="preserve">Para </w:t>
      </w:r>
      <w:r w:rsidR="00552BA7" w:rsidRPr="00DA3EAC">
        <w:rPr>
          <w:rStyle w:val="normaltextrun"/>
          <w:rFonts w:ascii="Arial" w:eastAsia="Calibri" w:hAnsi="Arial" w:cs="Arial"/>
        </w:rPr>
        <w:t xml:space="preserve">efectos de la liquidación de la pensión de jubilación, se estableció </w:t>
      </w:r>
      <w:r w:rsidR="003B3BB3" w:rsidRPr="00DA3EAC">
        <w:rPr>
          <w:rStyle w:val="normaltextrun"/>
          <w:rFonts w:ascii="Arial" w:eastAsia="Calibri" w:hAnsi="Arial" w:cs="Arial"/>
        </w:rPr>
        <w:t>como factores a tener en cuenta</w:t>
      </w:r>
      <w:r w:rsidR="001A69A1" w:rsidRPr="00DA3EAC">
        <w:rPr>
          <w:rStyle w:val="normaltextrun"/>
          <w:rFonts w:ascii="Arial" w:eastAsia="Calibri" w:hAnsi="Arial" w:cs="Arial"/>
        </w:rPr>
        <w:t xml:space="preserve"> los siguientes emolumentos: a) Asignación básica mensual, b) Prima</w:t>
      </w:r>
      <w:r w:rsidR="00E347D8" w:rsidRPr="00DA3EAC">
        <w:rPr>
          <w:rStyle w:val="normaltextrun"/>
          <w:rFonts w:ascii="Arial" w:eastAsia="Calibri" w:hAnsi="Arial" w:cs="Arial"/>
        </w:rPr>
        <w:t>s</w:t>
      </w:r>
      <w:r w:rsidR="001A69A1" w:rsidRPr="00DA3EAC">
        <w:rPr>
          <w:rStyle w:val="normaltextrun"/>
          <w:rFonts w:ascii="Arial" w:eastAsia="Calibri" w:hAnsi="Arial" w:cs="Arial"/>
        </w:rPr>
        <w:t xml:space="preserve"> de servicios y </w:t>
      </w:r>
      <w:r w:rsidR="00E347D8" w:rsidRPr="00DA3EAC">
        <w:rPr>
          <w:rStyle w:val="normaltextrun"/>
          <w:rFonts w:ascii="Arial" w:eastAsia="Calibri" w:hAnsi="Arial" w:cs="Arial"/>
        </w:rPr>
        <w:t xml:space="preserve">de </w:t>
      </w:r>
      <w:r w:rsidR="001A69A1" w:rsidRPr="00DA3EAC">
        <w:rPr>
          <w:rStyle w:val="normaltextrun"/>
          <w:rFonts w:ascii="Arial" w:eastAsia="Calibri" w:hAnsi="Arial" w:cs="Arial"/>
        </w:rPr>
        <w:t xml:space="preserve">vacaciones, c) Auxilio de </w:t>
      </w:r>
      <w:r w:rsidR="00CB541C" w:rsidRPr="00DA3EAC">
        <w:rPr>
          <w:rStyle w:val="normaltextrun"/>
          <w:rFonts w:ascii="Arial" w:eastAsia="Calibri" w:hAnsi="Arial" w:cs="Arial"/>
        </w:rPr>
        <w:t>alimentación y transporte, d) Valor trabajo nocturno, suplementario y en horas extras</w:t>
      </w:r>
      <w:r w:rsidR="00BC1993" w:rsidRPr="00DA3EAC">
        <w:rPr>
          <w:rStyle w:val="normaltextrun"/>
          <w:rFonts w:ascii="Arial" w:eastAsia="Calibri" w:hAnsi="Arial" w:cs="Arial"/>
        </w:rPr>
        <w:t>, e) Valor del trabajo en días dominicales y feriados.</w:t>
      </w:r>
    </w:p>
    <w:p w14:paraId="73BB2CED" w14:textId="77777777" w:rsidR="00BC1993" w:rsidRPr="00DA3EAC" w:rsidRDefault="00BC1993"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0E3DF8B1" w14:textId="3DC5A573" w:rsidR="00BC1993" w:rsidRPr="00DA3EAC" w:rsidRDefault="00BC1993"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t>Ahora, en el artículo 101 del referido compendio normativo</w:t>
      </w:r>
      <w:r w:rsidR="00620B6A" w:rsidRPr="00DA3EAC">
        <w:rPr>
          <w:rStyle w:val="normaltextrun"/>
          <w:rFonts w:ascii="Arial" w:eastAsia="Calibri" w:hAnsi="Arial" w:cs="Arial"/>
        </w:rPr>
        <w:t>, denominado como “</w:t>
      </w:r>
      <w:r w:rsidR="00620B6A" w:rsidRPr="00333C5C">
        <w:rPr>
          <w:rStyle w:val="normaltextrun"/>
          <w:rFonts w:ascii="Arial" w:eastAsia="Calibri" w:hAnsi="Arial" w:cs="Arial"/>
          <w:sz w:val="22"/>
        </w:rPr>
        <w:t>Acumulación de Tiempo de Servicios</w:t>
      </w:r>
      <w:r w:rsidR="00620B6A" w:rsidRPr="00DA3EAC">
        <w:rPr>
          <w:rStyle w:val="normaltextrun"/>
          <w:rFonts w:ascii="Arial" w:eastAsia="Calibri" w:hAnsi="Arial" w:cs="Arial"/>
        </w:rPr>
        <w:t xml:space="preserve">”, las partes pactaron que </w:t>
      </w:r>
      <w:r w:rsidR="00027D57" w:rsidRPr="00DA3EAC">
        <w:rPr>
          <w:rStyle w:val="normaltextrun"/>
          <w:rFonts w:ascii="Arial" w:eastAsia="Calibri" w:hAnsi="Arial" w:cs="Arial"/>
          <w:i/>
          <w:iCs/>
        </w:rPr>
        <w:t>“</w:t>
      </w:r>
      <w:r w:rsidR="00027D57" w:rsidRPr="00333C5C">
        <w:rPr>
          <w:rStyle w:val="normaltextrun"/>
          <w:rFonts w:ascii="Arial" w:eastAsia="Calibri" w:hAnsi="Arial" w:cs="Arial"/>
          <w:i/>
          <w:iCs/>
          <w:sz w:val="22"/>
        </w:rPr>
        <w:t xml:space="preserve">Los servicios prestados sucesiva o alternativamente en las demás entidades de derecho público </w:t>
      </w:r>
      <w:r w:rsidR="00027D57" w:rsidRPr="00333C5C">
        <w:rPr>
          <w:rStyle w:val="normaltextrun"/>
          <w:rFonts w:ascii="Arial" w:eastAsia="Calibri" w:hAnsi="Arial" w:cs="Arial"/>
          <w:b/>
          <w:bCs/>
          <w:i/>
          <w:iCs/>
          <w:sz w:val="22"/>
        </w:rPr>
        <w:t xml:space="preserve">podrá acumularse </w:t>
      </w:r>
      <w:r w:rsidR="00002BE8" w:rsidRPr="00333C5C">
        <w:rPr>
          <w:rStyle w:val="normaltextrun"/>
          <w:rFonts w:ascii="Arial" w:eastAsia="Calibri" w:hAnsi="Arial" w:cs="Arial"/>
          <w:b/>
          <w:bCs/>
          <w:i/>
          <w:iCs/>
          <w:sz w:val="22"/>
          <w:u w:val="single"/>
        </w:rPr>
        <w:t>para el cómputo del tiempo requerido para poder tener derecho a pensión de jubilación</w:t>
      </w:r>
      <w:r w:rsidR="0054699D" w:rsidRPr="00333C5C">
        <w:rPr>
          <w:rStyle w:val="normaltextrun"/>
          <w:rFonts w:ascii="Arial" w:eastAsia="Calibri" w:hAnsi="Arial" w:cs="Arial"/>
          <w:i/>
          <w:iCs/>
          <w:sz w:val="22"/>
        </w:rPr>
        <w:t xml:space="preserve"> y el monto correspondiente se distribuirá en proporción al tiempo laborado en cada una de tales entidades</w:t>
      </w:r>
      <w:r w:rsidR="007F68A0" w:rsidRPr="00333C5C">
        <w:rPr>
          <w:rStyle w:val="normaltextrun"/>
          <w:rFonts w:ascii="Arial" w:eastAsia="Calibri" w:hAnsi="Arial" w:cs="Arial"/>
          <w:i/>
          <w:iCs/>
          <w:sz w:val="22"/>
        </w:rPr>
        <w:t>. En este caso, la cuantía de la pensión será del 75% del promedio de lo percibido en el último año de servicios por concepto de todos los factores de remuneración que constituyen salario</w:t>
      </w:r>
      <w:r w:rsidR="007F68A0" w:rsidRPr="00DA3EAC">
        <w:rPr>
          <w:rStyle w:val="normaltextrun"/>
          <w:rFonts w:ascii="Arial" w:eastAsia="Calibri" w:hAnsi="Arial" w:cs="Arial"/>
          <w:i/>
          <w:iCs/>
        </w:rPr>
        <w:t>”.</w:t>
      </w:r>
      <w:r w:rsidR="007F68A0" w:rsidRPr="00DA3EAC">
        <w:rPr>
          <w:rStyle w:val="normaltextrun"/>
          <w:rFonts w:ascii="Arial" w:eastAsia="Calibri" w:hAnsi="Arial" w:cs="Arial"/>
        </w:rPr>
        <w:t xml:space="preserve"> (Negrillas y subrayas </w:t>
      </w:r>
      <w:r w:rsidR="00980B73" w:rsidRPr="00DA3EAC">
        <w:rPr>
          <w:rStyle w:val="normaltextrun"/>
          <w:rFonts w:ascii="Arial" w:eastAsia="Calibri" w:hAnsi="Arial" w:cs="Arial"/>
        </w:rPr>
        <w:t>por fuera de texto)</w:t>
      </w:r>
    </w:p>
    <w:p w14:paraId="0328C9C2" w14:textId="77777777" w:rsidR="00980B73" w:rsidRPr="00DA3EAC" w:rsidRDefault="00980B73"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02B8C3A8" w14:textId="4DD009B9" w:rsidR="000A0867" w:rsidRPr="00DA3EAC" w:rsidRDefault="00980B73"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rPr>
        <w:lastRenderedPageBreak/>
        <w:t xml:space="preserve">Como puede verse, la pensión de jubilación establecida </w:t>
      </w:r>
      <w:r w:rsidR="00692AC8" w:rsidRPr="00DA3EAC">
        <w:rPr>
          <w:rStyle w:val="normaltextrun"/>
          <w:rFonts w:ascii="Arial" w:eastAsia="Calibri" w:hAnsi="Arial" w:cs="Arial"/>
        </w:rPr>
        <w:t xml:space="preserve">en la convención colectiva de trabajo suscrita entre el ISS y SINTRASEGURIDADSOCIAL </w:t>
      </w:r>
      <w:r w:rsidR="00D82014" w:rsidRPr="00DA3EAC">
        <w:rPr>
          <w:rStyle w:val="normaltextrun"/>
          <w:rFonts w:ascii="Arial" w:eastAsia="Calibri" w:hAnsi="Arial" w:cs="Arial"/>
        </w:rPr>
        <w:t xml:space="preserve">está definida en su artículo 98, siendo la regla principal el cumplimiento de los requisitos allí definidos, esto es, el cumplimiento de la edad mínima </w:t>
      </w:r>
      <w:r w:rsidR="00F97F08" w:rsidRPr="00DA3EAC">
        <w:rPr>
          <w:rStyle w:val="normaltextrun"/>
          <w:rFonts w:ascii="Arial" w:eastAsia="Calibri" w:hAnsi="Arial" w:cs="Arial"/>
        </w:rPr>
        <w:t xml:space="preserve">de cincuenta y cinco (55) años para los hombres y cincuenta (50) años para las mujeres y acreditar veinte (20) años de servicios </w:t>
      </w:r>
      <w:r w:rsidR="00AD6286" w:rsidRPr="00DA3EAC">
        <w:rPr>
          <w:rStyle w:val="normaltextrun"/>
          <w:rFonts w:ascii="Arial" w:eastAsia="Calibri" w:hAnsi="Arial" w:cs="Arial"/>
        </w:rPr>
        <w:t xml:space="preserve">continuos y discontinuos a favor del Instituto de Seguros Sociales; pero, en caso de que un trabajador </w:t>
      </w:r>
      <w:r w:rsidR="00B3449F" w:rsidRPr="00DA3EAC">
        <w:rPr>
          <w:rStyle w:val="normaltextrun"/>
          <w:rFonts w:ascii="Arial" w:eastAsia="Calibri" w:hAnsi="Arial" w:cs="Arial"/>
        </w:rPr>
        <w:t>del ISS</w:t>
      </w:r>
      <w:r w:rsidR="00AD6286" w:rsidRPr="00DA3EAC">
        <w:rPr>
          <w:rStyle w:val="normaltextrun"/>
          <w:rFonts w:ascii="Arial" w:eastAsia="Calibri" w:hAnsi="Arial" w:cs="Arial"/>
        </w:rPr>
        <w:t xml:space="preserve"> no alcance a cumplir el tiempo de servicios </w:t>
      </w:r>
      <w:r w:rsidR="0085421B" w:rsidRPr="00DA3EAC">
        <w:rPr>
          <w:rStyle w:val="normaltextrun"/>
          <w:rFonts w:ascii="Arial" w:eastAsia="Calibri" w:hAnsi="Arial" w:cs="Arial"/>
        </w:rPr>
        <w:t>allí exigidos, las partes previeron subsidiariamente la acumulación de tiempos de servicios</w:t>
      </w:r>
      <w:r w:rsidR="009D1625" w:rsidRPr="00DA3EAC">
        <w:rPr>
          <w:rStyle w:val="normaltextrun"/>
          <w:rFonts w:ascii="Arial" w:eastAsia="Calibri" w:hAnsi="Arial" w:cs="Arial"/>
        </w:rPr>
        <w:t xml:space="preserve"> con las demás entidades de derecho público</w:t>
      </w:r>
      <w:r w:rsidR="00977CA7" w:rsidRPr="00DA3EAC">
        <w:rPr>
          <w:rStyle w:val="normaltextrun"/>
          <w:rFonts w:ascii="Arial" w:eastAsia="Calibri" w:hAnsi="Arial" w:cs="Arial"/>
        </w:rPr>
        <w:t xml:space="preserve">, nótese bien, </w:t>
      </w:r>
      <w:r w:rsidR="00977CA7" w:rsidRPr="00DA3EAC">
        <w:rPr>
          <w:rStyle w:val="normaltextrun"/>
          <w:rFonts w:ascii="Arial" w:eastAsia="Calibri" w:hAnsi="Arial" w:cs="Arial"/>
          <w:b/>
          <w:bCs/>
          <w:u w:val="single"/>
        </w:rPr>
        <w:t xml:space="preserve">para el computo </w:t>
      </w:r>
      <w:r w:rsidR="00F80B5B" w:rsidRPr="00DA3EAC">
        <w:rPr>
          <w:rStyle w:val="normaltextrun"/>
          <w:rFonts w:ascii="Arial" w:eastAsia="Calibri" w:hAnsi="Arial" w:cs="Arial"/>
          <w:b/>
          <w:bCs/>
          <w:u w:val="single"/>
        </w:rPr>
        <w:t>del tiempo requerido para poder tener derecho a la pensión de jubilación</w:t>
      </w:r>
      <w:r w:rsidR="00F80B5B" w:rsidRPr="00DA3EAC">
        <w:rPr>
          <w:rStyle w:val="normaltextrun"/>
          <w:rFonts w:ascii="Arial" w:eastAsia="Calibri" w:hAnsi="Arial" w:cs="Arial"/>
        </w:rPr>
        <w:t xml:space="preserve">, </w:t>
      </w:r>
      <w:bookmarkStart w:id="4" w:name="_Hlk141876339"/>
      <w:r w:rsidR="00F80B5B" w:rsidRPr="00DA3EAC">
        <w:rPr>
          <w:rStyle w:val="normaltextrun"/>
          <w:rFonts w:ascii="Arial" w:eastAsia="Calibri" w:hAnsi="Arial" w:cs="Arial"/>
        </w:rPr>
        <w:t>en otras palabras,</w:t>
      </w:r>
      <w:r w:rsidR="009D1625" w:rsidRPr="00DA3EAC">
        <w:rPr>
          <w:rStyle w:val="normaltextrun"/>
          <w:rFonts w:ascii="Arial" w:eastAsia="Calibri" w:hAnsi="Arial" w:cs="Arial"/>
        </w:rPr>
        <w:t xml:space="preserve"> cuando un trabajador de</w:t>
      </w:r>
      <w:r w:rsidR="00293A1E" w:rsidRPr="00DA3EAC">
        <w:rPr>
          <w:rStyle w:val="normaltextrun"/>
          <w:rFonts w:ascii="Arial" w:eastAsia="Calibri" w:hAnsi="Arial" w:cs="Arial"/>
        </w:rPr>
        <w:t>l</w:t>
      </w:r>
      <w:r w:rsidR="009D1625" w:rsidRPr="00DA3EAC">
        <w:rPr>
          <w:rStyle w:val="normaltextrun"/>
          <w:rFonts w:ascii="Arial" w:eastAsia="Calibri" w:hAnsi="Arial" w:cs="Arial"/>
        </w:rPr>
        <w:t xml:space="preserve"> ISS alcanza </w:t>
      </w:r>
      <w:r w:rsidR="001B6041" w:rsidRPr="00DA3EAC">
        <w:rPr>
          <w:rStyle w:val="normaltextrun"/>
          <w:rFonts w:ascii="Arial" w:eastAsia="Calibri" w:hAnsi="Arial" w:cs="Arial"/>
        </w:rPr>
        <w:t xml:space="preserve">los veinte (20) años de servicios continuos o discontinuos a favor de esa entidad, inmediatamente adquiere el derecho a la pensión de jubilación por vía del artículo 98 de la convención colectiva de trabajo, independientemente si </w:t>
      </w:r>
      <w:r w:rsidR="00111BAA" w:rsidRPr="00DA3EAC">
        <w:rPr>
          <w:rStyle w:val="normaltextrun"/>
          <w:rFonts w:ascii="Arial" w:eastAsia="Calibri" w:hAnsi="Arial" w:cs="Arial"/>
        </w:rPr>
        <w:t xml:space="preserve">también acredita </w:t>
      </w:r>
      <w:r w:rsidR="002F1B6E" w:rsidRPr="00DA3EAC">
        <w:rPr>
          <w:rStyle w:val="normaltextrun"/>
          <w:rFonts w:ascii="Arial" w:eastAsia="Calibri" w:hAnsi="Arial" w:cs="Arial"/>
        </w:rPr>
        <w:t>tiempo de servicios en otr</w:t>
      </w:r>
      <w:r w:rsidR="004C125F" w:rsidRPr="00DA3EAC">
        <w:rPr>
          <w:rStyle w:val="normaltextrun"/>
          <w:rFonts w:ascii="Arial" w:eastAsia="Calibri" w:hAnsi="Arial" w:cs="Arial"/>
        </w:rPr>
        <w:t>as entidades de derecho público diferentes al ISS;</w:t>
      </w:r>
      <w:r w:rsidR="00111BAA" w:rsidRPr="00DA3EAC">
        <w:rPr>
          <w:rStyle w:val="normaltextrun"/>
          <w:rFonts w:ascii="Arial" w:eastAsia="Calibri" w:hAnsi="Arial" w:cs="Arial"/>
        </w:rPr>
        <w:t xml:space="preserve"> pero, en el evento en el que no alcance a computar los veinte (20) años de servicios exclusivos en el ISS, </w:t>
      </w:r>
      <w:r w:rsidR="0012557C" w:rsidRPr="00DA3EAC">
        <w:rPr>
          <w:rStyle w:val="normaltextrun"/>
          <w:rFonts w:ascii="Arial" w:eastAsia="Calibri" w:hAnsi="Arial" w:cs="Arial"/>
        </w:rPr>
        <w:t xml:space="preserve">podrá completar el tiempo mínimo exigido </w:t>
      </w:r>
      <w:r w:rsidR="008B1187" w:rsidRPr="00DA3EAC">
        <w:rPr>
          <w:rStyle w:val="normaltextrun"/>
          <w:rFonts w:ascii="Arial" w:eastAsia="Calibri" w:hAnsi="Arial" w:cs="Arial"/>
        </w:rPr>
        <w:t xml:space="preserve">con los servicios prestados </w:t>
      </w:r>
      <w:r w:rsidR="000F563C" w:rsidRPr="00DA3EAC">
        <w:rPr>
          <w:rStyle w:val="normaltextrun"/>
          <w:rFonts w:ascii="Arial" w:eastAsia="Calibri" w:hAnsi="Arial" w:cs="Arial"/>
        </w:rPr>
        <w:t xml:space="preserve">en otras entidades </w:t>
      </w:r>
      <w:r w:rsidR="00593519" w:rsidRPr="00DA3EAC">
        <w:rPr>
          <w:rStyle w:val="normaltextrun"/>
          <w:rFonts w:ascii="Arial" w:eastAsia="Calibri" w:hAnsi="Arial" w:cs="Arial"/>
        </w:rPr>
        <w:t>de derecho público,</w:t>
      </w:r>
      <w:r w:rsidR="00CA2678" w:rsidRPr="00DA3EAC">
        <w:rPr>
          <w:rStyle w:val="normaltextrun"/>
          <w:rFonts w:ascii="Arial" w:eastAsia="Calibri" w:hAnsi="Arial" w:cs="Arial"/>
        </w:rPr>
        <w:t xml:space="preserve"> casos estos en los cuales </w:t>
      </w:r>
      <w:r w:rsidR="00593519" w:rsidRPr="00DA3EAC">
        <w:rPr>
          <w:rStyle w:val="normaltextrun"/>
          <w:rFonts w:ascii="Arial" w:eastAsia="Calibri" w:hAnsi="Arial" w:cs="Arial"/>
        </w:rPr>
        <w:t>la pensión de jubilación se r</w:t>
      </w:r>
      <w:r w:rsidR="00CA2678" w:rsidRPr="00DA3EAC">
        <w:rPr>
          <w:rStyle w:val="normaltextrun"/>
          <w:rFonts w:ascii="Arial" w:eastAsia="Calibri" w:hAnsi="Arial" w:cs="Arial"/>
        </w:rPr>
        <w:t>egirá</w:t>
      </w:r>
      <w:r w:rsidR="00593519" w:rsidRPr="00DA3EAC">
        <w:rPr>
          <w:rStyle w:val="normaltextrun"/>
          <w:rFonts w:ascii="Arial" w:eastAsia="Calibri" w:hAnsi="Arial" w:cs="Arial"/>
        </w:rPr>
        <w:t xml:space="preserve"> por lo establecido en el artículo 101 de la convención colectiva de trabajo</w:t>
      </w:r>
      <w:r w:rsidR="00293A1E" w:rsidRPr="00DA3EAC">
        <w:rPr>
          <w:rStyle w:val="normaltextrun"/>
          <w:rFonts w:ascii="Arial" w:eastAsia="Calibri" w:hAnsi="Arial" w:cs="Arial"/>
        </w:rPr>
        <w:t>.</w:t>
      </w:r>
    </w:p>
    <w:bookmarkEnd w:id="4"/>
    <w:p w14:paraId="6651E23E" w14:textId="77777777" w:rsidR="007C26AD" w:rsidRPr="00DA3EAC" w:rsidRDefault="007C26AD"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05B8875F" w14:textId="77777777" w:rsidR="00D61081" w:rsidRPr="00DA3EAC" w:rsidRDefault="00D61081" w:rsidP="00DA3EAC">
      <w:pPr>
        <w:pStyle w:val="paragraph"/>
        <w:spacing w:before="0" w:beforeAutospacing="0" w:after="0" w:afterAutospacing="0" w:line="276" w:lineRule="auto"/>
        <w:jc w:val="both"/>
        <w:textAlignment w:val="baseline"/>
        <w:rPr>
          <w:rStyle w:val="eop"/>
          <w:rFonts w:ascii="Arial" w:hAnsi="Arial" w:cs="Arial"/>
        </w:rPr>
      </w:pPr>
      <w:r w:rsidRPr="00DA3EAC">
        <w:rPr>
          <w:rStyle w:val="normaltextrun"/>
          <w:rFonts w:ascii="Arial" w:eastAsia="Calibri" w:hAnsi="Arial" w:cs="Arial"/>
          <w:b/>
          <w:bCs/>
        </w:rPr>
        <w:t>EL CASO CONCRETO</w:t>
      </w:r>
      <w:r w:rsidRPr="00DA3EAC">
        <w:rPr>
          <w:rStyle w:val="normaltextrun"/>
          <w:rFonts w:ascii="Arial" w:eastAsia="Calibri" w:hAnsi="Arial" w:cs="Arial"/>
        </w:rPr>
        <w:t>.</w:t>
      </w:r>
      <w:r w:rsidRPr="00DA3EAC">
        <w:rPr>
          <w:rStyle w:val="eop"/>
          <w:rFonts w:ascii="Arial" w:hAnsi="Arial" w:cs="Arial"/>
        </w:rPr>
        <w:t> </w:t>
      </w:r>
    </w:p>
    <w:p w14:paraId="132E0ACD" w14:textId="77777777" w:rsidR="00D61081" w:rsidRPr="00DA3EAC" w:rsidRDefault="00D61081" w:rsidP="00DA3EAC">
      <w:pPr>
        <w:pStyle w:val="paragraph"/>
        <w:spacing w:before="0" w:beforeAutospacing="0" w:after="0" w:afterAutospacing="0" w:line="276" w:lineRule="auto"/>
        <w:jc w:val="both"/>
        <w:textAlignment w:val="baseline"/>
        <w:rPr>
          <w:rStyle w:val="eop"/>
          <w:rFonts w:ascii="Arial" w:hAnsi="Arial" w:cs="Arial"/>
        </w:rPr>
      </w:pPr>
    </w:p>
    <w:p w14:paraId="307ADAD1" w14:textId="20D21045" w:rsidR="009F5E51" w:rsidRPr="00DA3EAC" w:rsidRDefault="009F5E51"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Afirma la Unidad Administr</w:t>
      </w:r>
      <w:r w:rsidR="00C95771" w:rsidRPr="00DA3EAC">
        <w:rPr>
          <w:rFonts w:ascii="Arial" w:eastAsia="Times New Roman" w:hAnsi="Arial" w:cs="Arial"/>
          <w:sz w:val="24"/>
          <w:szCs w:val="24"/>
          <w:lang w:eastAsia="es-CO"/>
        </w:rPr>
        <w:t>ativa Especial de Gestión Pensional y Contribuciones Parafiscales de la Protección Social -UGPP-</w:t>
      </w:r>
      <w:r w:rsidR="00612454" w:rsidRPr="00DA3EAC">
        <w:rPr>
          <w:rFonts w:ascii="Arial" w:eastAsia="Times New Roman" w:hAnsi="Arial" w:cs="Arial"/>
          <w:sz w:val="24"/>
          <w:szCs w:val="24"/>
          <w:lang w:eastAsia="es-CO"/>
        </w:rPr>
        <w:t xml:space="preserve">, tanto en la respuesta a la demanda como en la sustentación del recurso de apelación, que la pensión de jubilación convencional que se le reconoció </w:t>
      </w:r>
      <w:r w:rsidR="00DA189D" w:rsidRPr="00DA3EAC">
        <w:rPr>
          <w:rFonts w:ascii="Arial" w:eastAsia="Times New Roman" w:hAnsi="Arial" w:cs="Arial"/>
          <w:sz w:val="24"/>
          <w:szCs w:val="24"/>
          <w:lang w:eastAsia="es-CO"/>
        </w:rPr>
        <w:t>a la señora María Dolores Alzate de Herrer</w:t>
      </w:r>
      <w:r w:rsidR="00417341" w:rsidRPr="00DA3EAC">
        <w:rPr>
          <w:rFonts w:ascii="Arial" w:eastAsia="Times New Roman" w:hAnsi="Arial" w:cs="Arial"/>
          <w:sz w:val="24"/>
          <w:szCs w:val="24"/>
          <w:lang w:eastAsia="es-CO"/>
        </w:rPr>
        <w:t>a en la resolución N°</w:t>
      </w:r>
      <w:r w:rsidR="004D01FE">
        <w:rPr>
          <w:rFonts w:ascii="Arial" w:eastAsia="Times New Roman" w:hAnsi="Arial" w:cs="Arial"/>
          <w:sz w:val="24"/>
          <w:szCs w:val="24"/>
          <w:lang w:eastAsia="es-CO"/>
        </w:rPr>
        <w:t xml:space="preserve"> </w:t>
      </w:r>
      <w:r w:rsidR="00417341" w:rsidRPr="00DA3EAC">
        <w:rPr>
          <w:rFonts w:ascii="Arial" w:eastAsia="Times New Roman" w:hAnsi="Arial" w:cs="Arial"/>
          <w:sz w:val="24"/>
          <w:szCs w:val="24"/>
          <w:lang w:eastAsia="es-CO"/>
        </w:rPr>
        <w:t>154</w:t>
      </w:r>
      <w:r w:rsidR="0052252D">
        <w:rPr>
          <w:rFonts w:ascii="Arial" w:eastAsia="Times New Roman" w:hAnsi="Arial" w:cs="Arial"/>
          <w:sz w:val="24"/>
          <w:szCs w:val="24"/>
          <w:lang w:eastAsia="es-CO"/>
        </w:rPr>
        <w:t>6</w:t>
      </w:r>
      <w:r w:rsidR="00417341" w:rsidRPr="00DA3EAC">
        <w:rPr>
          <w:rFonts w:ascii="Arial" w:eastAsia="Times New Roman" w:hAnsi="Arial" w:cs="Arial"/>
          <w:sz w:val="24"/>
          <w:szCs w:val="24"/>
          <w:lang w:eastAsia="es-CO"/>
        </w:rPr>
        <w:t xml:space="preserve"> de 9 de noviembre de 2006, se realizó bajo el estricto cumplimiento de las normas contenidas en </w:t>
      </w:r>
      <w:r w:rsidR="00B23EE5" w:rsidRPr="00DA3EAC">
        <w:rPr>
          <w:rFonts w:ascii="Arial" w:eastAsia="Times New Roman" w:hAnsi="Arial" w:cs="Arial"/>
          <w:sz w:val="24"/>
          <w:szCs w:val="24"/>
          <w:lang w:eastAsia="es-CO"/>
        </w:rPr>
        <w:t>la convención colectiva de trabajo suscrita entre el Instituto de Seguros Sociales y el Sindicato Nacional de Trabajadores de la Seguridad Social.</w:t>
      </w:r>
    </w:p>
    <w:p w14:paraId="6102E62A" w14:textId="77777777" w:rsidR="00B23EE5" w:rsidRPr="00DA3EAC" w:rsidRDefault="00B23EE5" w:rsidP="00DA3EAC">
      <w:pPr>
        <w:spacing w:after="0"/>
        <w:jc w:val="both"/>
        <w:textAlignment w:val="baseline"/>
        <w:rPr>
          <w:rFonts w:ascii="Arial" w:eastAsia="Times New Roman" w:hAnsi="Arial" w:cs="Arial"/>
          <w:sz w:val="24"/>
          <w:szCs w:val="24"/>
          <w:lang w:eastAsia="es-CO"/>
        </w:rPr>
      </w:pPr>
    </w:p>
    <w:p w14:paraId="4CFA6087" w14:textId="793F96C7" w:rsidR="00495D2B" w:rsidRPr="00DA3EAC" w:rsidRDefault="00B23EE5"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Al verificar el contenido del referido acto administrativo </w:t>
      </w:r>
      <w:r w:rsidR="006037C4" w:rsidRPr="00DA3EAC">
        <w:rPr>
          <w:rFonts w:ascii="Arial" w:eastAsia="Times New Roman" w:hAnsi="Arial" w:cs="Arial"/>
          <w:sz w:val="24"/>
          <w:szCs w:val="24"/>
          <w:lang w:eastAsia="es-CO"/>
        </w:rPr>
        <w:t xml:space="preserve">allegado por la entidad </w:t>
      </w:r>
      <w:r w:rsidR="00B04CB6" w:rsidRPr="00DA3EAC">
        <w:rPr>
          <w:rFonts w:ascii="Arial" w:eastAsia="Times New Roman" w:hAnsi="Arial" w:cs="Arial"/>
          <w:sz w:val="24"/>
          <w:szCs w:val="24"/>
          <w:lang w:eastAsia="es-CO"/>
        </w:rPr>
        <w:t xml:space="preserve">accionada -págs.143 a </w:t>
      </w:r>
      <w:r w:rsidR="00227E3E" w:rsidRPr="00DA3EAC">
        <w:rPr>
          <w:rFonts w:ascii="Arial" w:eastAsia="Times New Roman" w:hAnsi="Arial" w:cs="Arial"/>
          <w:sz w:val="24"/>
          <w:szCs w:val="24"/>
          <w:lang w:eastAsia="es-CO"/>
        </w:rPr>
        <w:t>149 archivo 48 carpeta primera instancia-</w:t>
      </w:r>
      <w:r w:rsidR="002624DC" w:rsidRPr="00DA3EAC">
        <w:rPr>
          <w:rFonts w:ascii="Arial" w:eastAsia="Times New Roman" w:hAnsi="Arial" w:cs="Arial"/>
          <w:sz w:val="24"/>
          <w:szCs w:val="24"/>
          <w:lang w:eastAsia="es-CO"/>
        </w:rPr>
        <w:t>, se evidencia que a la señora María Dolores Alzate de Herrera</w:t>
      </w:r>
      <w:r w:rsidR="00CA4272" w:rsidRPr="00DA3EAC">
        <w:rPr>
          <w:rFonts w:ascii="Arial" w:eastAsia="Times New Roman" w:hAnsi="Arial" w:cs="Arial"/>
          <w:sz w:val="24"/>
          <w:szCs w:val="24"/>
          <w:lang w:eastAsia="es-CO"/>
        </w:rPr>
        <w:t>, en su calidad de trabajadora oficial, se le reconoce la pensión de jubilación convencional</w:t>
      </w:r>
      <w:r w:rsidR="00FB5621" w:rsidRPr="00DA3EAC">
        <w:rPr>
          <w:rFonts w:ascii="Arial" w:eastAsia="Times New Roman" w:hAnsi="Arial" w:cs="Arial"/>
          <w:sz w:val="24"/>
          <w:szCs w:val="24"/>
          <w:lang w:eastAsia="es-CO"/>
        </w:rPr>
        <w:t xml:space="preserve"> a partir del 7 de noviembre de 2006</w:t>
      </w:r>
      <w:r w:rsidR="00A0584C" w:rsidRPr="00DA3EAC">
        <w:rPr>
          <w:rFonts w:ascii="Arial" w:eastAsia="Times New Roman" w:hAnsi="Arial" w:cs="Arial"/>
          <w:sz w:val="24"/>
          <w:szCs w:val="24"/>
          <w:lang w:eastAsia="es-CO"/>
        </w:rPr>
        <w:t xml:space="preserve"> en cuantía mensual equivalente a la suma de $1.150.803</w:t>
      </w:r>
      <w:r w:rsidR="00495D2B" w:rsidRPr="00DA3EAC">
        <w:rPr>
          <w:rFonts w:ascii="Arial" w:eastAsia="Times New Roman" w:hAnsi="Arial" w:cs="Arial"/>
          <w:sz w:val="24"/>
          <w:szCs w:val="24"/>
          <w:lang w:eastAsia="es-CO"/>
        </w:rPr>
        <w:t xml:space="preserve"> y por 14 mesadas anuales</w:t>
      </w:r>
      <w:r w:rsidR="00193022" w:rsidRPr="00DA3EAC">
        <w:rPr>
          <w:rFonts w:ascii="Arial" w:eastAsia="Times New Roman" w:hAnsi="Arial" w:cs="Arial"/>
          <w:sz w:val="24"/>
          <w:szCs w:val="24"/>
          <w:lang w:eastAsia="es-CO"/>
        </w:rPr>
        <w:t xml:space="preserve">; decisión a la que llegó luego de aplicarle a la actora </w:t>
      </w:r>
      <w:r w:rsidR="00725DDA" w:rsidRPr="00DA3EAC">
        <w:rPr>
          <w:rFonts w:ascii="Arial" w:eastAsia="Times New Roman" w:hAnsi="Arial" w:cs="Arial"/>
          <w:sz w:val="24"/>
          <w:szCs w:val="24"/>
          <w:lang w:eastAsia="es-CO"/>
        </w:rPr>
        <w:t>lo dispuesto en el artículo 101 de la convención colectiva de trabajo suscrita entre el ISS y SINTRASEGURIDADSOCIAL</w:t>
      </w:r>
      <w:r w:rsidR="008C4AC3" w:rsidRPr="00DA3EAC">
        <w:rPr>
          <w:rFonts w:ascii="Arial" w:eastAsia="Times New Roman" w:hAnsi="Arial" w:cs="Arial"/>
          <w:sz w:val="24"/>
          <w:szCs w:val="24"/>
          <w:lang w:eastAsia="es-CO"/>
        </w:rPr>
        <w:t>, al considerar que la señora Alzate de Herrera, además de acreditar los cincuenta (50) años de edad</w:t>
      </w:r>
      <w:r w:rsidR="0021732C" w:rsidRPr="00DA3EAC">
        <w:rPr>
          <w:rFonts w:ascii="Arial" w:eastAsia="Times New Roman" w:hAnsi="Arial" w:cs="Arial"/>
          <w:sz w:val="24"/>
          <w:szCs w:val="24"/>
          <w:lang w:eastAsia="es-CO"/>
        </w:rPr>
        <w:t xml:space="preserve">, acumula tiempos de servicios en el Instituto de Seguros Sociales y otra entidad </w:t>
      </w:r>
      <w:r w:rsidR="00DE3136" w:rsidRPr="00DA3EAC">
        <w:rPr>
          <w:rFonts w:ascii="Arial" w:eastAsia="Times New Roman" w:hAnsi="Arial" w:cs="Arial"/>
          <w:sz w:val="24"/>
          <w:szCs w:val="24"/>
          <w:lang w:eastAsia="es-CO"/>
        </w:rPr>
        <w:t>de derecho público, más concretamente</w:t>
      </w:r>
      <w:r w:rsidR="009E65C0" w:rsidRPr="00DA3EAC">
        <w:rPr>
          <w:rFonts w:ascii="Arial" w:eastAsia="Times New Roman" w:hAnsi="Arial" w:cs="Arial"/>
          <w:sz w:val="24"/>
          <w:szCs w:val="24"/>
          <w:lang w:eastAsia="es-CO"/>
        </w:rPr>
        <w:t xml:space="preserve"> en</w:t>
      </w:r>
      <w:r w:rsidR="00DE3136" w:rsidRPr="00DA3EAC">
        <w:rPr>
          <w:rFonts w:ascii="Arial" w:eastAsia="Times New Roman" w:hAnsi="Arial" w:cs="Arial"/>
          <w:sz w:val="24"/>
          <w:szCs w:val="24"/>
          <w:lang w:eastAsia="es-CO"/>
        </w:rPr>
        <w:t xml:space="preserve"> la ESE Rita </w:t>
      </w:r>
      <w:r w:rsidR="009E65C0" w:rsidRPr="00DA3EAC">
        <w:rPr>
          <w:rFonts w:ascii="Arial" w:eastAsia="Times New Roman" w:hAnsi="Arial" w:cs="Arial"/>
          <w:sz w:val="24"/>
          <w:szCs w:val="24"/>
          <w:lang w:eastAsia="es-CO"/>
        </w:rPr>
        <w:t>Arango Álvarez del Pino.</w:t>
      </w:r>
    </w:p>
    <w:p w14:paraId="45661F8F" w14:textId="77777777" w:rsidR="002260F6" w:rsidRPr="00DA3EAC" w:rsidRDefault="002260F6" w:rsidP="00DA3EAC">
      <w:pPr>
        <w:spacing w:after="0"/>
        <w:jc w:val="both"/>
        <w:textAlignment w:val="baseline"/>
        <w:rPr>
          <w:rFonts w:ascii="Arial" w:eastAsia="Times New Roman" w:hAnsi="Arial" w:cs="Arial"/>
          <w:sz w:val="24"/>
          <w:szCs w:val="24"/>
          <w:lang w:eastAsia="es-CO"/>
        </w:rPr>
      </w:pPr>
    </w:p>
    <w:p w14:paraId="12F79981" w14:textId="73222EE0" w:rsidR="002260F6" w:rsidRPr="00DA3EAC" w:rsidRDefault="002260F6"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En efecto, al revisar ese acto administrativo, se observa que la señora María Dolores Alzate de Herrera </w:t>
      </w:r>
      <w:r w:rsidR="00136A41" w:rsidRPr="00DA3EAC">
        <w:rPr>
          <w:rFonts w:ascii="Arial" w:eastAsia="Times New Roman" w:hAnsi="Arial" w:cs="Arial"/>
          <w:sz w:val="24"/>
          <w:szCs w:val="24"/>
          <w:lang w:eastAsia="es-CO"/>
        </w:rPr>
        <w:t xml:space="preserve">acumula un total de </w:t>
      </w:r>
      <w:r w:rsidR="004A4D86" w:rsidRPr="00DA3EAC">
        <w:rPr>
          <w:rFonts w:ascii="Arial" w:eastAsia="Times New Roman" w:hAnsi="Arial" w:cs="Arial"/>
          <w:sz w:val="24"/>
          <w:szCs w:val="24"/>
          <w:lang w:eastAsia="es-CO"/>
        </w:rPr>
        <w:t>35 años</w:t>
      </w:r>
      <w:r w:rsidR="00270756" w:rsidRPr="00DA3EAC">
        <w:rPr>
          <w:rFonts w:ascii="Arial" w:eastAsia="Times New Roman" w:hAnsi="Arial" w:cs="Arial"/>
          <w:sz w:val="24"/>
          <w:szCs w:val="24"/>
          <w:lang w:eastAsia="es-CO"/>
        </w:rPr>
        <w:t xml:space="preserve"> 2 meses y 7 días, distribuidos de la siguiente manera: 31 años 9 meses y 26 días </w:t>
      </w:r>
      <w:r w:rsidR="00270756" w:rsidRPr="00DA3EAC">
        <w:rPr>
          <w:rFonts w:ascii="Arial" w:eastAsia="Times New Roman" w:hAnsi="Arial" w:cs="Arial"/>
          <w:b/>
          <w:bCs/>
          <w:sz w:val="24"/>
          <w:szCs w:val="24"/>
          <w:lang w:eastAsia="es-CO"/>
        </w:rPr>
        <w:t>a favor del Instituto de Seguros Sociales</w:t>
      </w:r>
      <w:r w:rsidR="00172EE1" w:rsidRPr="00DA3EAC">
        <w:rPr>
          <w:rFonts w:ascii="Arial" w:eastAsia="Times New Roman" w:hAnsi="Arial" w:cs="Arial"/>
          <w:sz w:val="24"/>
          <w:szCs w:val="24"/>
          <w:lang w:eastAsia="es-CO"/>
        </w:rPr>
        <w:t xml:space="preserve"> y 3 años 4 meses y 11 días a favor de la ESE Rita Arango Álvarez del Pino.</w:t>
      </w:r>
    </w:p>
    <w:p w14:paraId="569F5EB0" w14:textId="77777777" w:rsidR="00172EE1" w:rsidRPr="00DA3EAC" w:rsidRDefault="00172EE1" w:rsidP="00DA3EAC">
      <w:pPr>
        <w:spacing w:after="0"/>
        <w:jc w:val="both"/>
        <w:textAlignment w:val="baseline"/>
        <w:rPr>
          <w:rFonts w:ascii="Arial" w:eastAsia="Times New Roman" w:hAnsi="Arial" w:cs="Arial"/>
          <w:sz w:val="24"/>
          <w:szCs w:val="24"/>
          <w:lang w:eastAsia="es-CO"/>
        </w:rPr>
      </w:pPr>
    </w:p>
    <w:p w14:paraId="17FCD737" w14:textId="47AC3037" w:rsidR="00172EE1" w:rsidRPr="00DA3EAC" w:rsidRDefault="00172EE1"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Conforme con </w:t>
      </w:r>
      <w:r w:rsidR="007A08E9" w:rsidRPr="00DA3EAC">
        <w:rPr>
          <w:rFonts w:ascii="Arial" w:eastAsia="Times New Roman" w:hAnsi="Arial" w:cs="Arial"/>
          <w:sz w:val="24"/>
          <w:szCs w:val="24"/>
          <w:lang w:eastAsia="es-CO"/>
        </w:rPr>
        <w:t>el análisis hecho por la Corporación líneas atrás respecto a la obtención de la pensión de jubilación convencional</w:t>
      </w:r>
      <w:r w:rsidR="005379CE" w:rsidRPr="00DA3EAC">
        <w:rPr>
          <w:rFonts w:ascii="Arial" w:eastAsia="Times New Roman" w:hAnsi="Arial" w:cs="Arial"/>
          <w:sz w:val="24"/>
          <w:szCs w:val="24"/>
          <w:lang w:eastAsia="es-CO"/>
        </w:rPr>
        <w:t xml:space="preserve"> a favor de los trabajadores del Instituto de </w:t>
      </w:r>
      <w:r w:rsidR="005379CE" w:rsidRPr="00DA3EAC">
        <w:rPr>
          <w:rFonts w:ascii="Arial" w:eastAsia="Times New Roman" w:hAnsi="Arial" w:cs="Arial"/>
          <w:sz w:val="24"/>
          <w:szCs w:val="24"/>
          <w:lang w:eastAsia="es-CO"/>
        </w:rPr>
        <w:lastRenderedPageBreak/>
        <w:t>Seguros Sociales</w:t>
      </w:r>
      <w:r w:rsidR="0022314C" w:rsidRPr="00DA3EAC">
        <w:rPr>
          <w:rFonts w:ascii="Arial" w:eastAsia="Times New Roman" w:hAnsi="Arial" w:cs="Arial"/>
          <w:sz w:val="24"/>
          <w:szCs w:val="24"/>
          <w:lang w:eastAsia="es-CO"/>
        </w:rPr>
        <w:t>, no queda duda que el caso de la señora María Dolores Alzate de Herrera no se guiaba por lo dispuesto en el artículo 101 de la convención colectiva de trabajo suscrita entre el ISS y SINTRASEGURIDADSOCIAL</w:t>
      </w:r>
      <w:r w:rsidR="00EA5A99" w:rsidRPr="00DA3EAC">
        <w:rPr>
          <w:rFonts w:ascii="Arial" w:eastAsia="Times New Roman" w:hAnsi="Arial" w:cs="Arial"/>
          <w:sz w:val="24"/>
          <w:szCs w:val="24"/>
          <w:lang w:eastAsia="es-CO"/>
        </w:rPr>
        <w:t>, sino por lo previsto en el artículo 98 ibidem</w:t>
      </w:r>
      <w:r w:rsidR="00704ADB" w:rsidRPr="00DA3EAC">
        <w:rPr>
          <w:rFonts w:ascii="Arial" w:eastAsia="Times New Roman" w:hAnsi="Arial" w:cs="Arial"/>
          <w:sz w:val="24"/>
          <w:szCs w:val="24"/>
          <w:lang w:eastAsia="es-CO"/>
        </w:rPr>
        <w:t xml:space="preserve">; pues </w:t>
      </w:r>
      <w:bookmarkStart w:id="5" w:name="_Hlk141876455"/>
      <w:r w:rsidR="00704ADB" w:rsidRPr="00DA3EAC">
        <w:rPr>
          <w:rFonts w:ascii="Arial" w:eastAsia="Times New Roman" w:hAnsi="Arial" w:cs="Arial"/>
          <w:sz w:val="24"/>
          <w:szCs w:val="24"/>
          <w:lang w:eastAsia="es-CO"/>
        </w:rPr>
        <w:t xml:space="preserve">en este evento la entonces trabajadora oficial logró acreditar, no solamente el cumplimiento de los cincuenta años el </w:t>
      </w:r>
      <w:r w:rsidR="004C7223" w:rsidRPr="00DA3EAC">
        <w:rPr>
          <w:rFonts w:ascii="Arial" w:eastAsia="Times New Roman" w:hAnsi="Arial" w:cs="Arial"/>
          <w:sz w:val="24"/>
          <w:szCs w:val="24"/>
          <w:lang w:eastAsia="es-CO"/>
        </w:rPr>
        <w:t>3 de enero de 2006, al haber nacido en la misma calenda del año 1956 como se aprecia en el registro civil de nacimiento -pág.1 archivo 04 carpeta primera instancia-</w:t>
      </w:r>
      <w:r w:rsidR="008A4D0C" w:rsidRPr="00DA3EAC">
        <w:rPr>
          <w:rFonts w:ascii="Arial" w:eastAsia="Times New Roman" w:hAnsi="Arial" w:cs="Arial"/>
          <w:sz w:val="24"/>
          <w:szCs w:val="24"/>
          <w:lang w:eastAsia="es-CO"/>
        </w:rPr>
        <w:t>, sino también porque acreditó los veinte (20) años de servicios continuos o discontinuos prestados a favor del Instituto de Seguros Sociales</w:t>
      </w:r>
      <w:r w:rsidR="00A32D14" w:rsidRPr="00DA3EAC">
        <w:rPr>
          <w:rFonts w:ascii="Arial" w:eastAsia="Times New Roman" w:hAnsi="Arial" w:cs="Arial"/>
          <w:sz w:val="24"/>
          <w:szCs w:val="24"/>
          <w:lang w:eastAsia="es-CO"/>
        </w:rPr>
        <w:t xml:space="preserve">, por lo que no era </w:t>
      </w:r>
      <w:r w:rsidR="007C1675" w:rsidRPr="00DA3EAC">
        <w:rPr>
          <w:rFonts w:ascii="Arial" w:eastAsia="Times New Roman" w:hAnsi="Arial" w:cs="Arial"/>
          <w:sz w:val="24"/>
          <w:szCs w:val="24"/>
          <w:lang w:eastAsia="es-CO"/>
        </w:rPr>
        <w:t xml:space="preserve">procedente aplicar lo reglado en el su artículo 101, ya que en este caso no era necesario acudir a la acumulación </w:t>
      </w:r>
      <w:r w:rsidR="00463847" w:rsidRPr="00DA3EAC">
        <w:rPr>
          <w:rFonts w:ascii="Arial" w:eastAsia="Times New Roman" w:hAnsi="Arial" w:cs="Arial"/>
          <w:sz w:val="24"/>
          <w:szCs w:val="24"/>
          <w:lang w:eastAsia="es-CO"/>
        </w:rPr>
        <w:t xml:space="preserve">de tiempos de servicios </w:t>
      </w:r>
      <w:r w:rsidR="00463847" w:rsidRPr="00DA3EAC">
        <w:rPr>
          <w:rFonts w:ascii="Arial" w:eastAsia="Times New Roman" w:hAnsi="Arial" w:cs="Arial"/>
          <w:b/>
          <w:bCs/>
          <w:sz w:val="24"/>
          <w:szCs w:val="24"/>
          <w:lang w:eastAsia="es-CO"/>
        </w:rPr>
        <w:t xml:space="preserve">para </w:t>
      </w:r>
      <w:r w:rsidR="00FF12A5" w:rsidRPr="00DA3EAC">
        <w:rPr>
          <w:rFonts w:ascii="Arial" w:eastAsia="Times New Roman" w:hAnsi="Arial" w:cs="Arial"/>
          <w:b/>
          <w:bCs/>
          <w:sz w:val="24"/>
          <w:szCs w:val="24"/>
          <w:lang w:eastAsia="es-CO"/>
        </w:rPr>
        <w:t>alcanzar el tiempo requerido para poder tener derecho a la pensión de jubilación</w:t>
      </w:r>
      <w:r w:rsidR="00FF12A5" w:rsidRPr="00DA3EAC">
        <w:rPr>
          <w:rFonts w:ascii="Arial" w:eastAsia="Times New Roman" w:hAnsi="Arial" w:cs="Arial"/>
          <w:sz w:val="24"/>
          <w:szCs w:val="24"/>
          <w:lang w:eastAsia="es-CO"/>
        </w:rPr>
        <w:t xml:space="preserve">, es decir, </w:t>
      </w:r>
      <w:r w:rsidR="00AD0A56" w:rsidRPr="00DA3EAC">
        <w:rPr>
          <w:rFonts w:ascii="Arial" w:eastAsia="Times New Roman" w:hAnsi="Arial" w:cs="Arial"/>
          <w:sz w:val="24"/>
          <w:szCs w:val="24"/>
          <w:lang w:eastAsia="es-CO"/>
        </w:rPr>
        <w:t xml:space="preserve">al cumplir con el tiempo mínimo de servicios exclusivos al ISS, no había lugar a completar </w:t>
      </w:r>
      <w:r w:rsidR="0085603E" w:rsidRPr="00DA3EAC">
        <w:rPr>
          <w:rFonts w:ascii="Arial" w:eastAsia="Times New Roman" w:hAnsi="Arial" w:cs="Arial"/>
          <w:sz w:val="24"/>
          <w:szCs w:val="24"/>
          <w:lang w:eastAsia="es-CO"/>
        </w:rPr>
        <w:t xml:space="preserve">esos veinte (20) años con servicios prestados en otras entidades de </w:t>
      </w:r>
      <w:r w:rsidR="003A7CEB" w:rsidRPr="00DA3EAC">
        <w:rPr>
          <w:rFonts w:ascii="Arial" w:eastAsia="Times New Roman" w:hAnsi="Arial" w:cs="Arial"/>
          <w:sz w:val="24"/>
          <w:szCs w:val="24"/>
          <w:lang w:eastAsia="es-CO"/>
        </w:rPr>
        <w:t>derecho público</w:t>
      </w:r>
      <w:bookmarkEnd w:id="5"/>
      <w:r w:rsidR="003A7CEB" w:rsidRPr="00DA3EAC">
        <w:rPr>
          <w:rFonts w:ascii="Arial" w:eastAsia="Times New Roman" w:hAnsi="Arial" w:cs="Arial"/>
          <w:sz w:val="24"/>
          <w:szCs w:val="24"/>
          <w:lang w:eastAsia="es-CO"/>
        </w:rPr>
        <w:t>; por lo que no le asiste razón a la entidad accionada cuando sostiene que la pensión de jubilación convencional fue reconocida correctamente en la resolución N°</w:t>
      </w:r>
      <w:r w:rsidR="008B5F63">
        <w:rPr>
          <w:rFonts w:ascii="Arial" w:eastAsia="Times New Roman" w:hAnsi="Arial" w:cs="Arial"/>
          <w:sz w:val="24"/>
          <w:szCs w:val="24"/>
          <w:lang w:eastAsia="es-CO"/>
        </w:rPr>
        <w:t xml:space="preserve"> </w:t>
      </w:r>
      <w:r w:rsidR="003A7CEB" w:rsidRPr="00DA3EAC">
        <w:rPr>
          <w:rFonts w:ascii="Arial" w:eastAsia="Times New Roman" w:hAnsi="Arial" w:cs="Arial"/>
          <w:sz w:val="24"/>
          <w:szCs w:val="24"/>
          <w:lang w:eastAsia="es-CO"/>
        </w:rPr>
        <w:t>1546 de 9 de noviembre de 2006, como atinadamente lo concluyó la falladora de primera instancia</w:t>
      </w:r>
      <w:r w:rsidR="00D117BE" w:rsidRPr="00DA3EAC">
        <w:rPr>
          <w:rFonts w:ascii="Arial" w:eastAsia="Times New Roman" w:hAnsi="Arial" w:cs="Arial"/>
          <w:sz w:val="24"/>
          <w:szCs w:val="24"/>
          <w:lang w:eastAsia="es-CO"/>
        </w:rPr>
        <w:t>, lo que conlleva a resolver desfavorablemente el recurso de apelación interpuesto por la UGPP.</w:t>
      </w:r>
    </w:p>
    <w:p w14:paraId="70450781" w14:textId="77777777" w:rsidR="00D117BE" w:rsidRPr="00DA3EAC" w:rsidRDefault="00D117BE" w:rsidP="00DA3EAC">
      <w:pPr>
        <w:spacing w:after="0"/>
        <w:jc w:val="both"/>
        <w:textAlignment w:val="baseline"/>
        <w:rPr>
          <w:rFonts w:ascii="Arial" w:eastAsia="Times New Roman" w:hAnsi="Arial" w:cs="Arial"/>
          <w:sz w:val="24"/>
          <w:szCs w:val="24"/>
          <w:lang w:eastAsia="es-CO"/>
        </w:rPr>
      </w:pPr>
    </w:p>
    <w:p w14:paraId="2FFF58DD" w14:textId="17604683" w:rsidR="00564871" w:rsidRPr="00DA3EAC" w:rsidRDefault="00D117BE"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En atención al grado jurisdiccional de consulta dispuesto a favor de la entidad accionada, se </w:t>
      </w:r>
      <w:r w:rsidR="00564871" w:rsidRPr="00DA3EAC">
        <w:rPr>
          <w:rFonts w:ascii="Arial" w:eastAsia="Times New Roman" w:hAnsi="Arial" w:cs="Arial"/>
          <w:sz w:val="24"/>
          <w:szCs w:val="24"/>
          <w:lang w:eastAsia="es-CO"/>
        </w:rPr>
        <w:t>estudiará</w:t>
      </w:r>
      <w:r w:rsidRPr="00DA3EAC">
        <w:rPr>
          <w:rFonts w:ascii="Arial" w:eastAsia="Times New Roman" w:hAnsi="Arial" w:cs="Arial"/>
          <w:sz w:val="24"/>
          <w:szCs w:val="24"/>
          <w:lang w:eastAsia="es-CO"/>
        </w:rPr>
        <w:t xml:space="preserve"> si </w:t>
      </w:r>
      <w:r w:rsidR="00732E76" w:rsidRPr="00DA3EAC">
        <w:rPr>
          <w:rFonts w:ascii="Arial" w:eastAsia="Times New Roman" w:hAnsi="Arial" w:cs="Arial"/>
          <w:sz w:val="24"/>
          <w:szCs w:val="24"/>
          <w:lang w:eastAsia="es-CO"/>
        </w:rPr>
        <w:t xml:space="preserve">la </w:t>
      </w:r>
      <w:r w:rsidR="00732E76" w:rsidRPr="00DA3EAC">
        <w:rPr>
          <w:rFonts w:ascii="Arial" w:eastAsia="Times New Roman" w:hAnsi="Arial" w:cs="Arial"/>
          <w:i/>
          <w:iCs/>
          <w:sz w:val="24"/>
          <w:szCs w:val="24"/>
          <w:lang w:eastAsia="es-CO"/>
        </w:rPr>
        <w:t xml:space="preserve">a quo </w:t>
      </w:r>
      <w:r w:rsidR="00732E76" w:rsidRPr="00DA3EAC">
        <w:rPr>
          <w:rFonts w:ascii="Arial" w:eastAsia="Times New Roman" w:hAnsi="Arial" w:cs="Arial"/>
          <w:sz w:val="24"/>
          <w:szCs w:val="24"/>
          <w:lang w:eastAsia="es-CO"/>
        </w:rPr>
        <w:t xml:space="preserve">reajustó correctamente la pensión de jubilación convencional a favor de la señora María Dolores </w:t>
      </w:r>
      <w:r w:rsidR="00564871" w:rsidRPr="00DA3EAC">
        <w:rPr>
          <w:rFonts w:ascii="Arial" w:eastAsia="Times New Roman" w:hAnsi="Arial" w:cs="Arial"/>
          <w:sz w:val="24"/>
          <w:szCs w:val="24"/>
          <w:lang w:eastAsia="es-CO"/>
        </w:rPr>
        <w:t>Alzate de Herrera.</w:t>
      </w:r>
    </w:p>
    <w:p w14:paraId="6A2CFACB" w14:textId="77777777" w:rsidR="00564871" w:rsidRPr="00DA3EAC" w:rsidRDefault="00564871" w:rsidP="00DA3EAC">
      <w:pPr>
        <w:spacing w:after="0"/>
        <w:jc w:val="both"/>
        <w:textAlignment w:val="baseline"/>
        <w:rPr>
          <w:rFonts w:ascii="Arial" w:eastAsia="Times New Roman" w:hAnsi="Arial" w:cs="Arial"/>
          <w:sz w:val="24"/>
          <w:szCs w:val="24"/>
          <w:lang w:eastAsia="es-CO"/>
        </w:rPr>
      </w:pPr>
    </w:p>
    <w:p w14:paraId="0353E99C" w14:textId="1EABBB01" w:rsidR="00564871" w:rsidRPr="00DA3EAC" w:rsidRDefault="00564871"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Como la prestación económica fue reconocida dentro del periodo comprendido entre el 1° de enero de 2002 y el 31 de diciembre de 2006, más concretamente a partir del 7 de noviembre de 2006, de acuerdo con lo establecido en el </w:t>
      </w:r>
      <w:r w:rsidR="00BE5D4E" w:rsidRPr="00DA3EAC">
        <w:rPr>
          <w:rFonts w:ascii="Arial" w:eastAsia="Times New Roman" w:hAnsi="Arial" w:cs="Arial"/>
          <w:sz w:val="24"/>
          <w:szCs w:val="24"/>
          <w:lang w:eastAsia="es-CO"/>
        </w:rPr>
        <w:t xml:space="preserve">mencionado artículo 98 de la convención colectiva de trabajo, tiene derecho la señora María Dolores </w:t>
      </w:r>
      <w:r w:rsidR="00DF09FE" w:rsidRPr="00DA3EAC">
        <w:rPr>
          <w:rFonts w:ascii="Arial" w:eastAsia="Times New Roman" w:hAnsi="Arial" w:cs="Arial"/>
          <w:sz w:val="24"/>
          <w:szCs w:val="24"/>
          <w:lang w:eastAsia="es-CO"/>
        </w:rPr>
        <w:t xml:space="preserve">Alzate de Herrera a que se le liquide la pensión con el </w:t>
      </w:r>
      <w:r w:rsidR="00226B6B" w:rsidRPr="00DA3EAC">
        <w:rPr>
          <w:rFonts w:ascii="Arial" w:eastAsia="Times New Roman" w:hAnsi="Arial" w:cs="Arial"/>
          <w:sz w:val="24"/>
          <w:szCs w:val="24"/>
          <w:lang w:eastAsia="es-CO"/>
        </w:rPr>
        <w:t>100% del promedio de los salarios devengados en los dos últimos años de servicios, teniendo en cuenta para ello la asignación básica mensual, la</w:t>
      </w:r>
      <w:r w:rsidR="00E347D8" w:rsidRPr="00DA3EAC">
        <w:rPr>
          <w:rFonts w:ascii="Arial" w:eastAsia="Times New Roman" w:hAnsi="Arial" w:cs="Arial"/>
          <w:sz w:val="24"/>
          <w:szCs w:val="24"/>
          <w:lang w:eastAsia="es-CO"/>
        </w:rPr>
        <w:t>s</w:t>
      </w:r>
      <w:r w:rsidR="00226B6B" w:rsidRPr="00DA3EAC">
        <w:rPr>
          <w:rFonts w:ascii="Arial" w:eastAsia="Times New Roman" w:hAnsi="Arial" w:cs="Arial"/>
          <w:sz w:val="24"/>
          <w:szCs w:val="24"/>
          <w:lang w:eastAsia="es-CO"/>
        </w:rPr>
        <w:t xml:space="preserve"> prima</w:t>
      </w:r>
      <w:r w:rsidR="00E347D8" w:rsidRPr="00DA3EAC">
        <w:rPr>
          <w:rFonts w:ascii="Arial" w:eastAsia="Times New Roman" w:hAnsi="Arial" w:cs="Arial"/>
          <w:sz w:val="24"/>
          <w:szCs w:val="24"/>
          <w:lang w:eastAsia="es-CO"/>
        </w:rPr>
        <w:t>s</w:t>
      </w:r>
      <w:r w:rsidR="00226B6B" w:rsidRPr="00DA3EAC">
        <w:rPr>
          <w:rFonts w:ascii="Arial" w:eastAsia="Times New Roman" w:hAnsi="Arial" w:cs="Arial"/>
          <w:sz w:val="24"/>
          <w:szCs w:val="24"/>
          <w:lang w:eastAsia="es-CO"/>
        </w:rPr>
        <w:t xml:space="preserve"> de servicios y </w:t>
      </w:r>
      <w:r w:rsidR="00E347D8" w:rsidRPr="00DA3EAC">
        <w:rPr>
          <w:rFonts w:ascii="Arial" w:eastAsia="Times New Roman" w:hAnsi="Arial" w:cs="Arial"/>
          <w:sz w:val="24"/>
          <w:szCs w:val="24"/>
          <w:lang w:eastAsia="es-CO"/>
        </w:rPr>
        <w:t xml:space="preserve">de </w:t>
      </w:r>
      <w:r w:rsidR="00226B6B" w:rsidRPr="00DA3EAC">
        <w:rPr>
          <w:rFonts w:ascii="Arial" w:eastAsia="Times New Roman" w:hAnsi="Arial" w:cs="Arial"/>
          <w:sz w:val="24"/>
          <w:szCs w:val="24"/>
          <w:lang w:eastAsia="es-CO"/>
        </w:rPr>
        <w:t>vacaciones</w:t>
      </w:r>
      <w:r w:rsidR="001709F8" w:rsidRPr="00DA3EAC">
        <w:rPr>
          <w:rFonts w:ascii="Arial" w:eastAsia="Times New Roman" w:hAnsi="Arial" w:cs="Arial"/>
          <w:sz w:val="24"/>
          <w:szCs w:val="24"/>
          <w:lang w:eastAsia="es-CO"/>
        </w:rPr>
        <w:t xml:space="preserve">, los auxilios de alimentación y transporte, el valor del trabajo nocturno, suplementario y en horas extras, así como el valor del trabajo en días dominicales y festivos; tarea para la cual se tendrá en cuenta </w:t>
      </w:r>
      <w:r w:rsidR="00DF4993" w:rsidRPr="00DA3EAC">
        <w:rPr>
          <w:rFonts w:ascii="Arial" w:eastAsia="Times New Roman" w:hAnsi="Arial" w:cs="Arial"/>
          <w:sz w:val="24"/>
          <w:szCs w:val="24"/>
          <w:lang w:eastAsia="es-CO"/>
        </w:rPr>
        <w:t xml:space="preserve">las certificaciones de salarios y factores salariales emitido </w:t>
      </w:r>
      <w:r w:rsidR="000E7370" w:rsidRPr="00DA3EAC">
        <w:rPr>
          <w:rFonts w:ascii="Arial" w:eastAsia="Times New Roman" w:hAnsi="Arial" w:cs="Arial"/>
          <w:sz w:val="24"/>
          <w:szCs w:val="24"/>
          <w:lang w:eastAsia="es-CO"/>
        </w:rPr>
        <w:t>por la División de Recursos Humanos del otrora ISS -pág.</w:t>
      </w:r>
      <w:r w:rsidR="004B5C8C" w:rsidRPr="00DA3EAC">
        <w:rPr>
          <w:rFonts w:ascii="Arial" w:eastAsia="Times New Roman" w:hAnsi="Arial" w:cs="Arial"/>
          <w:sz w:val="24"/>
          <w:szCs w:val="24"/>
          <w:lang w:eastAsia="es-CO"/>
        </w:rPr>
        <w:t xml:space="preserve">204 a </w:t>
      </w:r>
      <w:r w:rsidR="0063583F" w:rsidRPr="00DA3EAC">
        <w:rPr>
          <w:rFonts w:ascii="Arial" w:eastAsia="Times New Roman" w:hAnsi="Arial" w:cs="Arial"/>
          <w:sz w:val="24"/>
          <w:szCs w:val="24"/>
          <w:lang w:eastAsia="es-CO"/>
        </w:rPr>
        <w:t>205</w:t>
      </w:r>
      <w:r w:rsidR="00FD4ADE" w:rsidRPr="00DA3EAC">
        <w:rPr>
          <w:rFonts w:ascii="Arial" w:eastAsia="Times New Roman" w:hAnsi="Arial" w:cs="Arial"/>
          <w:sz w:val="24"/>
          <w:szCs w:val="24"/>
          <w:lang w:eastAsia="es-CO"/>
        </w:rPr>
        <w:t xml:space="preserve"> archivo 48 carpeta primera instancia-, los cuales se replicarán en la siguiente tabla:</w:t>
      </w:r>
    </w:p>
    <w:p w14:paraId="4F809CA7" w14:textId="77777777" w:rsidR="00FD4ADE" w:rsidRPr="00DA3EAC" w:rsidRDefault="00FD4ADE" w:rsidP="00DA3EAC">
      <w:pPr>
        <w:spacing w:after="0"/>
        <w:jc w:val="both"/>
        <w:textAlignment w:val="baseline"/>
        <w:rPr>
          <w:rFonts w:ascii="Arial" w:eastAsia="Times New Roman" w:hAnsi="Arial" w:cs="Arial"/>
          <w:sz w:val="24"/>
          <w:szCs w:val="24"/>
          <w:lang w:eastAsia="es-CO"/>
        </w:rPr>
      </w:pPr>
    </w:p>
    <w:tbl>
      <w:tblPr>
        <w:tblStyle w:val="Tablaconcuadrcula"/>
        <w:tblW w:w="5000" w:type="pct"/>
        <w:jc w:val="center"/>
        <w:tblLook w:val="04A0" w:firstRow="1" w:lastRow="0" w:firstColumn="1" w:lastColumn="0" w:noHBand="0" w:noVBand="1"/>
      </w:tblPr>
      <w:tblGrid>
        <w:gridCol w:w="1079"/>
        <w:gridCol w:w="582"/>
        <w:gridCol w:w="1280"/>
        <w:gridCol w:w="1243"/>
        <w:gridCol w:w="1145"/>
        <w:gridCol w:w="1145"/>
        <w:gridCol w:w="1394"/>
        <w:gridCol w:w="1189"/>
      </w:tblGrid>
      <w:tr w:rsidR="00317156" w:rsidRPr="008C2D2D" w14:paraId="04DAD304" w14:textId="77777777" w:rsidTr="00DD34A1">
        <w:trPr>
          <w:jc w:val="center"/>
        </w:trPr>
        <w:tc>
          <w:tcPr>
            <w:tcW w:w="598" w:type="pct"/>
          </w:tcPr>
          <w:p w14:paraId="0EC62F75" w14:textId="6A0E99C8" w:rsidR="008E72E6" w:rsidRPr="008C2D2D" w:rsidRDefault="001D3430"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Periodo</w:t>
            </w:r>
          </w:p>
        </w:tc>
        <w:tc>
          <w:tcPr>
            <w:tcW w:w="323" w:type="pct"/>
          </w:tcPr>
          <w:p w14:paraId="6417659B" w14:textId="5A4707C1" w:rsidR="008E72E6" w:rsidRPr="008C2D2D" w:rsidRDefault="001D3430"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Días</w:t>
            </w:r>
          </w:p>
        </w:tc>
        <w:tc>
          <w:tcPr>
            <w:tcW w:w="694" w:type="pct"/>
          </w:tcPr>
          <w:p w14:paraId="70A1DDCC" w14:textId="37485F82" w:rsidR="008E72E6" w:rsidRPr="008C2D2D" w:rsidRDefault="001D3430"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Asignación</w:t>
            </w:r>
            <w:r w:rsidR="00FA3FBE" w:rsidRPr="008C2D2D">
              <w:rPr>
                <w:rFonts w:ascii="Agency FB" w:eastAsia="Times New Roman" w:hAnsi="Agency FB" w:cs="Arial"/>
                <w:b/>
                <w:bCs/>
                <w:sz w:val="24"/>
                <w:szCs w:val="24"/>
                <w:lang w:eastAsia="es-CO"/>
              </w:rPr>
              <w:t xml:space="preserve"> Básica</w:t>
            </w:r>
          </w:p>
        </w:tc>
        <w:tc>
          <w:tcPr>
            <w:tcW w:w="688" w:type="pct"/>
          </w:tcPr>
          <w:p w14:paraId="0CC6C9EF" w14:textId="51075569" w:rsidR="008E72E6" w:rsidRPr="008C2D2D" w:rsidRDefault="00FA3FBE"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Prima Vac</w:t>
            </w:r>
            <w:r w:rsidR="00840D8C" w:rsidRPr="008C2D2D">
              <w:rPr>
                <w:rFonts w:ascii="Agency FB" w:eastAsia="Times New Roman" w:hAnsi="Agency FB" w:cs="Arial"/>
                <w:b/>
                <w:bCs/>
                <w:sz w:val="24"/>
                <w:szCs w:val="24"/>
                <w:lang w:eastAsia="es-CO"/>
              </w:rPr>
              <w:t>aciones</w:t>
            </w:r>
          </w:p>
        </w:tc>
        <w:tc>
          <w:tcPr>
            <w:tcW w:w="634" w:type="pct"/>
          </w:tcPr>
          <w:p w14:paraId="413D7BD0" w14:textId="0EE117A7" w:rsidR="008E72E6" w:rsidRPr="008C2D2D" w:rsidRDefault="00840D8C"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Prima Ser. Legal</w:t>
            </w:r>
          </w:p>
        </w:tc>
        <w:tc>
          <w:tcPr>
            <w:tcW w:w="634" w:type="pct"/>
          </w:tcPr>
          <w:p w14:paraId="6EC3B7EC" w14:textId="53DF557D" w:rsidR="008E72E6" w:rsidRPr="008C2D2D" w:rsidRDefault="00840D8C"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Prima Ser. Extralegal</w:t>
            </w:r>
          </w:p>
        </w:tc>
        <w:tc>
          <w:tcPr>
            <w:tcW w:w="771" w:type="pct"/>
          </w:tcPr>
          <w:p w14:paraId="6573BF02" w14:textId="356F36E4" w:rsidR="008E72E6" w:rsidRPr="008C2D2D" w:rsidRDefault="00317156"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Aux. Alimentación</w:t>
            </w:r>
          </w:p>
        </w:tc>
        <w:tc>
          <w:tcPr>
            <w:tcW w:w="658" w:type="pct"/>
          </w:tcPr>
          <w:p w14:paraId="2473ADAF" w14:textId="05DBCD86" w:rsidR="008E72E6" w:rsidRPr="008C2D2D" w:rsidRDefault="00317156" w:rsidP="008C2D2D">
            <w:pPr>
              <w:spacing w:after="0" w:line="240" w:lineRule="auto"/>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Aux. Transporte</w:t>
            </w:r>
          </w:p>
        </w:tc>
      </w:tr>
      <w:tr w:rsidR="00317156" w:rsidRPr="008C2D2D" w14:paraId="1F60EF46" w14:textId="77777777" w:rsidTr="00DD34A1">
        <w:trPr>
          <w:jc w:val="center"/>
        </w:trPr>
        <w:tc>
          <w:tcPr>
            <w:tcW w:w="598" w:type="pct"/>
          </w:tcPr>
          <w:p w14:paraId="59DDFC05" w14:textId="1182399C" w:rsidR="008E72E6" w:rsidRPr="008C2D2D" w:rsidRDefault="00A84AFC"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Nov-04</w:t>
            </w:r>
          </w:p>
        </w:tc>
        <w:tc>
          <w:tcPr>
            <w:tcW w:w="323" w:type="pct"/>
          </w:tcPr>
          <w:p w14:paraId="341A352B" w14:textId="3F25A9B3" w:rsidR="008E72E6" w:rsidRPr="008C2D2D" w:rsidRDefault="00A84AF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24</w:t>
            </w:r>
          </w:p>
        </w:tc>
        <w:tc>
          <w:tcPr>
            <w:tcW w:w="694" w:type="pct"/>
          </w:tcPr>
          <w:p w14:paraId="6C7674EE" w14:textId="796D01A2" w:rsidR="008E72E6" w:rsidRPr="008C2D2D" w:rsidRDefault="0079784A"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$1.023.523</w:t>
            </w:r>
          </w:p>
        </w:tc>
        <w:tc>
          <w:tcPr>
            <w:tcW w:w="688" w:type="pct"/>
          </w:tcPr>
          <w:p w14:paraId="1770C526" w14:textId="14C0EC62" w:rsidR="008E72E6" w:rsidRPr="008C2D2D" w:rsidRDefault="0071688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EC6A3A" w:rsidRPr="008C2D2D">
              <w:rPr>
                <w:rFonts w:ascii="Agency FB" w:eastAsia="Times New Roman" w:hAnsi="Agency FB" w:cs="Arial"/>
                <w:sz w:val="24"/>
                <w:szCs w:val="24"/>
                <w:lang w:eastAsia="es-CO"/>
              </w:rPr>
              <w:t>531.902</w:t>
            </w:r>
          </w:p>
        </w:tc>
        <w:tc>
          <w:tcPr>
            <w:tcW w:w="634" w:type="pct"/>
          </w:tcPr>
          <w:p w14:paraId="5C4811DA" w14:textId="77777777" w:rsidR="008E72E6" w:rsidRPr="008C2D2D" w:rsidRDefault="008E72E6" w:rsidP="008C2D2D">
            <w:pPr>
              <w:spacing w:after="0"/>
              <w:jc w:val="center"/>
              <w:textAlignment w:val="baseline"/>
              <w:rPr>
                <w:rFonts w:ascii="Agency FB" w:eastAsia="Times New Roman" w:hAnsi="Agency FB" w:cs="Arial"/>
                <w:sz w:val="24"/>
                <w:szCs w:val="24"/>
                <w:lang w:eastAsia="es-CO"/>
              </w:rPr>
            </w:pPr>
          </w:p>
        </w:tc>
        <w:tc>
          <w:tcPr>
            <w:tcW w:w="634" w:type="pct"/>
          </w:tcPr>
          <w:p w14:paraId="53E1CA3C" w14:textId="77777777" w:rsidR="008E72E6" w:rsidRPr="008C2D2D" w:rsidRDefault="008E72E6" w:rsidP="008C2D2D">
            <w:pPr>
              <w:spacing w:after="0"/>
              <w:jc w:val="center"/>
              <w:textAlignment w:val="baseline"/>
              <w:rPr>
                <w:rFonts w:ascii="Agency FB" w:eastAsia="Times New Roman" w:hAnsi="Agency FB" w:cs="Arial"/>
                <w:sz w:val="24"/>
                <w:szCs w:val="24"/>
                <w:lang w:eastAsia="es-CO"/>
              </w:rPr>
            </w:pPr>
          </w:p>
        </w:tc>
        <w:tc>
          <w:tcPr>
            <w:tcW w:w="771" w:type="pct"/>
          </w:tcPr>
          <w:p w14:paraId="18184B2C" w14:textId="2D1C561B" w:rsidR="008E72E6" w:rsidRPr="008C2D2D" w:rsidRDefault="00A51629"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708959F" w14:textId="4D02E5D1" w:rsidR="008E72E6" w:rsidRPr="008C2D2D" w:rsidRDefault="00A51629"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317156" w:rsidRPr="008C2D2D" w14:paraId="43E1CAF3" w14:textId="77777777" w:rsidTr="00DD34A1">
        <w:trPr>
          <w:jc w:val="center"/>
        </w:trPr>
        <w:tc>
          <w:tcPr>
            <w:tcW w:w="598" w:type="pct"/>
          </w:tcPr>
          <w:p w14:paraId="64C8034E" w14:textId="43B6F51F" w:rsidR="008E72E6" w:rsidRPr="008C2D2D" w:rsidRDefault="00A84AFC"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Dic-04</w:t>
            </w:r>
          </w:p>
        </w:tc>
        <w:tc>
          <w:tcPr>
            <w:tcW w:w="323" w:type="pct"/>
          </w:tcPr>
          <w:p w14:paraId="6833ADFC" w14:textId="7B420E31" w:rsidR="008E72E6" w:rsidRPr="008C2D2D" w:rsidRDefault="0019138F"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1A696E8" w14:textId="54B493A0" w:rsidR="008E72E6" w:rsidRPr="008C2D2D" w:rsidRDefault="00925C33"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$1.023.523</w:t>
            </w:r>
          </w:p>
        </w:tc>
        <w:tc>
          <w:tcPr>
            <w:tcW w:w="688" w:type="pct"/>
          </w:tcPr>
          <w:p w14:paraId="0EF80D83" w14:textId="77777777" w:rsidR="008E72E6" w:rsidRPr="008C2D2D" w:rsidRDefault="008E72E6" w:rsidP="008C2D2D">
            <w:pPr>
              <w:spacing w:after="0"/>
              <w:jc w:val="center"/>
              <w:textAlignment w:val="baseline"/>
              <w:rPr>
                <w:rFonts w:ascii="Agency FB" w:eastAsia="Times New Roman" w:hAnsi="Agency FB" w:cs="Arial"/>
                <w:sz w:val="24"/>
                <w:szCs w:val="24"/>
                <w:lang w:eastAsia="es-CO"/>
              </w:rPr>
            </w:pPr>
          </w:p>
        </w:tc>
        <w:tc>
          <w:tcPr>
            <w:tcW w:w="634" w:type="pct"/>
          </w:tcPr>
          <w:p w14:paraId="5D2B1C27" w14:textId="0796B758" w:rsidR="008E72E6" w:rsidRPr="008C2D2D" w:rsidRDefault="00F1491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$599.328</w:t>
            </w:r>
          </w:p>
        </w:tc>
        <w:tc>
          <w:tcPr>
            <w:tcW w:w="634" w:type="pct"/>
          </w:tcPr>
          <w:p w14:paraId="59E3DB88" w14:textId="7CDFC7EE" w:rsidR="008E72E6" w:rsidRPr="008C2D2D" w:rsidRDefault="00F1491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$599.328</w:t>
            </w:r>
          </w:p>
        </w:tc>
        <w:tc>
          <w:tcPr>
            <w:tcW w:w="771" w:type="pct"/>
          </w:tcPr>
          <w:p w14:paraId="1569E8AB" w14:textId="71BCA489" w:rsidR="008E72E6" w:rsidRPr="008C2D2D" w:rsidRDefault="00A51629"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1B0FB00E" w14:textId="306F0690" w:rsidR="008E72E6" w:rsidRPr="008C2D2D" w:rsidRDefault="00A51629"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59C8BA90" w14:textId="77777777" w:rsidTr="00DD34A1">
        <w:trPr>
          <w:jc w:val="center"/>
        </w:trPr>
        <w:tc>
          <w:tcPr>
            <w:tcW w:w="598" w:type="pct"/>
          </w:tcPr>
          <w:p w14:paraId="48339927" w14:textId="0E35CE5A"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Ene-05</w:t>
            </w:r>
          </w:p>
        </w:tc>
        <w:tc>
          <w:tcPr>
            <w:tcW w:w="323" w:type="pct"/>
          </w:tcPr>
          <w:p w14:paraId="7E8754F1" w14:textId="388255D6"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8D29158" w14:textId="0BC5204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311EB71C"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263745C"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C738FF7"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3866C675" w14:textId="5A15383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59D84B2C" w14:textId="2F8BBAEB"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1608E083" w14:textId="77777777" w:rsidTr="00DD34A1">
        <w:trPr>
          <w:jc w:val="center"/>
        </w:trPr>
        <w:tc>
          <w:tcPr>
            <w:tcW w:w="598" w:type="pct"/>
          </w:tcPr>
          <w:p w14:paraId="04AA0F84" w14:textId="0C47FEF6"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Feb-05</w:t>
            </w:r>
          </w:p>
        </w:tc>
        <w:tc>
          <w:tcPr>
            <w:tcW w:w="323" w:type="pct"/>
          </w:tcPr>
          <w:p w14:paraId="0B21EF55" w14:textId="7B23C815"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FE74215" w14:textId="4C6464D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55DEEDEE"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45A962E"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24050EF"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786D9BB7" w14:textId="7B19A7C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1FFBB2D9" w14:textId="1E8E910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643EA232" w14:textId="77777777" w:rsidTr="00DD34A1">
        <w:trPr>
          <w:jc w:val="center"/>
        </w:trPr>
        <w:tc>
          <w:tcPr>
            <w:tcW w:w="598" w:type="pct"/>
          </w:tcPr>
          <w:p w14:paraId="6D99C579" w14:textId="06D44C1E"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Mar-05</w:t>
            </w:r>
          </w:p>
        </w:tc>
        <w:tc>
          <w:tcPr>
            <w:tcW w:w="323" w:type="pct"/>
          </w:tcPr>
          <w:p w14:paraId="3F39A287" w14:textId="26BFD50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11CDA5B" w14:textId="427D6E3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6AF1893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4F29A047"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AF69E89"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322C9FF9" w14:textId="2245B64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501E1C1" w14:textId="5E5D9FB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2F760BD8" w14:textId="77777777" w:rsidTr="00DD34A1">
        <w:trPr>
          <w:jc w:val="center"/>
        </w:trPr>
        <w:tc>
          <w:tcPr>
            <w:tcW w:w="598" w:type="pct"/>
          </w:tcPr>
          <w:p w14:paraId="51E14662" w14:textId="794F357D"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Abr-05</w:t>
            </w:r>
          </w:p>
        </w:tc>
        <w:tc>
          <w:tcPr>
            <w:tcW w:w="323" w:type="pct"/>
          </w:tcPr>
          <w:p w14:paraId="4A55FEDC" w14:textId="285C29B6"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601F0EEB" w14:textId="60FA684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228C34C6"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77D15CE1"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5E5127C"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3002E482" w14:textId="676DFAAF"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A05114F" w14:textId="48C50CD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659BF4A8" w14:textId="77777777" w:rsidTr="00DD34A1">
        <w:trPr>
          <w:jc w:val="center"/>
        </w:trPr>
        <w:tc>
          <w:tcPr>
            <w:tcW w:w="598" w:type="pct"/>
          </w:tcPr>
          <w:p w14:paraId="5EB138F4" w14:textId="5FDDD2EC"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May-05</w:t>
            </w:r>
          </w:p>
        </w:tc>
        <w:tc>
          <w:tcPr>
            <w:tcW w:w="323" w:type="pct"/>
          </w:tcPr>
          <w:p w14:paraId="4FE2E086" w14:textId="72B8FF7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4DCC667F" w14:textId="017E86D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3584EC9B"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4775C150"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B85ED16"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2BE5225C" w14:textId="2F7A9BB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w:t>
            </w:r>
            <w:r w:rsidR="00715D43" w:rsidRPr="008C2D2D">
              <w:rPr>
                <w:rFonts w:ascii="Agency FB" w:eastAsia="Times New Roman" w:hAnsi="Agency FB" w:cs="Arial"/>
                <w:sz w:val="24"/>
                <w:szCs w:val="24"/>
                <w:lang w:eastAsia="es-CO"/>
              </w:rPr>
              <w:t>1.170</w:t>
            </w:r>
          </w:p>
        </w:tc>
        <w:tc>
          <w:tcPr>
            <w:tcW w:w="658" w:type="pct"/>
          </w:tcPr>
          <w:p w14:paraId="1063F433" w14:textId="34A6CA6B"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715D43" w:rsidRPr="008C2D2D">
              <w:rPr>
                <w:rFonts w:ascii="Agency FB" w:eastAsia="Times New Roman" w:hAnsi="Agency FB" w:cs="Arial"/>
                <w:sz w:val="24"/>
                <w:szCs w:val="24"/>
                <w:lang w:eastAsia="es-CO"/>
              </w:rPr>
              <w:t>39.882</w:t>
            </w:r>
          </w:p>
        </w:tc>
      </w:tr>
      <w:tr w:rsidR="00A83CDB" w:rsidRPr="008C2D2D" w14:paraId="3C957251" w14:textId="77777777" w:rsidTr="00DD34A1">
        <w:trPr>
          <w:jc w:val="center"/>
        </w:trPr>
        <w:tc>
          <w:tcPr>
            <w:tcW w:w="598" w:type="pct"/>
          </w:tcPr>
          <w:p w14:paraId="2B05D0B6" w14:textId="1AF9571E"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Jun-05</w:t>
            </w:r>
          </w:p>
        </w:tc>
        <w:tc>
          <w:tcPr>
            <w:tcW w:w="323" w:type="pct"/>
          </w:tcPr>
          <w:p w14:paraId="19249D60" w14:textId="3E2E261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CB63BC0" w14:textId="6E08B2C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661F005A"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4E5D6119" w14:textId="6F0E39F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$565.912</w:t>
            </w:r>
          </w:p>
        </w:tc>
        <w:tc>
          <w:tcPr>
            <w:tcW w:w="634" w:type="pct"/>
          </w:tcPr>
          <w:p w14:paraId="6F62E534" w14:textId="5C3653E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$565.912</w:t>
            </w:r>
          </w:p>
        </w:tc>
        <w:tc>
          <w:tcPr>
            <w:tcW w:w="771" w:type="pct"/>
          </w:tcPr>
          <w:p w14:paraId="3FFFF606" w14:textId="35A0DBE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598E2104" w14:textId="3D85D91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046A4224" w14:textId="77777777" w:rsidTr="00DD34A1">
        <w:trPr>
          <w:jc w:val="center"/>
        </w:trPr>
        <w:tc>
          <w:tcPr>
            <w:tcW w:w="598" w:type="pct"/>
          </w:tcPr>
          <w:p w14:paraId="4C4F5B6D" w14:textId="2B33E790"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Jul-05</w:t>
            </w:r>
          </w:p>
        </w:tc>
        <w:tc>
          <w:tcPr>
            <w:tcW w:w="323" w:type="pct"/>
          </w:tcPr>
          <w:p w14:paraId="1B7341D0" w14:textId="0B79204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FB07A8A" w14:textId="5EBFB57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2059DFE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2EF0CEA"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17CF33BE"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0300C57C" w14:textId="7721E23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4FA4E822" w14:textId="52E733BB"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7CF8A0BC" w14:textId="77777777" w:rsidTr="00DD34A1">
        <w:trPr>
          <w:jc w:val="center"/>
        </w:trPr>
        <w:tc>
          <w:tcPr>
            <w:tcW w:w="598" w:type="pct"/>
          </w:tcPr>
          <w:p w14:paraId="7B7804C4" w14:textId="2E5DE120"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Ago-05</w:t>
            </w:r>
          </w:p>
        </w:tc>
        <w:tc>
          <w:tcPr>
            <w:tcW w:w="323" w:type="pct"/>
          </w:tcPr>
          <w:p w14:paraId="465BBB0E" w14:textId="40D8BD74"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4823D8A2" w14:textId="7BA08F2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223AA2CF"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E849E84"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0C1F417"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2BBDCA6F" w14:textId="69F082D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2B0BC105" w14:textId="0AB872F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52C0D17B" w14:textId="77777777" w:rsidTr="00DD34A1">
        <w:trPr>
          <w:jc w:val="center"/>
        </w:trPr>
        <w:tc>
          <w:tcPr>
            <w:tcW w:w="598" w:type="pct"/>
          </w:tcPr>
          <w:p w14:paraId="693B5287" w14:textId="25A9FC4B"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lastRenderedPageBreak/>
              <w:t>Sep-05</w:t>
            </w:r>
          </w:p>
        </w:tc>
        <w:tc>
          <w:tcPr>
            <w:tcW w:w="323" w:type="pct"/>
          </w:tcPr>
          <w:p w14:paraId="23DA01CD" w14:textId="55E8EDA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7D83D981" w14:textId="599FF87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463C275E" w14:textId="1CEDB39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$1.817.451</w:t>
            </w:r>
          </w:p>
        </w:tc>
        <w:tc>
          <w:tcPr>
            <w:tcW w:w="634" w:type="pct"/>
          </w:tcPr>
          <w:p w14:paraId="0CBF249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1BEB1D08"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25C57886" w14:textId="4AD76B2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23AD847F" w14:textId="61201685"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050D533A" w14:textId="77777777" w:rsidTr="00DD34A1">
        <w:trPr>
          <w:jc w:val="center"/>
        </w:trPr>
        <w:tc>
          <w:tcPr>
            <w:tcW w:w="598" w:type="pct"/>
          </w:tcPr>
          <w:p w14:paraId="4A313140" w14:textId="6C25813C"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Oct-05</w:t>
            </w:r>
          </w:p>
        </w:tc>
        <w:tc>
          <w:tcPr>
            <w:tcW w:w="323" w:type="pct"/>
          </w:tcPr>
          <w:p w14:paraId="5C3B4EB9" w14:textId="63F2B3D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6A47ED51" w14:textId="690B193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64681BA8"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8F9F711"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78880464"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151D5988" w14:textId="1557061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5269CC" w:rsidRPr="008C2D2D">
              <w:rPr>
                <w:rFonts w:ascii="Agency FB" w:eastAsia="Times New Roman" w:hAnsi="Agency FB" w:cs="Arial"/>
                <w:sz w:val="24"/>
                <w:szCs w:val="24"/>
                <w:lang w:eastAsia="es-CO"/>
              </w:rPr>
              <w:t>13.723</w:t>
            </w:r>
          </w:p>
        </w:tc>
        <w:tc>
          <w:tcPr>
            <w:tcW w:w="658" w:type="pct"/>
          </w:tcPr>
          <w:p w14:paraId="22006AC9" w14:textId="2308C44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5269CC" w:rsidRPr="008C2D2D">
              <w:rPr>
                <w:rFonts w:ascii="Agency FB" w:eastAsia="Times New Roman" w:hAnsi="Agency FB" w:cs="Arial"/>
                <w:sz w:val="24"/>
                <w:szCs w:val="24"/>
                <w:lang w:eastAsia="es-CO"/>
              </w:rPr>
              <w:t>13.294</w:t>
            </w:r>
          </w:p>
        </w:tc>
      </w:tr>
      <w:tr w:rsidR="00A83CDB" w:rsidRPr="008C2D2D" w14:paraId="75EB4A8C" w14:textId="77777777" w:rsidTr="00DD34A1">
        <w:trPr>
          <w:jc w:val="center"/>
        </w:trPr>
        <w:tc>
          <w:tcPr>
            <w:tcW w:w="598" w:type="pct"/>
          </w:tcPr>
          <w:p w14:paraId="6B3E8001" w14:textId="59F34AAE"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Nov-05</w:t>
            </w:r>
          </w:p>
        </w:tc>
        <w:tc>
          <w:tcPr>
            <w:tcW w:w="323" w:type="pct"/>
          </w:tcPr>
          <w:p w14:paraId="57C19F72" w14:textId="70EAA04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3A0EC6A2" w14:textId="69D3FB3F"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63E7161B"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348012C"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C61B60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7B90D121" w14:textId="14127CB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C902CF" w:rsidRPr="008C2D2D">
              <w:rPr>
                <w:rFonts w:ascii="Agency FB" w:eastAsia="Times New Roman" w:hAnsi="Agency FB" w:cs="Arial"/>
                <w:sz w:val="24"/>
                <w:szCs w:val="24"/>
                <w:lang w:eastAsia="es-CO"/>
              </w:rPr>
              <w:t>33.546</w:t>
            </w:r>
          </w:p>
        </w:tc>
        <w:tc>
          <w:tcPr>
            <w:tcW w:w="658" w:type="pct"/>
          </w:tcPr>
          <w:p w14:paraId="7DB3CDCE" w14:textId="675872BF"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C902CF" w:rsidRPr="008C2D2D">
              <w:rPr>
                <w:rFonts w:ascii="Agency FB" w:eastAsia="Times New Roman" w:hAnsi="Agency FB" w:cs="Arial"/>
                <w:sz w:val="24"/>
                <w:szCs w:val="24"/>
                <w:lang w:eastAsia="es-CO"/>
              </w:rPr>
              <w:t>32.496</w:t>
            </w:r>
          </w:p>
        </w:tc>
      </w:tr>
      <w:tr w:rsidR="00A83CDB" w:rsidRPr="008C2D2D" w14:paraId="351D0EB5" w14:textId="77777777" w:rsidTr="00DD34A1">
        <w:trPr>
          <w:jc w:val="center"/>
        </w:trPr>
        <w:tc>
          <w:tcPr>
            <w:tcW w:w="598" w:type="pct"/>
          </w:tcPr>
          <w:p w14:paraId="5E97E0A8" w14:textId="2271103F"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Dic-05</w:t>
            </w:r>
          </w:p>
        </w:tc>
        <w:tc>
          <w:tcPr>
            <w:tcW w:w="323" w:type="pct"/>
          </w:tcPr>
          <w:p w14:paraId="03927A5B" w14:textId="74132405"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256CA910" w14:textId="045A81A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$1.074.800</w:t>
            </w:r>
          </w:p>
        </w:tc>
        <w:tc>
          <w:tcPr>
            <w:tcW w:w="688" w:type="pct"/>
          </w:tcPr>
          <w:p w14:paraId="549E8089"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FB5EAAC" w14:textId="0C9C9BA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$749.857</w:t>
            </w:r>
          </w:p>
        </w:tc>
        <w:tc>
          <w:tcPr>
            <w:tcW w:w="634" w:type="pct"/>
          </w:tcPr>
          <w:p w14:paraId="60F8BFB2" w14:textId="258ECAB6"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$749.857</w:t>
            </w:r>
          </w:p>
        </w:tc>
        <w:tc>
          <w:tcPr>
            <w:tcW w:w="771" w:type="pct"/>
          </w:tcPr>
          <w:p w14:paraId="41DEE921" w14:textId="11E5E70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1FA26C2F" w14:textId="1663017F"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4979EC35" w14:textId="77777777" w:rsidTr="00DD34A1">
        <w:trPr>
          <w:jc w:val="center"/>
        </w:trPr>
        <w:tc>
          <w:tcPr>
            <w:tcW w:w="598" w:type="pct"/>
          </w:tcPr>
          <w:p w14:paraId="36CA021B" w14:textId="707F31CC"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Ene-06</w:t>
            </w:r>
          </w:p>
        </w:tc>
        <w:tc>
          <w:tcPr>
            <w:tcW w:w="323" w:type="pct"/>
          </w:tcPr>
          <w:p w14:paraId="7EBFA32A" w14:textId="1D59D36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18E38EE7" w14:textId="792811C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6CEDE52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7D7CA33D"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18F637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64E74290" w14:textId="3BDCD24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16F17DF5" w14:textId="6F3D1C0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330A349F" w14:textId="77777777" w:rsidTr="00DD34A1">
        <w:trPr>
          <w:jc w:val="center"/>
        </w:trPr>
        <w:tc>
          <w:tcPr>
            <w:tcW w:w="598" w:type="pct"/>
          </w:tcPr>
          <w:p w14:paraId="65677CAD" w14:textId="175EF878"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Feb-06</w:t>
            </w:r>
          </w:p>
        </w:tc>
        <w:tc>
          <w:tcPr>
            <w:tcW w:w="323" w:type="pct"/>
          </w:tcPr>
          <w:p w14:paraId="4E26E75E" w14:textId="1A10969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4586D7EA" w14:textId="2E7EE726"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611612E2"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26DF5101"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033523A"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2BE6641F" w14:textId="217BECB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409BC610" w14:textId="166A4AC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11CA1F61" w14:textId="77777777" w:rsidTr="00DD34A1">
        <w:trPr>
          <w:jc w:val="center"/>
        </w:trPr>
        <w:tc>
          <w:tcPr>
            <w:tcW w:w="598" w:type="pct"/>
          </w:tcPr>
          <w:p w14:paraId="29918550" w14:textId="4B142C31"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Mar-06</w:t>
            </w:r>
          </w:p>
        </w:tc>
        <w:tc>
          <w:tcPr>
            <w:tcW w:w="323" w:type="pct"/>
          </w:tcPr>
          <w:p w14:paraId="4EB427D3" w14:textId="096E468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7068BAB7" w14:textId="5576668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7CD0025A"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2F72AE9"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F35FBFE"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051126D4" w14:textId="2A35438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E0B47B0" w14:textId="06C2D01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53EC2A36" w14:textId="77777777" w:rsidTr="00DD34A1">
        <w:trPr>
          <w:jc w:val="center"/>
        </w:trPr>
        <w:tc>
          <w:tcPr>
            <w:tcW w:w="598" w:type="pct"/>
          </w:tcPr>
          <w:p w14:paraId="12228A35" w14:textId="75242DCB"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Abr-06</w:t>
            </w:r>
          </w:p>
        </w:tc>
        <w:tc>
          <w:tcPr>
            <w:tcW w:w="323" w:type="pct"/>
          </w:tcPr>
          <w:p w14:paraId="521CCF0C" w14:textId="66952FF7"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363FD740" w14:textId="3A48656B"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4A318E90"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A36FBC2"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A652C53"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766246BD" w14:textId="586BA4F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3340B1A7" w14:textId="7AB6C7F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300B0220" w14:textId="77777777" w:rsidTr="00DD34A1">
        <w:trPr>
          <w:jc w:val="center"/>
        </w:trPr>
        <w:tc>
          <w:tcPr>
            <w:tcW w:w="598" w:type="pct"/>
          </w:tcPr>
          <w:p w14:paraId="261C2B97" w14:textId="66EA7F05"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May-06</w:t>
            </w:r>
          </w:p>
        </w:tc>
        <w:tc>
          <w:tcPr>
            <w:tcW w:w="323" w:type="pct"/>
          </w:tcPr>
          <w:p w14:paraId="21C10EC2" w14:textId="045DFF0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065FE639" w14:textId="066796F0"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280FBF99"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7F360E78"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7D6132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4AA94E87" w14:textId="34A3C62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5C3673F2" w14:textId="512344D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6BCBE0D8" w14:textId="77777777" w:rsidTr="00DD34A1">
        <w:trPr>
          <w:jc w:val="center"/>
        </w:trPr>
        <w:tc>
          <w:tcPr>
            <w:tcW w:w="598" w:type="pct"/>
          </w:tcPr>
          <w:p w14:paraId="315D5F17" w14:textId="730C2DC3"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Jun-06</w:t>
            </w:r>
          </w:p>
        </w:tc>
        <w:tc>
          <w:tcPr>
            <w:tcW w:w="323" w:type="pct"/>
          </w:tcPr>
          <w:p w14:paraId="6615CA8C" w14:textId="250DA9C1"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6D084ADA" w14:textId="4F16193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722C7FE8"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3033EB15" w14:textId="3AA898BC" w:rsidR="00A83CDB" w:rsidRPr="008C2D2D" w:rsidRDefault="004D0875"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$609.</w:t>
            </w:r>
            <w:r w:rsidR="00511DFF" w:rsidRPr="008C2D2D">
              <w:rPr>
                <w:rFonts w:ascii="Agency FB" w:eastAsia="Times New Roman" w:hAnsi="Agency FB" w:cs="Arial"/>
                <w:sz w:val="24"/>
                <w:szCs w:val="24"/>
                <w:lang w:eastAsia="es-CO"/>
              </w:rPr>
              <w:t>299</w:t>
            </w:r>
          </w:p>
        </w:tc>
        <w:tc>
          <w:tcPr>
            <w:tcW w:w="634" w:type="pct"/>
          </w:tcPr>
          <w:p w14:paraId="52CE4B96" w14:textId="34AA2494" w:rsidR="00A83CDB" w:rsidRPr="008C2D2D" w:rsidRDefault="00511DFF"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$609.299</w:t>
            </w:r>
          </w:p>
        </w:tc>
        <w:tc>
          <w:tcPr>
            <w:tcW w:w="771" w:type="pct"/>
          </w:tcPr>
          <w:p w14:paraId="4F3693DB" w14:textId="09F4E79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BD314A4" w14:textId="5115101F"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51BE20F6" w14:textId="77777777" w:rsidTr="00DD34A1">
        <w:trPr>
          <w:jc w:val="center"/>
        </w:trPr>
        <w:tc>
          <w:tcPr>
            <w:tcW w:w="598" w:type="pct"/>
          </w:tcPr>
          <w:p w14:paraId="077DB5AF" w14:textId="3DB8CCA8"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Jul-06</w:t>
            </w:r>
          </w:p>
        </w:tc>
        <w:tc>
          <w:tcPr>
            <w:tcW w:w="323" w:type="pct"/>
          </w:tcPr>
          <w:p w14:paraId="7CAFADBF" w14:textId="18360E6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7AA97AE9" w14:textId="1DD2AE1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52DD26AB"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92148DD"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CF4F87C"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3CEDA1B6" w14:textId="13661CA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036195D8" w14:textId="3018668E"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301332BE" w14:textId="77777777" w:rsidTr="00DD34A1">
        <w:trPr>
          <w:jc w:val="center"/>
        </w:trPr>
        <w:tc>
          <w:tcPr>
            <w:tcW w:w="598" w:type="pct"/>
          </w:tcPr>
          <w:p w14:paraId="06035EA1" w14:textId="33712DD6"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Ago-06</w:t>
            </w:r>
          </w:p>
        </w:tc>
        <w:tc>
          <w:tcPr>
            <w:tcW w:w="323" w:type="pct"/>
          </w:tcPr>
          <w:p w14:paraId="4A51F11F" w14:textId="6CD37595"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449C19AA" w14:textId="366CC6E0"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33915BB6"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6A781D7F"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1D107CD0"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1C90EBB7" w14:textId="4F66B386"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7EAF8F23" w14:textId="332321A4"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3411004C" w14:textId="77777777" w:rsidTr="00DD34A1">
        <w:trPr>
          <w:jc w:val="center"/>
        </w:trPr>
        <w:tc>
          <w:tcPr>
            <w:tcW w:w="598" w:type="pct"/>
          </w:tcPr>
          <w:p w14:paraId="6B8E74C5" w14:textId="6C510C93"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Sep-06</w:t>
            </w:r>
          </w:p>
        </w:tc>
        <w:tc>
          <w:tcPr>
            <w:tcW w:w="323" w:type="pct"/>
          </w:tcPr>
          <w:p w14:paraId="532289EC" w14:textId="0752D21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6F121359" w14:textId="06164D2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237D3DC3" w14:textId="0408B92A" w:rsidR="00A83CDB" w:rsidRPr="008C2D2D" w:rsidRDefault="00511DFF"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$1.932.915</w:t>
            </w:r>
          </w:p>
        </w:tc>
        <w:tc>
          <w:tcPr>
            <w:tcW w:w="634" w:type="pct"/>
          </w:tcPr>
          <w:p w14:paraId="16B7223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AA7FFDB"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6A0F3BAA" w14:textId="3201E8A2"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6570D10E" w14:textId="65CE5210"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7B9AE912" w14:textId="77777777" w:rsidTr="00DD34A1">
        <w:trPr>
          <w:jc w:val="center"/>
        </w:trPr>
        <w:tc>
          <w:tcPr>
            <w:tcW w:w="598" w:type="pct"/>
          </w:tcPr>
          <w:p w14:paraId="0B4520E7" w14:textId="799AAE54"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Oct-06</w:t>
            </w:r>
          </w:p>
        </w:tc>
        <w:tc>
          <w:tcPr>
            <w:tcW w:w="323" w:type="pct"/>
          </w:tcPr>
          <w:p w14:paraId="760C07B8" w14:textId="0F53551D"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w:t>
            </w:r>
          </w:p>
        </w:tc>
        <w:tc>
          <w:tcPr>
            <w:tcW w:w="694" w:type="pct"/>
          </w:tcPr>
          <w:p w14:paraId="46911AD3" w14:textId="209A997A"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$1.128.540</w:t>
            </w:r>
          </w:p>
        </w:tc>
        <w:tc>
          <w:tcPr>
            <w:tcW w:w="688" w:type="pct"/>
          </w:tcPr>
          <w:p w14:paraId="47BEE998"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02143700"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5C8EB91D"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771" w:type="pct"/>
          </w:tcPr>
          <w:p w14:paraId="6A607DA1" w14:textId="0E46573C"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$45.744</w:t>
            </w:r>
          </w:p>
        </w:tc>
        <w:tc>
          <w:tcPr>
            <w:tcW w:w="658" w:type="pct"/>
          </w:tcPr>
          <w:p w14:paraId="12C07025" w14:textId="372F2693"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$44.313</w:t>
            </w:r>
          </w:p>
        </w:tc>
      </w:tr>
      <w:tr w:rsidR="00A83CDB" w:rsidRPr="008C2D2D" w14:paraId="67DE35AC" w14:textId="77777777" w:rsidTr="00DD34A1">
        <w:trPr>
          <w:jc w:val="center"/>
        </w:trPr>
        <w:tc>
          <w:tcPr>
            <w:tcW w:w="598" w:type="pct"/>
          </w:tcPr>
          <w:p w14:paraId="00EC4922" w14:textId="16759275" w:rsidR="00A83CDB" w:rsidRPr="008C2D2D" w:rsidRDefault="00A83CD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Nov-06</w:t>
            </w:r>
          </w:p>
        </w:tc>
        <w:tc>
          <w:tcPr>
            <w:tcW w:w="323" w:type="pct"/>
          </w:tcPr>
          <w:p w14:paraId="03BE5EEB" w14:textId="786C8FA9"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w:t>
            </w:r>
          </w:p>
        </w:tc>
        <w:tc>
          <w:tcPr>
            <w:tcW w:w="694" w:type="pct"/>
          </w:tcPr>
          <w:p w14:paraId="394C0E60" w14:textId="09AD6528"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511DFF" w:rsidRPr="008C2D2D">
              <w:rPr>
                <w:rFonts w:ascii="Agency FB" w:eastAsia="Times New Roman" w:hAnsi="Agency FB" w:cs="Arial"/>
                <w:sz w:val="24"/>
                <w:szCs w:val="24"/>
                <w:lang w:eastAsia="es-CO"/>
              </w:rPr>
              <w:t>225.708</w:t>
            </w:r>
          </w:p>
        </w:tc>
        <w:tc>
          <w:tcPr>
            <w:tcW w:w="688" w:type="pct"/>
          </w:tcPr>
          <w:p w14:paraId="35D05645" w14:textId="77777777" w:rsidR="00A83CDB" w:rsidRPr="008C2D2D" w:rsidRDefault="00A83CDB" w:rsidP="008C2D2D">
            <w:pPr>
              <w:spacing w:after="0"/>
              <w:jc w:val="center"/>
              <w:textAlignment w:val="baseline"/>
              <w:rPr>
                <w:rFonts w:ascii="Agency FB" w:eastAsia="Times New Roman" w:hAnsi="Agency FB" w:cs="Arial"/>
                <w:sz w:val="24"/>
                <w:szCs w:val="24"/>
                <w:lang w:eastAsia="es-CO"/>
              </w:rPr>
            </w:pPr>
          </w:p>
        </w:tc>
        <w:tc>
          <w:tcPr>
            <w:tcW w:w="634" w:type="pct"/>
          </w:tcPr>
          <w:p w14:paraId="148A640B" w14:textId="6946B2A5" w:rsidR="00A83CDB" w:rsidRPr="008C2D2D" w:rsidRDefault="00511DFF"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D641B7" w:rsidRPr="008C2D2D">
              <w:rPr>
                <w:rFonts w:ascii="Agency FB" w:eastAsia="Times New Roman" w:hAnsi="Agency FB" w:cs="Arial"/>
                <w:sz w:val="24"/>
                <w:szCs w:val="24"/>
                <w:lang w:eastAsia="es-CO"/>
              </w:rPr>
              <w:t>417.579</w:t>
            </w:r>
          </w:p>
        </w:tc>
        <w:tc>
          <w:tcPr>
            <w:tcW w:w="634" w:type="pct"/>
          </w:tcPr>
          <w:p w14:paraId="1C2CBEB5" w14:textId="14855B22" w:rsidR="00A83CDB" w:rsidRPr="008C2D2D" w:rsidRDefault="00D641B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$417.579</w:t>
            </w:r>
          </w:p>
        </w:tc>
        <w:tc>
          <w:tcPr>
            <w:tcW w:w="771" w:type="pct"/>
          </w:tcPr>
          <w:p w14:paraId="7B9CEEE1" w14:textId="5F2CC3EB"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B2039B" w:rsidRPr="008C2D2D">
              <w:rPr>
                <w:rFonts w:ascii="Agency FB" w:eastAsia="Times New Roman" w:hAnsi="Agency FB" w:cs="Arial"/>
                <w:sz w:val="24"/>
                <w:szCs w:val="24"/>
                <w:lang w:eastAsia="es-CO"/>
              </w:rPr>
              <w:t>9.149</w:t>
            </w:r>
          </w:p>
        </w:tc>
        <w:tc>
          <w:tcPr>
            <w:tcW w:w="658" w:type="pct"/>
          </w:tcPr>
          <w:p w14:paraId="4E8538BB" w14:textId="33594BB4" w:rsidR="00A83CDB" w:rsidRPr="008C2D2D" w:rsidRDefault="00A83CD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B2039B" w:rsidRPr="008C2D2D">
              <w:rPr>
                <w:rFonts w:ascii="Agency FB" w:eastAsia="Times New Roman" w:hAnsi="Agency FB" w:cs="Arial"/>
                <w:sz w:val="24"/>
                <w:szCs w:val="24"/>
                <w:lang w:eastAsia="es-CO"/>
              </w:rPr>
              <w:t>8.863</w:t>
            </w:r>
          </w:p>
        </w:tc>
      </w:tr>
      <w:tr w:rsidR="00317156" w:rsidRPr="008C2D2D" w14:paraId="28FB2CF0" w14:textId="77777777" w:rsidTr="00DD34A1">
        <w:trPr>
          <w:jc w:val="center"/>
        </w:trPr>
        <w:tc>
          <w:tcPr>
            <w:tcW w:w="598" w:type="pct"/>
          </w:tcPr>
          <w:p w14:paraId="52BDFC39" w14:textId="3C77E4F7" w:rsidR="008E72E6" w:rsidRPr="008C2D2D" w:rsidRDefault="0019138F"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TOTALES</w:t>
            </w:r>
          </w:p>
        </w:tc>
        <w:tc>
          <w:tcPr>
            <w:tcW w:w="323" w:type="pct"/>
          </w:tcPr>
          <w:p w14:paraId="5D81F065" w14:textId="21B0D001" w:rsidR="008E72E6" w:rsidRPr="008C2D2D" w:rsidRDefault="00812C7B"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720</w:t>
            </w:r>
          </w:p>
        </w:tc>
        <w:tc>
          <w:tcPr>
            <w:tcW w:w="694" w:type="pct"/>
          </w:tcPr>
          <w:p w14:paraId="5CF03CCA" w14:textId="5B2A1739" w:rsidR="008E72E6" w:rsidRPr="008C2D2D" w:rsidRDefault="00B05B9D"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w:t>
            </w:r>
            <w:r w:rsidR="008D6801" w:rsidRPr="008C2D2D">
              <w:rPr>
                <w:rFonts w:ascii="Agency FB" w:eastAsia="Times New Roman" w:hAnsi="Agency FB" w:cs="Arial"/>
                <w:b/>
                <w:bCs/>
                <w:sz w:val="24"/>
                <w:szCs w:val="24"/>
                <w:lang w:eastAsia="es-CO"/>
              </w:rPr>
              <w:t>26.455.754</w:t>
            </w:r>
          </w:p>
        </w:tc>
        <w:tc>
          <w:tcPr>
            <w:tcW w:w="688" w:type="pct"/>
          </w:tcPr>
          <w:p w14:paraId="0758F305" w14:textId="3C52225C" w:rsidR="008E72E6" w:rsidRPr="008C2D2D" w:rsidRDefault="001A692D"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$4.282.268</w:t>
            </w:r>
          </w:p>
        </w:tc>
        <w:tc>
          <w:tcPr>
            <w:tcW w:w="634" w:type="pct"/>
          </w:tcPr>
          <w:p w14:paraId="7A6FADED" w14:textId="2B487FAF" w:rsidR="008E72E6" w:rsidRPr="008C2D2D" w:rsidRDefault="00AD32AE"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$2.941.975</w:t>
            </w:r>
          </w:p>
        </w:tc>
        <w:tc>
          <w:tcPr>
            <w:tcW w:w="634" w:type="pct"/>
          </w:tcPr>
          <w:p w14:paraId="29705642" w14:textId="33048D28" w:rsidR="008E72E6" w:rsidRPr="008C2D2D" w:rsidRDefault="007C0004"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$2.941.975</w:t>
            </w:r>
          </w:p>
        </w:tc>
        <w:tc>
          <w:tcPr>
            <w:tcW w:w="771" w:type="pct"/>
          </w:tcPr>
          <w:p w14:paraId="55A9F0E0" w14:textId="455F49C2" w:rsidR="008E72E6" w:rsidRPr="008C2D2D" w:rsidRDefault="007C0004"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$1.0</w:t>
            </w:r>
            <w:r w:rsidR="0024457B" w:rsidRPr="008C2D2D">
              <w:rPr>
                <w:rFonts w:ascii="Agency FB" w:eastAsia="Times New Roman" w:hAnsi="Agency FB" w:cs="Arial"/>
                <w:b/>
                <w:bCs/>
                <w:sz w:val="24"/>
                <w:szCs w:val="24"/>
                <w:lang w:eastAsia="es-CO"/>
              </w:rPr>
              <w:t>58.212</w:t>
            </w:r>
          </w:p>
        </w:tc>
        <w:tc>
          <w:tcPr>
            <w:tcW w:w="658" w:type="pct"/>
          </w:tcPr>
          <w:p w14:paraId="738AA57A" w14:textId="696C2D77" w:rsidR="008E72E6" w:rsidRPr="008C2D2D" w:rsidRDefault="007C0004"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$1.</w:t>
            </w:r>
            <w:r w:rsidR="0024457B" w:rsidRPr="008C2D2D">
              <w:rPr>
                <w:rFonts w:ascii="Agency FB" w:eastAsia="Times New Roman" w:hAnsi="Agency FB" w:cs="Arial"/>
                <w:b/>
                <w:bCs/>
                <w:sz w:val="24"/>
                <w:szCs w:val="24"/>
                <w:lang w:eastAsia="es-CO"/>
              </w:rPr>
              <w:t>015.108</w:t>
            </w:r>
          </w:p>
        </w:tc>
      </w:tr>
    </w:tbl>
    <w:p w14:paraId="356FCD31" w14:textId="77777777" w:rsidR="00DA1282" w:rsidRPr="00DA3EAC" w:rsidRDefault="00DA1282" w:rsidP="00DA3EAC">
      <w:pPr>
        <w:spacing w:after="0"/>
        <w:jc w:val="both"/>
        <w:textAlignment w:val="baseline"/>
        <w:rPr>
          <w:rFonts w:ascii="Arial" w:eastAsia="Times New Roman" w:hAnsi="Arial" w:cs="Arial"/>
          <w:sz w:val="24"/>
          <w:szCs w:val="24"/>
          <w:lang w:eastAsia="es-CO"/>
        </w:rPr>
      </w:pPr>
    </w:p>
    <w:p w14:paraId="281A56F8" w14:textId="7214166B" w:rsidR="00AF3785" w:rsidRPr="00DA3EAC" w:rsidRDefault="00812C7B"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Al sumar la totalidad de los factores salariales devengados por la actora en los últimos dos años de servicios (720 días)</w:t>
      </w:r>
      <w:r w:rsidR="004B6363" w:rsidRPr="00DA3EAC">
        <w:rPr>
          <w:rFonts w:ascii="Arial" w:eastAsia="Times New Roman" w:hAnsi="Arial" w:cs="Arial"/>
          <w:sz w:val="24"/>
          <w:szCs w:val="24"/>
          <w:lang w:eastAsia="es-CO"/>
        </w:rPr>
        <w:t>, se obtiene una suma total de $</w:t>
      </w:r>
      <w:r w:rsidR="002C24AB" w:rsidRPr="00DA3EAC">
        <w:rPr>
          <w:rFonts w:ascii="Arial" w:eastAsia="Times New Roman" w:hAnsi="Arial" w:cs="Arial"/>
          <w:sz w:val="24"/>
          <w:szCs w:val="24"/>
          <w:lang w:eastAsia="es-CO"/>
        </w:rPr>
        <w:t>38.695.292</w:t>
      </w:r>
      <w:r w:rsidR="003F3AC0" w:rsidRPr="00DA3EAC">
        <w:rPr>
          <w:rFonts w:ascii="Arial" w:eastAsia="Times New Roman" w:hAnsi="Arial" w:cs="Arial"/>
          <w:sz w:val="24"/>
          <w:szCs w:val="24"/>
          <w:lang w:eastAsia="es-CO"/>
        </w:rPr>
        <w:t xml:space="preserve">, </w:t>
      </w:r>
      <w:r w:rsidR="00FC143C" w:rsidRPr="00DA3EAC">
        <w:rPr>
          <w:rFonts w:ascii="Arial" w:eastAsia="Times New Roman" w:hAnsi="Arial" w:cs="Arial"/>
          <w:sz w:val="24"/>
          <w:szCs w:val="24"/>
          <w:lang w:eastAsia="es-CO"/>
        </w:rPr>
        <w:t>que al promediarla mensualmente en ese periodo de dos años, arroja una suma mensual promedio de $1.612.304</w:t>
      </w:r>
      <w:r w:rsidR="009258E7" w:rsidRPr="00DA3EAC">
        <w:rPr>
          <w:rFonts w:ascii="Arial" w:eastAsia="Times New Roman" w:hAnsi="Arial" w:cs="Arial"/>
          <w:sz w:val="24"/>
          <w:szCs w:val="24"/>
          <w:lang w:eastAsia="es-CO"/>
        </w:rPr>
        <w:t xml:space="preserve"> y</w:t>
      </w:r>
      <w:r w:rsidR="00397B86" w:rsidRPr="00DA3EAC">
        <w:rPr>
          <w:rFonts w:ascii="Arial" w:eastAsia="Times New Roman" w:hAnsi="Arial" w:cs="Arial"/>
          <w:sz w:val="24"/>
          <w:szCs w:val="24"/>
          <w:lang w:eastAsia="es-CO"/>
        </w:rPr>
        <w:t xml:space="preserve">, aplicando la tasa de reemplazo del 100% del ingreso base de liquidación </w:t>
      </w:r>
      <w:r w:rsidR="003C4542" w:rsidRPr="00DA3EAC">
        <w:rPr>
          <w:rFonts w:ascii="Arial" w:eastAsia="Times New Roman" w:hAnsi="Arial" w:cs="Arial"/>
          <w:sz w:val="24"/>
          <w:szCs w:val="24"/>
          <w:lang w:eastAsia="es-CO"/>
        </w:rPr>
        <w:t>prevista en el artículo 98 de la convención colectiva de trabajo, tiene derecho la demandante a que se le r</w:t>
      </w:r>
      <w:r w:rsidR="00E03B2D" w:rsidRPr="00DA3EAC">
        <w:rPr>
          <w:rFonts w:ascii="Arial" w:eastAsia="Times New Roman" w:hAnsi="Arial" w:cs="Arial"/>
          <w:sz w:val="24"/>
          <w:szCs w:val="24"/>
          <w:lang w:eastAsia="es-CO"/>
        </w:rPr>
        <w:t xml:space="preserve">eajuste la </w:t>
      </w:r>
      <w:r w:rsidR="003C4542" w:rsidRPr="00DA3EAC">
        <w:rPr>
          <w:rFonts w:ascii="Arial" w:eastAsia="Times New Roman" w:hAnsi="Arial" w:cs="Arial"/>
          <w:sz w:val="24"/>
          <w:szCs w:val="24"/>
          <w:lang w:eastAsia="es-CO"/>
        </w:rPr>
        <w:t xml:space="preserve">pensión de jubilación </w:t>
      </w:r>
      <w:r w:rsidR="0037439D" w:rsidRPr="00DA3EAC">
        <w:rPr>
          <w:rFonts w:ascii="Arial" w:eastAsia="Times New Roman" w:hAnsi="Arial" w:cs="Arial"/>
          <w:sz w:val="24"/>
          <w:szCs w:val="24"/>
          <w:lang w:eastAsia="es-CO"/>
        </w:rPr>
        <w:t xml:space="preserve">convencional a partir del 7 de noviembre de 2006 </w:t>
      </w:r>
      <w:r w:rsidR="00E03B2D" w:rsidRPr="00DA3EAC">
        <w:rPr>
          <w:rFonts w:ascii="Arial" w:eastAsia="Times New Roman" w:hAnsi="Arial" w:cs="Arial"/>
          <w:sz w:val="24"/>
          <w:szCs w:val="24"/>
          <w:lang w:eastAsia="es-CO"/>
        </w:rPr>
        <w:t xml:space="preserve">en </w:t>
      </w:r>
      <w:r w:rsidR="0037439D" w:rsidRPr="00DA3EAC">
        <w:rPr>
          <w:rFonts w:ascii="Arial" w:eastAsia="Times New Roman" w:hAnsi="Arial" w:cs="Arial"/>
          <w:sz w:val="24"/>
          <w:szCs w:val="24"/>
          <w:lang w:eastAsia="es-CO"/>
        </w:rPr>
        <w:t>la suma de $1.612.304</w:t>
      </w:r>
      <w:r w:rsidR="00AF3785" w:rsidRPr="00DA3EAC">
        <w:rPr>
          <w:rFonts w:ascii="Arial" w:eastAsia="Times New Roman" w:hAnsi="Arial" w:cs="Arial"/>
          <w:sz w:val="24"/>
          <w:szCs w:val="24"/>
          <w:lang w:eastAsia="es-CO"/>
        </w:rPr>
        <w:t xml:space="preserve">, como atinadamente lo definió la </w:t>
      </w:r>
      <w:r w:rsidR="00AF3785" w:rsidRPr="00DA3EAC">
        <w:rPr>
          <w:rFonts w:ascii="Arial" w:eastAsia="Times New Roman" w:hAnsi="Arial" w:cs="Arial"/>
          <w:i/>
          <w:iCs/>
          <w:sz w:val="24"/>
          <w:szCs w:val="24"/>
          <w:lang w:eastAsia="es-CO"/>
        </w:rPr>
        <w:t>a quo</w:t>
      </w:r>
      <w:r w:rsidR="00E03B2D" w:rsidRPr="00DA3EAC">
        <w:rPr>
          <w:rFonts w:ascii="Arial" w:eastAsia="Times New Roman" w:hAnsi="Arial" w:cs="Arial"/>
          <w:sz w:val="24"/>
          <w:szCs w:val="24"/>
          <w:lang w:eastAsia="es-CO"/>
        </w:rPr>
        <w:t>.</w:t>
      </w:r>
    </w:p>
    <w:p w14:paraId="144891D4" w14:textId="77777777" w:rsidR="00E03B2D" w:rsidRPr="00DA3EAC" w:rsidRDefault="00E03B2D" w:rsidP="00DA3EAC">
      <w:pPr>
        <w:spacing w:after="0"/>
        <w:jc w:val="both"/>
        <w:textAlignment w:val="baseline"/>
        <w:rPr>
          <w:rFonts w:ascii="Arial" w:eastAsia="Times New Roman" w:hAnsi="Arial" w:cs="Arial"/>
          <w:sz w:val="24"/>
          <w:szCs w:val="24"/>
          <w:lang w:eastAsia="es-CO"/>
        </w:rPr>
      </w:pPr>
    </w:p>
    <w:p w14:paraId="42634CDA" w14:textId="0D5AEA82" w:rsidR="00E03B2D" w:rsidRPr="00DA3EAC" w:rsidRDefault="00B07599"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Antes de concretar el valor </w:t>
      </w:r>
      <w:r w:rsidR="002B28D9" w:rsidRPr="00DA3EAC">
        <w:rPr>
          <w:rFonts w:ascii="Arial" w:eastAsia="Times New Roman" w:hAnsi="Arial" w:cs="Arial"/>
          <w:sz w:val="24"/>
          <w:szCs w:val="24"/>
          <w:lang w:eastAsia="es-CO"/>
        </w:rPr>
        <w:t>de la diferencia pensional generada a favor de la accionante, se debe estudiar el tema de la prescripción que fue propuesto por la entidad accionada como excepción de mérito al dar respuesta a la acción</w:t>
      </w:r>
      <w:r w:rsidR="00FA744A" w:rsidRPr="00DA3EAC">
        <w:rPr>
          <w:rFonts w:ascii="Arial" w:eastAsia="Times New Roman" w:hAnsi="Arial" w:cs="Arial"/>
          <w:sz w:val="24"/>
          <w:szCs w:val="24"/>
          <w:lang w:eastAsia="es-CO"/>
        </w:rPr>
        <w:t xml:space="preserve"> y, teniendo en cuenta que el acto administrativo que resolvió la reclamación administrativa elevada por la señora </w:t>
      </w:r>
      <w:r w:rsidR="00AD7F19" w:rsidRPr="00DA3EAC">
        <w:rPr>
          <w:rFonts w:ascii="Arial" w:eastAsia="Times New Roman" w:hAnsi="Arial" w:cs="Arial"/>
          <w:sz w:val="24"/>
          <w:szCs w:val="24"/>
          <w:lang w:eastAsia="es-CO"/>
        </w:rPr>
        <w:t xml:space="preserve">tendiente a que se le reconociera el derecho pensional se notificó </w:t>
      </w:r>
      <w:r w:rsidR="00890DEA" w:rsidRPr="00DA3EAC">
        <w:rPr>
          <w:rFonts w:ascii="Arial" w:eastAsia="Times New Roman" w:hAnsi="Arial" w:cs="Arial"/>
          <w:sz w:val="24"/>
          <w:szCs w:val="24"/>
          <w:lang w:eastAsia="es-CO"/>
        </w:rPr>
        <w:t xml:space="preserve">el 9 de noviembre de 2006, a partir de ese momento contaba con el término improrrogable de tres años para iniciar la acción ordinaria tendiente a obtener el reajuste pensional, pero como ello solo aconteció hasta el </w:t>
      </w:r>
      <w:r w:rsidR="009E27C5" w:rsidRPr="00DA3EAC">
        <w:rPr>
          <w:rFonts w:ascii="Arial" w:eastAsia="Times New Roman" w:hAnsi="Arial" w:cs="Arial"/>
          <w:sz w:val="24"/>
          <w:szCs w:val="24"/>
          <w:lang w:eastAsia="es-CO"/>
        </w:rPr>
        <w:t>2</w:t>
      </w:r>
      <w:r w:rsidR="0071315B" w:rsidRPr="00DA3EAC">
        <w:rPr>
          <w:rFonts w:ascii="Arial" w:eastAsia="Times New Roman" w:hAnsi="Arial" w:cs="Arial"/>
          <w:sz w:val="24"/>
          <w:szCs w:val="24"/>
          <w:lang w:eastAsia="es-CO"/>
        </w:rPr>
        <w:t xml:space="preserve"> de julio</w:t>
      </w:r>
      <w:r w:rsidR="009E27C5" w:rsidRPr="00DA3EAC">
        <w:rPr>
          <w:rFonts w:ascii="Arial" w:eastAsia="Times New Roman" w:hAnsi="Arial" w:cs="Arial"/>
          <w:sz w:val="24"/>
          <w:szCs w:val="24"/>
          <w:lang w:eastAsia="es-CO"/>
        </w:rPr>
        <w:t xml:space="preserve"> de 2014</w:t>
      </w:r>
      <w:r w:rsidR="00987C58" w:rsidRPr="00DA3EAC">
        <w:rPr>
          <w:rFonts w:ascii="Arial" w:eastAsia="Times New Roman" w:hAnsi="Arial" w:cs="Arial"/>
          <w:sz w:val="24"/>
          <w:szCs w:val="24"/>
          <w:lang w:eastAsia="es-CO"/>
        </w:rPr>
        <w:t xml:space="preserve"> -archivo 05 carpeta primera instancia-</w:t>
      </w:r>
      <w:r w:rsidR="00402D68" w:rsidRPr="00DA3EAC">
        <w:rPr>
          <w:rFonts w:ascii="Arial" w:eastAsia="Times New Roman" w:hAnsi="Arial" w:cs="Arial"/>
          <w:sz w:val="24"/>
          <w:szCs w:val="24"/>
          <w:lang w:eastAsia="es-CO"/>
        </w:rPr>
        <w:t xml:space="preserve">, las diferencias pensionales causadas con antelación al mes de </w:t>
      </w:r>
      <w:r w:rsidR="0071315B" w:rsidRPr="00DA3EAC">
        <w:rPr>
          <w:rFonts w:ascii="Arial" w:eastAsia="Times New Roman" w:hAnsi="Arial" w:cs="Arial"/>
          <w:sz w:val="24"/>
          <w:szCs w:val="24"/>
          <w:lang w:eastAsia="es-CO"/>
        </w:rPr>
        <w:t xml:space="preserve">julio de 2011 se encuentran prescritas, dado que </w:t>
      </w:r>
      <w:r w:rsidR="004F7839" w:rsidRPr="00DA3EAC">
        <w:rPr>
          <w:rFonts w:ascii="Arial" w:eastAsia="Times New Roman" w:hAnsi="Arial" w:cs="Arial"/>
          <w:sz w:val="24"/>
          <w:szCs w:val="24"/>
          <w:lang w:eastAsia="es-CO"/>
        </w:rPr>
        <w:t>las mesadas generadas en ese mes se hacen exigibles en el mes siguiente</w:t>
      </w:r>
      <w:r w:rsidR="005A5E93" w:rsidRPr="00DA3EAC">
        <w:rPr>
          <w:rFonts w:ascii="Arial" w:eastAsia="Times New Roman" w:hAnsi="Arial" w:cs="Arial"/>
          <w:sz w:val="24"/>
          <w:szCs w:val="24"/>
          <w:lang w:eastAsia="es-CO"/>
        </w:rPr>
        <w:t xml:space="preserve">, sin embargo, como la falladora de primera instancia determinó que estaban prescritas todas las obligaciones </w:t>
      </w:r>
      <w:r w:rsidR="00537718" w:rsidRPr="00DA3EAC">
        <w:rPr>
          <w:rFonts w:ascii="Arial" w:eastAsia="Times New Roman" w:hAnsi="Arial" w:cs="Arial"/>
          <w:sz w:val="24"/>
          <w:szCs w:val="24"/>
          <w:lang w:eastAsia="es-CO"/>
        </w:rPr>
        <w:t xml:space="preserve">causadas antes del 2 de julio de 2011, decisión que no fue objeto de controversia por </w:t>
      </w:r>
      <w:r w:rsidR="005E05B1" w:rsidRPr="00DA3EAC">
        <w:rPr>
          <w:rFonts w:ascii="Arial" w:eastAsia="Times New Roman" w:hAnsi="Arial" w:cs="Arial"/>
          <w:sz w:val="24"/>
          <w:szCs w:val="24"/>
          <w:lang w:eastAsia="es-CO"/>
        </w:rPr>
        <w:t xml:space="preserve">la parte interesada, la misma se conservará en aplicación del principio de la no </w:t>
      </w:r>
      <w:proofErr w:type="spellStart"/>
      <w:r w:rsidR="005E05B1" w:rsidRPr="00DA3EAC">
        <w:rPr>
          <w:rFonts w:ascii="Arial" w:eastAsia="Times New Roman" w:hAnsi="Arial" w:cs="Arial"/>
          <w:i/>
          <w:sz w:val="24"/>
          <w:szCs w:val="24"/>
          <w:lang w:eastAsia="es-CO"/>
        </w:rPr>
        <w:t>reformatio</w:t>
      </w:r>
      <w:proofErr w:type="spellEnd"/>
      <w:r w:rsidR="005E05B1" w:rsidRPr="00DA3EAC">
        <w:rPr>
          <w:rFonts w:ascii="Arial" w:eastAsia="Times New Roman" w:hAnsi="Arial" w:cs="Arial"/>
          <w:i/>
          <w:sz w:val="24"/>
          <w:szCs w:val="24"/>
          <w:lang w:eastAsia="es-CO"/>
        </w:rPr>
        <w:t xml:space="preserve"> in </w:t>
      </w:r>
      <w:proofErr w:type="spellStart"/>
      <w:r w:rsidR="005E05B1" w:rsidRPr="00DA3EAC">
        <w:rPr>
          <w:rFonts w:ascii="Arial" w:eastAsia="Times New Roman" w:hAnsi="Arial" w:cs="Arial"/>
          <w:i/>
          <w:sz w:val="24"/>
          <w:szCs w:val="24"/>
          <w:lang w:eastAsia="es-CO"/>
        </w:rPr>
        <w:t>pejus</w:t>
      </w:r>
      <w:proofErr w:type="spellEnd"/>
      <w:r w:rsidR="005E05B1" w:rsidRPr="00DA3EAC">
        <w:rPr>
          <w:rFonts w:ascii="Arial" w:eastAsia="Times New Roman" w:hAnsi="Arial" w:cs="Arial"/>
          <w:sz w:val="24"/>
          <w:szCs w:val="24"/>
          <w:lang w:eastAsia="es-CO"/>
        </w:rPr>
        <w:t>.</w:t>
      </w:r>
    </w:p>
    <w:p w14:paraId="6F34AB06" w14:textId="77777777" w:rsidR="005E05B1" w:rsidRPr="00DA3EAC" w:rsidRDefault="005E05B1" w:rsidP="00DA3EAC">
      <w:pPr>
        <w:spacing w:after="0"/>
        <w:jc w:val="both"/>
        <w:textAlignment w:val="baseline"/>
        <w:rPr>
          <w:rFonts w:ascii="Arial" w:eastAsia="Times New Roman" w:hAnsi="Arial" w:cs="Arial"/>
          <w:sz w:val="24"/>
          <w:szCs w:val="24"/>
          <w:lang w:eastAsia="es-CO"/>
        </w:rPr>
      </w:pPr>
    </w:p>
    <w:p w14:paraId="45026813" w14:textId="3303B7C5" w:rsidR="005E05B1" w:rsidRPr="00DA3EAC" w:rsidRDefault="005E05B1"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De acuerdo con lo anotado, procederá la Sala a verificar si </w:t>
      </w:r>
      <w:r w:rsidR="000B499C" w:rsidRPr="00DA3EAC">
        <w:rPr>
          <w:rFonts w:ascii="Arial" w:eastAsia="Times New Roman" w:hAnsi="Arial" w:cs="Arial"/>
          <w:sz w:val="24"/>
          <w:szCs w:val="24"/>
          <w:lang w:eastAsia="es-CO"/>
        </w:rPr>
        <w:t xml:space="preserve">el juzgado de conocimiento liquidó correctamente la diferencia pensional generada a favor de la señora María Dolores </w:t>
      </w:r>
      <w:r w:rsidR="00DD34A1" w:rsidRPr="00DA3EAC">
        <w:rPr>
          <w:rFonts w:ascii="Arial" w:eastAsia="Times New Roman" w:hAnsi="Arial" w:cs="Arial"/>
          <w:sz w:val="24"/>
          <w:szCs w:val="24"/>
          <w:lang w:eastAsia="es-CO"/>
        </w:rPr>
        <w:t>Álzate</w:t>
      </w:r>
      <w:r w:rsidR="000B499C" w:rsidRPr="00DA3EAC">
        <w:rPr>
          <w:rFonts w:ascii="Arial" w:eastAsia="Times New Roman" w:hAnsi="Arial" w:cs="Arial"/>
          <w:sz w:val="24"/>
          <w:szCs w:val="24"/>
          <w:lang w:eastAsia="es-CO"/>
        </w:rPr>
        <w:t xml:space="preserve"> de Herrera entre el 2 de julio de 2011 y el 31 de diciembre de 2022</w:t>
      </w:r>
      <w:r w:rsidR="009A3831" w:rsidRPr="00DA3EAC">
        <w:rPr>
          <w:rFonts w:ascii="Arial" w:eastAsia="Times New Roman" w:hAnsi="Arial" w:cs="Arial"/>
          <w:sz w:val="24"/>
          <w:szCs w:val="24"/>
          <w:lang w:eastAsia="es-CO"/>
        </w:rPr>
        <w:t>, para posteriormente al resultado arrojado sumarle la diferencia causada entre el 1° de enero de 2023 y el 31 de mayo de 2023, con el fin de actualizar la condena.</w:t>
      </w:r>
    </w:p>
    <w:p w14:paraId="30ADD037" w14:textId="77777777" w:rsidR="00DD34A1" w:rsidRPr="00DA3EAC" w:rsidRDefault="00DD34A1" w:rsidP="00DA3EAC">
      <w:pPr>
        <w:spacing w:after="0"/>
        <w:jc w:val="both"/>
        <w:textAlignment w:val="baseline"/>
        <w:rPr>
          <w:rFonts w:ascii="Arial" w:eastAsia="Times New Roman" w:hAnsi="Arial" w:cs="Arial"/>
          <w:sz w:val="24"/>
          <w:szCs w:val="24"/>
          <w:lang w:eastAsia="es-CO"/>
        </w:rPr>
      </w:pPr>
    </w:p>
    <w:p w14:paraId="39C8524D" w14:textId="77777777" w:rsidR="00D61081" w:rsidRPr="00DA3EAC" w:rsidRDefault="00D61081" w:rsidP="00DA3EAC">
      <w:pPr>
        <w:spacing w:after="0"/>
        <w:jc w:val="both"/>
        <w:textAlignment w:val="baseline"/>
        <w:rPr>
          <w:rFonts w:ascii="Arial" w:eastAsia="Times New Roman" w:hAnsi="Arial" w:cs="Arial"/>
          <w:sz w:val="24"/>
          <w:szCs w:val="24"/>
          <w:lang w:eastAsia="es-CO"/>
        </w:rPr>
      </w:pPr>
    </w:p>
    <w:tbl>
      <w:tblPr>
        <w:tblStyle w:val="Tablaconcuadrcula"/>
        <w:tblW w:w="5000" w:type="pct"/>
        <w:tblLook w:val="04A0" w:firstRow="1" w:lastRow="0" w:firstColumn="1" w:lastColumn="0" w:noHBand="0" w:noVBand="1"/>
      </w:tblPr>
      <w:tblGrid>
        <w:gridCol w:w="1373"/>
        <w:gridCol w:w="1498"/>
        <w:gridCol w:w="1500"/>
        <w:gridCol w:w="1493"/>
        <w:gridCol w:w="1465"/>
        <w:gridCol w:w="1728"/>
      </w:tblGrid>
      <w:tr w:rsidR="00D61081" w:rsidRPr="008C2D2D" w14:paraId="2998AF07" w14:textId="77777777" w:rsidTr="00DD34A1">
        <w:tc>
          <w:tcPr>
            <w:tcW w:w="758" w:type="pct"/>
          </w:tcPr>
          <w:p w14:paraId="550A2053" w14:textId="77777777"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Año</w:t>
            </w:r>
          </w:p>
        </w:tc>
        <w:tc>
          <w:tcPr>
            <w:tcW w:w="827" w:type="pct"/>
          </w:tcPr>
          <w:p w14:paraId="0086ED84" w14:textId="08E95DB2"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 xml:space="preserve">Mesada </w:t>
            </w:r>
            <w:proofErr w:type="spellStart"/>
            <w:r w:rsidR="00D45B1E" w:rsidRPr="008C2D2D">
              <w:rPr>
                <w:rFonts w:ascii="Agency FB" w:eastAsia="Times New Roman" w:hAnsi="Agency FB" w:cs="Arial"/>
                <w:b/>
                <w:bCs/>
                <w:sz w:val="24"/>
                <w:szCs w:val="24"/>
                <w:lang w:eastAsia="es-CO"/>
              </w:rPr>
              <w:t>Reaj</w:t>
            </w:r>
            <w:proofErr w:type="spellEnd"/>
            <w:r w:rsidR="00D45B1E" w:rsidRPr="008C2D2D">
              <w:rPr>
                <w:rFonts w:ascii="Agency FB" w:eastAsia="Times New Roman" w:hAnsi="Agency FB" w:cs="Arial"/>
                <w:b/>
                <w:bCs/>
                <w:sz w:val="24"/>
                <w:szCs w:val="24"/>
                <w:lang w:eastAsia="es-CO"/>
              </w:rPr>
              <w:t>.</w:t>
            </w:r>
          </w:p>
        </w:tc>
        <w:tc>
          <w:tcPr>
            <w:tcW w:w="828" w:type="pct"/>
          </w:tcPr>
          <w:p w14:paraId="5352A0DE" w14:textId="721E0274"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 xml:space="preserve">Mesada </w:t>
            </w:r>
            <w:r w:rsidR="00D45B1E" w:rsidRPr="008C2D2D">
              <w:rPr>
                <w:rFonts w:ascii="Agency FB" w:eastAsia="Times New Roman" w:hAnsi="Agency FB" w:cs="Arial"/>
                <w:b/>
                <w:bCs/>
                <w:sz w:val="24"/>
                <w:szCs w:val="24"/>
                <w:lang w:eastAsia="es-CO"/>
              </w:rPr>
              <w:t>ISS</w:t>
            </w:r>
          </w:p>
        </w:tc>
        <w:tc>
          <w:tcPr>
            <w:tcW w:w="824" w:type="pct"/>
          </w:tcPr>
          <w:p w14:paraId="23F23C2B" w14:textId="77777777"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Diferencia</w:t>
            </w:r>
          </w:p>
        </w:tc>
        <w:tc>
          <w:tcPr>
            <w:tcW w:w="809" w:type="pct"/>
          </w:tcPr>
          <w:p w14:paraId="1EFB028F" w14:textId="77777777"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N° Mesadas</w:t>
            </w:r>
          </w:p>
        </w:tc>
        <w:tc>
          <w:tcPr>
            <w:tcW w:w="954" w:type="pct"/>
          </w:tcPr>
          <w:p w14:paraId="1E9DDFA0" w14:textId="77777777"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Total</w:t>
            </w:r>
          </w:p>
        </w:tc>
      </w:tr>
      <w:tr w:rsidR="005E6CD3" w:rsidRPr="008C2D2D" w14:paraId="0E50BB6F" w14:textId="77777777" w:rsidTr="00DD34A1">
        <w:tc>
          <w:tcPr>
            <w:tcW w:w="758" w:type="pct"/>
          </w:tcPr>
          <w:p w14:paraId="4857FF10" w14:textId="2120E28A" w:rsidR="005E6CD3" w:rsidRPr="008C2D2D" w:rsidRDefault="005E6CD3"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2006</w:t>
            </w:r>
          </w:p>
        </w:tc>
        <w:tc>
          <w:tcPr>
            <w:tcW w:w="827" w:type="pct"/>
          </w:tcPr>
          <w:p w14:paraId="72E0D3BD" w14:textId="47A06BF1" w:rsidR="005E6CD3" w:rsidRPr="008C2D2D" w:rsidRDefault="00D45B1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$1.612.304</w:t>
            </w:r>
          </w:p>
        </w:tc>
        <w:tc>
          <w:tcPr>
            <w:tcW w:w="828" w:type="pct"/>
          </w:tcPr>
          <w:p w14:paraId="3627EC14" w14:textId="5C6FD21B" w:rsidR="005E6CD3" w:rsidRPr="008C2D2D" w:rsidRDefault="006B54C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$1.150.803</w:t>
            </w:r>
          </w:p>
        </w:tc>
        <w:tc>
          <w:tcPr>
            <w:tcW w:w="824" w:type="pct"/>
          </w:tcPr>
          <w:p w14:paraId="34987CD4"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809" w:type="pct"/>
          </w:tcPr>
          <w:p w14:paraId="58F9A861"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954" w:type="pct"/>
          </w:tcPr>
          <w:p w14:paraId="7CBD897F"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r>
      <w:tr w:rsidR="005E6CD3" w:rsidRPr="008C2D2D" w14:paraId="288D1FFB" w14:textId="77777777" w:rsidTr="00DD34A1">
        <w:tc>
          <w:tcPr>
            <w:tcW w:w="758" w:type="pct"/>
          </w:tcPr>
          <w:p w14:paraId="7D0240C4" w14:textId="27A1B8CB"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2007</w:t>
            </w:r>
          </w:p>
        </w:tc>
        <w:tc>
          <w:tcPr>
            <w:tcW w:w="827" w:type="pct"/>
          </w:tcPr>
          <w:p w14:paraId="5A7B9E35" w14:textId="08C567D1" w:rsidR="005E6CD3" w:rsidRPr="008C2D2D" w:rsidRDefault="006B54C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$1.684.535</w:t>
            </w:r>
          </w:p>
        </w:tc>
        <w:tc>
          <w:tcPr>
            <w:tcW w:w="828" w:type="pct"/>
          </w:tcPr>
          <w:p w14:paraId="53713823" w14:textId="437148CF" w:rsidR="005E6CD3" w:rsidRPr="008C2D2D" w:rsidRDefault="006B54C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$1.202.359</w:t>
            </w:r>
          </w:p>
        </w:tc>
        <w:tc>
          <w:tcPr>
            <w:tcW w:w="824" w:type="pct"/>
          </w:tcPr>
          <w:p w14:paraId="39836B3C"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809" w:type="pct"/>
          </w:tcPr>
          <w:p w14:paraId="01B5B272"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954" w:type="pct"/>
          </w:tcPr>
          <w:p w14:paraId="328B6421"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r>
      <w:tr w:rsidR="005E6CD3" w:rsidRPr="008C2D2D" w14:paraId="0436F60A" w14:textId="77777777" w:rsidTr="00DD34A1">
        <w:tc>
          <w:tcPr>
            <w:tcW w:w="758" w:type="pct"/>
          </w:tcPr>
          <w:p w14:paraId="3EA84C41" w14:textId="24B3B95B"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2008</w:t>
            </w:r>
          </w:p>
        </w:tc>
        <w:tc>
          <w:tcPr>
            <w:tcW w:w="827" w:type="pct"/>
          </w:tcPr>
          <w:p w14:paraId="59822058" w14:textId="3BE30A25" w:rsidR="005E6CD3" w:rsidRPr="008C2D2D" w:rsidRDefault="006B54C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871DC8" w:rsidRPr="008C2D2D">
              <w:rPr>
                <w:rFonts w:ascii="Agency FB" w:eastAsia="Times New Roman" w:hAnsi="Agency FB" w:cs="Arial"/>
                <w:sz w:val="24"/>
                <w:szCs w:val="24"/>
                <w:lang w:eastAsia="es-CO"/>
              </w:rPr>
              <w:t>1.780.385</w:t>
            </w:r>
          </w:p>
        </w:tc>
        <w:tc>
          <w:tcPr>
            <w:tcW w:w="828" w:type="pct"/>
          </w:tcPr>
          <w:p w14:paraId="701FBBCA" w14:textId="0FD0B511" w:rsidR="005E6CD3" w:rsidRPr="008C2D2D" w:rsidRDefault="00871DC8"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$1.270.773</w:t>
            </w:r>
          </w:p>
        </w:tc>
        <w:tc>
          <w:tcPr>
            <w:tcW w:w="824" w:type="pct"/>
          </w:tcPr>
          <w:p w14:paraId="0C741CD6"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809" w:type="pct"/>
          </w:tcPr>
          <w:p w14:paraId="5D82F94F"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954" w:type="pct"/>
          </w:tcPr>
          <w:p w14:paraId="04A3350D"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r>
      <w:tr w:rsidR="005E6CD3" w:rsidRPr="008C2D2D" w14:paraId="3E3845C1" w14:textId="77777777" w:rsidTr="00DD34A1">
        <w:tc>
          <w:tcPr>
            <w:tcW w:w="758" w:type="pct"/>
          </w:tcPr>
          <w:p w14:paraId="5B903E34" w14:textId="7BD242FD"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2009</w:t>
            </w:r>
          </w:p>
        </w:tc>
        <w:tc>
          <w:tcPr>
            <w:tcW w:w="827" w:type="pct"/>
          </w:tcPr>
          <w:p w14:paraId="47AF44A8" w14:textId="69FEFCF0" w:rsidR="005E6CD3" w:rsidRPr="008C2D2D" w:rsidRDefault="00871DC8"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w:t>
            </w:r>
            <w:r w:rsidR="001D7D05" w:rsidRPr="008C2D2D">
              <w:rPr>
                <w:rFonts w:ascii="Agency FB" w:eastAsia="Times New Roman" w:hAnsi="Agency FB" w:cs="Arial"/>
                <w:sz w:val="24"/>
                <w:szCs w:val="24"/>
                <w:lang w:eastAsia="es-CO"/>
              </w:rPr>
              <w:t>.916.941</w:t>
            </w:r>
          </w:p>
        </w:tc>
        <w:tc>
          <w:tcPr>
            <w:tcW w:w="828" w:type="pct"/>
          </w:tcPr>
          <w:p w14:paraId="29E9ACDC" w14:textId="2C2BAFE2" w:rsidR="005E6CD3" w:rsidRPr="008C2D2D" w:rsidRDefault="001D7D05"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$1.368.242</w:t>
            </w:r>
          </w:p>
        </w:tc>
        <w:tc>
          <w:tcPr>
            <w:tcW w:w="824" w:type="pct"/>
          </w:tcPr>
          <w:p w14:paraId="049946DF"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809" w:type="pct"/>
          </w:tcPr>
          <w:p w14:paraId="07408F6A"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954" w:type="pct"/>
          </w:tcPr>
          <w:p w14:paraId="52CA840A"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r>
      <w:tr w:rsidR="005E6CD3" w:rsidRPr="008C2D2D" w14:paraId="10C79D95" w14:textId="77777777" w:rsidTr="00DD34A1">
        <w:tc>
          <w:tcPr>
            <w:tcW w:w="758" w:type="pct"/>
          </w:tcPr>
          <w:p w14:paraId="2C31199F" w14:textId="3FA43684"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2010</w:t>
            </w:r>
          </w:p>
        </w:tc>
        <w:tc>
          <w:tcPr>
            <w:tcW w:w="827" w:type="pct"/>
          </w:tcPr>
          <w:p w14:paraId="72B0B137" w14:textId="412F2FE1" w:rsidR="005E6CD3" w:rsidRPr="008C2D2D" w:rsidRDefault="001D7D05"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6800FB" w:rsidRPr="008C2D2D">
              <w:rPr>
                <w:rFonts w:ascii="Agency FB" w:eastAsia="Times New Roman" w:hAnsi="Agency FB" w:cs="Arial"/>
                <w:sz w:val="24"/>
                <w:szCs w:val="24"/>
                <w:lang w:eastAsia="es-CO"/>
              </w:rPr>
              <w:t>1.955.280</w:t>
            </w:r>
          </w:p>
        </w:tc>
        <w:tc>
          <w:tcPr>
            <w:tcW w:w="828" w:type="pct"/>
          </w:tcPr>
          <w:p w14:paraId="7F8B7D9E" w14:textId="4804812A" w:rsidR="005E6CD3" w:rsidRPr="008C2D2D" w:rsidRDefault="00C12AC8"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6800FB" w:rsidRPr="008C2D2D">
              <w:rPr>
                <w:rFonts w:ascii="Agency FB" w:eastAsia="Times New Roman" w:hAnsi="Agency FB" w:cs="Arial"/>
                <w:sz w:val="24"/>
                <w:szCs w:val="24"/>
                <w:lang w:eastAsia="es-CO"/>
              </w:rPr>
              <w:t>1.395.</w:t>
            </w:r>
            <w:r w:rsidR="00F33387" w:rsidRPr="008C2D2D">
              <w:rPr>
                <w:rFonts w:ascii="Agency FB" w:eastAsia="Times New Roman" w:hAnsi="Agency FB" w:cs="Arial"/>
                <w:sz w:val="24"/>
                <w:szCs w:val="24"/>
                <w:lang w:eastAsia="es-CO"/>
              </w:rPr>
              <w:t>606</w:t>
            </w:r>
          </w:p>
        </w:tc>
        <w:tc>
          <w:tcPr>
            <w:tcW w:w="824" w:type="pct"/>
          </w:tcPr>
          <w:p w14:paraId="255F134E" w14:textId="43C494B3"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809" w:type="pct"/>
          </w:tcPr>
          <w:p w14:paraId="4B746962"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c>
          <w:tcPr>
            <w:tcW w:w="954" w:type="pct"/>
          </w:tcPr>
          <w:p w14:paraId="4BFBAA78" w14:textId="77777777" w:rsidR="005E6CD3" w:rsidRPr="008C2D2D" w:rsidRDefault="005E6CD3" w:rsidP="008C2D2D">
            <w:pPr>
              <w:spacing w:after="0"/>
              <w:jc w:val="center"/>
              <w:textAlignment w:val="baseline"/>
              <w:rPr>
                <w:rFonts w:ascii="Agency FB" w:eastAsia="Times New Roman" w:hAnsi="Agency FB" w:cs="Arial"/>
                <w:sz w:val="24"/>
                <w:szCs w:val="24"/>
                <w:lang w:eastAsia="es-CO"/>
              </w:rPr>
            </w:pPr>
          </w:p>
        </w:tc>
      </w:tr>
      <w:tr w:rsidR="005E6CD3" w:rsidRPr="008C2D2D" w14:paraId="20833EDC" w14:textId="77777777" w:rsidTr="00DD34A1">
        <w:tc>
          <w:tcPr>
            <w:tcW w:w="758" w:type="pct"/>
          </w:tcPr>
          <w:p w14:paraId="010988C3" w14:textId="5671FFEE"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2011</w:t>
            </w:r>
          </w:p>
        </w:tc>
        <w:tc>
          <w:tcPr>
            <w:tcW w:w="827" w:type="pct"/>
          </w:tcPr>
          <w:p w14:paraId="65D04CAC" w14:textId="478FED12" w:rsidR="005E6CD3" w:rsidRPr="008C2D2D" w:rsidRDefault="00C12AC8"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w:t>
            </w:r>
            <w:r w:rsidR="00F33387" w:rsidRPr="008C2D2D">
              <w:rPr>
                <w:rFonts w:ascii="Agency FB" w:eastAsia="Times New Roman" w:hAnsi="Agency FB" w:cs="Arial"/>
                <w:sz w:val="24"/>
                <w:szCs w:val="24"/>
                <w:lang w:eastAsia="es-CO"/>
              </w:rPr>
              <w:t>017.262</w:t>
            </w:r>
          </w:p>
        </w:tc>
        <w:tc>
          <w:tcPr>
            <w:tcW w:w="828" w:type="pct"/>
          </w:tcPr>
          <w:p w14:paraId="031A464B" w14:textId="28B2B9B9" w:rsidR="005E6CD3" w:rsidRPr="008C2D2D" w:rsidRDefault="00F3338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$1.439.847</w:t>
            </w:r>
          </w:p>
        </w:tc>
        <w:tc>
          <w:tcPr>
            <w:tcW w:w="824" w:type="pct"/>
          </w:tcPr>
          <w:p w14:paraId="22076817" w14:textId="08CD60B5" w:rsidR="005E6CD3" w:rsidRPr="008C2D2D" w:rsidRDefault="00830F89"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$577.415</w:t>
            </w:r>
          </w:p>
        </w:tc>
        <w:tc>
          <w:tcPr>
            <w:tcW w:w="809" w:type="pct"/>
          </w:tcPr>
          <w:p w14:paraId="113100B8" w14:textId="13A03AB3" w:rsidR="005E6CD3" w:rsidRPr="008C2D2D" w:rsidRDefault="00456DD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6,96</w:t>
            </w:r>
          </w:p>
        </w:tc>
        <w:tc>
          <w:tcPr>
            <w:tcW w:w="954" w:type="pct"/>
          </w:tcPr>
          <w:p w14:paraId="1FF54C77" w14:textId="5A6A14D2" w:rsidR="005E6CD3" w:rsidRPr="008C2D2D" w:rsidRDefault="00456DD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$4.018.808</w:t>
            </w:r>
          </w:p>
        </w:tc>
      </w:tr>
      <w:tr w:rsidR="005E6CD3" w:rsidRPr="008C2D2D" w14:paraId="400B9A34" w14:textId="77777777" w:rsidTr="00DD34A1">
        <w:tc>
          <w:tcPr>
            <w:tcW w:w="758" w:type="pct"/>
          </w:tcPr>
          <w:p w14:paraId="71E631B7" w14:textId="18182602"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2012</w:t>
            </w:r>
          </w:p>
        </w:tc>
        <w:tc>
          <w:tcPr>
            <w:tcW w:w="827" w:type="pct"/>
          </w:tcPr>
          <w:p w14:paraId="270E3C3B" w14:textId="3F9A4D81" w:rsidR="005E6CD3" w:rsidRPr="008C2D2D" w:rsidRDefault="007F66CF"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4B0277" w:rsidRPr="008C2D2D">
              <w:rPr>
                <w:rFonts w:ascii="Agency FB" w:eastAsia="Times New Roman" w:hAnsi="Agency FB" w:cs="Arial"/>
                <w:sz w:val="24"/>
                <w:szCs w:val="24"/>
                <w:lang w:eastAsia="es-CO"/>
              </w:rPr>
              <w:t>2.092.506</w:t>
            </w:r>
          </w:p>
        </w:tc>
        <w:tc>
          <w:tcPr>
            <w:tcW w:w="828" w:type="pct"/>
          </w:tcPr>
          <w:p w14:paraId="68297BEC" w14:textId="61F76FCF" w:rsidR="005E6CD3" w:rsidRPr="008C2D2D" w:rsidRDefault="004B02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$1.493.553</w:t>
            </w:r>
          </w:p>
        </w:tc>
        <w:tc>
          <w:tcPr>
            <w:tcW w:w="824" w:type="pct"/>
          </w:tcPr>
          <w:p w14:paraId="1A83FA6F" w14:textId="2691C3BF" w:rsidR="005E6CD3" w:rsidRPr="008C2D2D" w:rsidRDefault="0083228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$598.953</w:t>
            </w:r>
          </w:p>
        </w:tc>
        <w:tc>
          <w:tcPr>
            <w:tcW w:w="809" w:type="pct"/>
          </w:tcPr>
          <w:p w14:paraId="542B24CD" w14:textId="01356D63" w:rsidR="005E6CD3" w:rsidRPr="008C2D2D" w:rsidRDefault="0083228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162FBA52" w14:textId="66193088" w:rsidR="005E6CD3" w:rsidRPr="008C2D2D" w:rsidRDefault="0083228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$8.385.342</w:t>
            </w:r>
          </w:p>
        </w:tc>
      </w:tr>
      <w:tr w:rsidR="005E6CD3" w:rsidRPr="008C2D2D" w14:paraId="329A8AAA" w14:textId="77777777" w:rsidTr="00DD34A1">
        <w:tc>
          <w:tcPr>
            <w:tcW w:w="758" w:type="pct"/>
          </w:tcPr>
          <w:p w14:paraId="6F724ED7" w14:textId="73AF05C9"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2013</w:t>
            </w:r>
          </w:p>
        </w:tc>
        <w:tc>
          <w:tcPr>
            <w:tcW w:w="827" w:type="pct"/>
          </w:tcPr>
          <w:p w14:paraId="0F477715" w14:textId="069039F5" w:rsidR="005E6CD3" w:rsidRPr="008C2D2D" w:rsidRDefault="00B072F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$2.143.563</w:t>
            </w:r>
          </w:p>
        </w:tc>
        <w:tc>
          <w:tcPr>
            <w:tcW w:w="828" w:type="pct"/>
          </w:tcPr>
          <w:p w14:paraId="43B02689" w14:textId="1DE8FAFE" w:rsidR="005E6CD3" w:rsidRPr="008C2D2D" w:rsidRDefault="000E1FF6"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9F776F" w:rsidRPr="008C2D2D">
              <w:rPr>
                <w:rFonts w:ascii="Agency FB" w:eastAsia="Times New Roman" w:hAnsi="Agency FB" w:cs="Arial"/>
                <w:sz w:val="24"/>
                <w:szCs w:val="24"/>
                <w:lang w:eastAsia="es-CO"/>
              </w:rPr>
              <w:t>1.529.996</w:t>
            </w:r>
          </w:p>
        </w:tc>
        <w:tc>
          <w:tcPr>
            <w:tcW w:w="824" w:type="pct"/>
          </w:tcPr>
          <w:p w14:paraId="57C341AA" w14:textId="3A1A8831" w:rsidR="005E6CD3" w:rsidRPr="008C2D2D" w:rsidRDefault="00432652"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2377BC" w:rsidRPr="008C2D2D">
              <w:rPr>
                <w:rFonts w:ascii="Agency FB" w:eastAsia="Times New Roman" w:hAnsi="Agency FB" w:cs="Arial"/>
                <w:sz w:val="24"/>
                <w:szCs w:val="24"/>
                <w:lang w:eastAsia="es-CO"/>
              </w:rPr>
              <w:t>613.567</w:t>
            </w:r>
          </w:p>
        </w:tc>
        <w:tc>
          <w:tcPr>
            <w:tcW w:w="809" w:type="pct"/>
          </w:tcPr>
          <w:p w14:paraId="78BB062C" w14:textId="40ECC6AB" w:rsidR="005E6CD3" w:rsidRPr="008C2D2D" w:rsidRDefault="00D372E6"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39E8CA02" w14:textId="29C1CB2C" w:rsidR="005E6CD3" w:rsidRPr="008C2D2D" w:rsidRDefault="00D372E6"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$8.589.938</w:t>
            </w:r>
          </w:p>
        </w:tc>
      </w:tr>
      <w:tr w:rsidR="005E6CD3" w:rsidRPr="008C2D2D" w14:paraId="0131E717" w14:textId="77777777" w:rsidTr="00DD34A1">
        <w:tc>
          <w:tcPr>
            <w:tcW w:w="758" w:type="pct"/>
          </w:tcPr>
          <w:p w14:paraId="55FFD253" w14:textId="73098392"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2014</w:t>
            </w:r>
          </w:p>
        </w:tc>
        <w:tc>
          <w:tcPr>
            <w:tcW w:w="827" w:type="pct"/>
          </w:tcPr>
          <w:p w14:paraId="5234AA78" w14:textId="76B10A00" w:rsidR="005E6CD3" w:rsidRPr="008C2D2D" w:rsidRDefault="00B072F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FB47DE" w:rsidRPr="008C2D2D">
              <w:rPr>
                <w:rFonts w:ascii="Agency FB" w:eastAsia="Times New Roman" w:hAnsi="Agency FB" w:cs="Arial"/>
                <w:sz w:val="24"/>
                <w:szCs w:val="24"/>
                <w:lang w:eastAsia="es-CO"/>
              </w:rPr>
              <w:t>2.185.148</w:t>
            </w:r>
          </w:p>
        </w:tc>
        <w:tc>
          <w:tcPr>
            <w:tcW w:w="828" w:type="pct"/>
          </w:tcPr>
          <w:p w14:paraId="497CA226" w14:textId="616E83C1" w:rsidR="005E6CD3" w:rsidRPr="008C2D2D" w:rsidRDefault="000E1FF6"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$1.559.678</w:t>
            </w:r>
          </w:p>
        </w:tc>
        <w:tc>
          <w:tcPr>
            <w:tcW w:w="824" w:type="pct"/>
          </w:tcPr>
          <w:p w14:paraId="4D655C81" w14:textId="2E7035E1" w:rsidR="005E6CD3" w:rsidRPr="008C2D2D" w:rsidRDefault="00D372E6"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1B02BD" w:rsidRPr="008C2D2D">
              <w:rPr>
                <w:rFonts w:ascii="Agency FB" w:eastAsia="Times New Roman" w:hAnsi="Agency FB" w:cs="Arial"/>
                <w:sz w:val="24"/>
                <w:szCs w:val="24"/>
                <w:lang w:eastAsia="es-CO"/>
              </w:rPr>
              <w:t>625.470</w:t>
            </w:r>
          </w:p>
        </w:tc>
        <w:tc>
          <w:tcPr>
            <w:tcW w:w="809" w:type="pct"/>
          </w:tcPr>
          <w:p w14:paraId="449A8C64" w14:textId="3B4D1AC5" w:rsidR="005E6CD3" w:rsidRPr="008C2D2D" w:rsidRDefault="001B02B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7808B5C3" w14:textId="073337FE" w:rsidR="005E6CD3" w:rsidRPr="008C2D2D" w:rsidRDefault="001B02B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$8.756.580</w:t>
            </w:r>
          </w:p>
        </w:tc>
      </w:tr>
      <w:tr w:rsidR="005E6CD3" w:rsidRPr="008C2D2D" w14:paraId="3C5166B9" w14:textId="77777777" w:rsidTr="00DD34A1">
        <w:tc>
          <w:tcPr>
            <w:tcW w:w="758" w:type="pct"/>
          </w:tcPr>
          <w:p w14:paraId="40A64D00" w14:textId="3A14AC76" w:rsidR="005E6CD3" w:rsidRPr="008C2D2D" w:rsidRDefault="004573BC"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2015</w:t>
            </w:r>
          </w:p>
        </w:tc>
        <w:tc>
          <w:tcPr>
            <w:tcW w:w="827" w:type="pct"/>
          </w:tcPr>
          <w:p w14:paraId="46E4D9CF" w14:textId="72B35AD1" w:rsidR="005E6CD3" w:rsidRPr="008C2D2D" w:rsidRDefault="00FB47D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$2.265.125</w:t>
            </w:r>
          </w:p>
        </w:tc>
        <w:tc>
          <w:tcPr>
            <w:tcW w:w="828" w:type="pct"/>
          </w:tcPr>
          <w:p w14:paraId="5484A7C0" w14:textId="69D7A617" w:rsidR="005E6CD3" w:rsidRPr="008C2D2D" w:rsidRDefault="005A1370"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0E1FF6" w:rsidRPr="008C2D2D">
              <w:rPr>
                <w:rFonts w:ascii="Agency FB" w:eastAsia="Times New Roman" w:hAnsi="Agency FB" w:cs="Arial"/>
                <w:sz w:val="24"/>
                <w:szCs w:val="24"/>
                <w:lang w:eastAsia="es-CO"/>
              </w:rPr>
              <w:t>1.616.762</w:t>
            </w:r>
          </w:p>
        </w:tc>
        <w:tc>
          <w:tcPr>
            <w:tcW w:w="824" w:type="pct"/>
          </w:tcPr>
          <w:p w14:paraId="00244A85" w14:textId="2804D87E" w:rsidR="005E6CD3" w:rsidRPr="008C2D2D" w:rsidRDefault="009A32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$648.363</w:t>
            </w:r>
          </w:p>
        </w:tc>
        <w:tc>
          <w:tcPr>
            <w:tcW w:w="809" w:type="pct"/>
          </w:tcPr>
          <w:p w14:paraId="0B4B74A9" w14:textId="50D5B52D" w:rsidR="005E6CD3" w:rsidRPr="008C2D2D" w:rsidRDefault="009A32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68C72E8B" w14:textId="3F308B2C" w:rsidR="005E6CD3" w:rsidRPr="008C2D2D" w:rsidRDefault="009A32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$9.077.</w:t>
            </w:r>
            <w:r w:rsidR="0057379D" w:rsidRPr="008C2D2D">
              <w:rPr>
                <w:rFonts w:ascii="Agency FB" w:eastAsia="Times New Roman" w:hAnsi="Agency FB" w:cs="Arial"/>
                <w:sz w:val="24"/>
                <w:szCs w:val="24"/>
                <w:lang w:eastAsia="es-CO"/>
              </w:rPr>
              <w:t>082</w:t>
            </w:r>
          </w:p>
        </w:tc>
      </w:tr>
      <w:tr w:rsidR="00D61081" w:rsidRPr="008C2D2D" w14:paraId="223FBAC0" w14:textId="77777777" w:rsidTr="00DD34A1">
        <w:tc>
          <w:tcPr>
            <w:tcW w:w="758" w:type="pct"/>
          </w:tcPr>
          <w:p w14:paraId="617F7855"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2016</w:t>
            </w:r>
          </w:p>
        </w:tc>
        <w:tc>
          <w:tcPr>
            <w:tcW w:w="827" w:type="pct"/>
          </w:tcPr>
          <w:p w14:paraId="72383815" w14:textId="3E19C65E" w:rsidR="00D61081" w:rsidRPr="008C2D2D" w:rsidRDefault="00FB47D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$2.418.473</w:t>
            </w:r>
          </w:p>
        </w:tc>
        <w:tc>
          <w:tcPr>
            <w:tcW w:w="828" w:type="pct"/>
          </w:tcPr>
          <w:p w14:paraId="71CC6A59" w14:textId="012932A4" w:rsidR="00D61081" w:rsidRPr="008C2D2D" w:rsidRDefault="005A1370"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$1.726.217</w:t>
            </w:r>
          </w:p>
        </w:tc>
        <w:tc>
          <w:tcPr>
            <w:tcW w:w="824" w:type="pct"/>
          </w:tcPr>
          <w:p w14:paraId="4A18C7C0" w14:textId="06EEC9FE" w:rsidR="00D61081" w:rsidRPr="008C2D2D" w:rsidRDefault="00204E2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$692.256</w:t>
            </w:r>
          </w:p>
        </w:tc>
        <w:tc>
          <w:tcPr>
            <w:tcW w:w="809" w:type="pct"/>
          </w:tcPr>
          <w:p w14:paraId="33B3EE7D" w14:textId="37D20668" w:rsidR="00D61081" w:rsidRPr="008C2D2D" w:rsidRDefault="00204E2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18D0EDCE" w14:textId="6E194756" w:rsidR="00D61081" w:rsidRPr="008C2D2D" w:rsidRDefault="00204E2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$9.691.584</w:t>
            </w:r>
          </w:p>
        </w:tc>
      </w:tr>
      <w:tr w:rsidR="00D61081" w:rsidRPr="008C2D2D" w14:paraId="22283F61" w14:textId="77777777" w:rsidTr="00DD34A1">
        <w:tc>
          <w:tcPr>
            <w:tcW w:w="758" w:type="pct"/>
          </w:tcPr>
          <w:p w14:paraId="01EC1319" w14:textId="1F429C3F" w:rsidR="00D61081" w:rsidRPr="008C2D2D" w:rsidRDefault="004B02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2017</w:t>
            </w:r>
          </w:p>
        </w:tc>
        <w:tc>
          <w:tcPr>
            <w:tcW w:w="827" w:type="pct"/>
          </w:tcPr>
          <w:p w14:paraId="58A55429" w14:textId="7F0DFBFC" w:rsidR="00D61081" w:rsidRPr="008C2D2D" w:rsidRDefault="00FB47D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$2.557.536</w:t>
            </w:r>
          </w:p>
        </w:tc>
        <w:tc>
          <w:tcPr>
            <w:tcW w:w="828" w:type="pct"/>
          </w:tcPr>
          <w:p w14:paraId="599A9DEF" w14:textId="52DE317B" w:rsidR="00D61081" w:rsidRPr="008C2D2D" w:rsidRDefault="005547D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$1.825.</w:t>
            </w:r>
            <w:r w:rsidR="005A1370" w:rsidRPr="008C2D2D">
              <w:rPr>
                <w:rFonts w:ascii="Agency FB" w:eastAsia="Times New Roman" w:hAnsi="Agency FB" w:cs="Arial"/>
                <w:sz w:val="24"/>
                <w:szCs w:val="24"/>
                <w:lang w:eastAsia="es-CO"/>
              </w:rPr>
              <w:t>474</w:t>
            </w:r>
          </w:p>
        </w:tc>
        <w:tc>
          <w:tcPr>
            <w:tcW w:w="824" w:type="pct"/>
          </w:tcPr>
          <w:p w14:paraId="1BA9C007" w14:textId="44FFB42F" w:rsidR="00D61081" w:rsidRPr="008C2D2D" w:rsidRDefault="00EB707D"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1354FB" w:rsidRPr="008C2D2D">
              <w:rPr>
                <w:rFonts w:ascii="Agency FB" w:eastAsia="Times New Roman" w:hAnsi="Agency FB" w:cs="Arial"/>
                <w:sz w:val="24"/>
                <w:szCs w:val="24"/>
                <w:lang w:eastAsia="es-CO"/>
              </w:rPr>
              <w:t>732.062</w:t>
            </w:r>
          </w:p>
        </w:tc>
        <w:tc>
          <w:tcPr>
            <w:tcW w:w="809" w:type="pct"/>
          </w:tcPr>
          <w:p w14:paraId="5A389D17" w14:textId="24BF1822" w:rsidR="00D61081" w:rsidRPr="008C2D2D" w:rsidRDefault="001354F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48EF5F4F" w14:textId="0A539FBD" w:rsidR="00D61081" w:rsidRPr="008C2D2D" w:rsidRDefault="001354F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$10.248.868</w:t>
            </w:r>
          </w:p>
        </w:tc>
      </w:tr>
      <w:tr w:rsidR="00D61081" w:rsidRPr="008C2D2D" w14:paraId="48746ED1" w14:textId="77777777" w:rsidTr="00DD34A1">
        <w:tc>
          <w:tcPr>
            <w:tcW w:w="758" w:type="pct"/>
          </w:tcPr>
          <w:p w14:paraId="7D14325E"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2018</w:t>
            </w:r>
          </w:p>
        </w:tc>
        <w:tc>
          <w:tcPr>
            <w:tcW w:w="827" w:type="pct"/>
          </w:tcPr>
          <w:p w14:paraId="0ADD40F4" w14:textId="71523FDF" w:rsidR="00D61081" w:rsidRPr="008C2D2D" w:rsidRDefault="00345F84"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$2.662.139</w:t>
            </w:r>
          </w:p>
        </w:tc>
        <w:tc>
          <w:tcPr>
            <w:tcW w:w="828" w:type="pct"/>
          </w:tcPr>
          <w:p w14:paraId="65118D68" w14:textId="7758DB65" w:rsidR="00D61081" w:rsidRPr="008C2D2D" w:rsidRDefault="005547D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$1.900.136</w:t>
            </w:r>
          </w:p>
        </w:tc>
        <w:tc>
          <w:tcPr>
            <w:tcW w:w="824" w:type="pct"/>
          </w:tcPr>
          <w:p w14:paraId="6D6AB488" w14:textId="417EA2B1" w:rsidR="00D61081" w:rsidRPr="008C2D2D" w:rsidRDefault="001354F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6D72BE" w:rsidRPr="008C2D2D">
              <w:rPr>
                <w:rFonts w:ascii="Agency FB" w:eastAsia="Times New Roman" w:hAnsi="Agency FB" w:cs="Arial"/>
                <w:sz w:val="24"/>
                <w:szCs w:val="24"/>
                <w:lang w:eastAsia="es-CO"/>
              </w:rPr>
              <w:t>762.003</w:t>
            </w:r>
          </w:p>
        </w:tc>
        <w:tc>
          <w:tcPr>
            <w:tcW w:w="809" w:type="pct"/>
          </w:tcPr>
          <w:p w14:paraId="319CB8DF" w14:textId="192B82CE" w:rsidR="00D61081" w:rsidRPr="008C2D2D" w:rsidRDefault="006D72B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646D1967" w14:textId="23845FCC" w:rsidR="00D61081" w:rsidRPr="008C2D2D" w:rsidRDefault="006D72B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$10.668.042</w:t>
            </w:r>
          </w:p>
        </w:tc>
      </w:tr>
      <w:tr w:rsidR="00D61081" w:rsidRPr="008C2D2D" w14:paraId="3766DF08" w14:textId="77777777" w:rsidTr="00DD34A1">
        <w:tc>
          <w:tcPr>
            <w:tcW w:w="758" w:type="pct"/>
          </w:tcPr>
          <w:p w14:paraId="35CC1F11"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2019</w:t>
            </w:r>
          </w:p>
        </w:tc>
        <w:tc>
          <w:tcPr>
            <w:tcW w:w="827" w:type="pct"/>
          </w:tcPr>
          <w:p w14:paraId="72D0B287" w14:textId="31B9753B" w:rsidR="00D61081" w:rsidRPr="008C2D2D" w:rsidRDefault="00345F84"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$2.746.795</w:t>
            </w:r>
          </w:p>
        </w:tc>
        <w:tc>
          <w:tcPr>
            <w:tcW w:w="828" w:type="pct"/>
          </w:tcPr>
          <w:p w14:paraId="4B5DDFB3" w14:textId="7CCE251F" w:rsidR="00D61081" w:rsidRPr="008C2D2D" w:rsidRDefault="005547D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$1.960.561</w:t>
            </w:r>
          </w:p>
        </w:tc>
        <w:tc>
          <w:tcPr>
            <w:tcW w:w="824" w:type="pct"/>
          </w:tcPr>
          <w:p w14:paraId="6B5BBD34" w14:textId="5AC8B034" w:rsidR="00D61081" w:rsidRPr="008C2D2D" w:rsidRDefault="00E236C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$786.234</w:t>
            </w:r>
          </w:p>
        </w:tc>
        <w:tc>
          <w:tcPr>
            <w:tcW w:w="809" w:type="pct"/>
          </w:tcPr>
          <w:p w14:paraId="3976524D" w14:textId="45C4619C" w:rsidR="00D61081" w:rsidRPr="008C2D2D" w:rsidRDefault="00E236C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0B4028B8" w14:textId="1D54A6B5" w:rsidR="00D61081" w:rsidRPr="008C2D2D" w:rsidRDefault="00E236C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$11.007.276</w:t>
            </w:r>
          </w:p>
        </w:tc>
      </w:tr>
      <w:tr w:rsidR="00D61081" w:rsidRPr="008C2D2D" w14:paraId="47073532" w14:textId="77777777" w:rsidTr="00DD34A1">
        <w:tc>
          <w:tcPr>
            <w:tcW w:w="758" w:type="pct"/>
          </w:tcPr>
          <w:p w14:paraId="0086F4A0"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2020</w:t>
            </w:r>
          </w:p>
        </w:tc>
        <w:tc>
          <w:tcPr>
            <w:tcW w:w="827" w:type="pct"/>
          </w:tcPr>
          <w:p w14:paraId="546352E0" w14:textId="7C5E727B" w:rsidR="00D61081" w:rsidRPr="008C2D2D" w:rsidRDefault="00345F84"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$2.851.173</w:t>
            </w:r>
          </w:p>
        </w:tc>
        <w:tc>
          <w:tcPr>
            <w:tcW w:w="828" w:type="pct"/>
          </w:tcPr>
          <w:p w14:paraId="016F306D" w14:textId="52DB7FB0" w:rsidR="00D61081" w:rsidRPr="008C2D2D" w:rsidRDefault="00D21B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5547D1" w:rsidRPr="008C2D2D">
              <w:rPr>
                <w:rFonts w:ascii="Agency FB" w:eastAsia="Times New Roman" w:hAnsi="Agency FB" w:cs="Arial"/>
                <w:sz w:val="24"/>
                <w:szCs w:val="24"/>
                <w:lang w:eastAsia="es-CO"/>
              </w:rPr>
              <w:t>2.035.062</w:t>
            </w:r>
          </w:p>
        </w:tc>
        <w:tc>
          <w:tcPr>
            <w:tcW w:w="824" w:type="pct"/>
          </w:tcPr>
          <w:p w14:paraId="21A16465" w14:textId="53DFD0C8" w:rsidR="00D61081" w:rsidRPr="008C2D2D" w:rsidRDefault="00E236CE"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390B0B" w:rsidRPr="008C2D2D">
              <w:rPr>
                <w:rFonts w:ascii="Agency FB" w:eastAsia="Times New Roman" w:hAnsi="Agency FB" w:cs="Arial"/>
                <w:sz w:val="24"/>
                <w:szCs w:val="24"/>
                <w:lang w:eastAsia="es-CO"/>
              </w:rPr>
              <w:t>816.111</w:t>
            </w:r>
          </w:p>
        </w:tc>
        <w:tc>
          <w:tcPr>
            <w:tcW w:w="809" w:type="pct"/>
          </w:tcPr>
          <w:p w14:paraId="47954345" w14:textId="1C3B72C7" w:rsidR="00D61081" w:rsidRPr="008C2D2D" w:rsidRDefault="00390B0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44428578" w14:textId="46B2E677" w:rsidR="00D61081" w:rsidRPr="008C2D2D" w:rsidRDefault="00390B0B"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$11.425.554</w:t>
            </w:r>
          </w:p>
        </w:tc>
      </w:tr>
      <w:tr w:rsidR="00D61081" w:rsidRPr="008C2D2D" w14:paraId="3134561A" w14:textId="77777777" w:rsidTr="00DD34A1">
        <w:tc>
          <w:tcPr>
            <w:tcW w:w="758" w:type="pct"/>
          </w:tcPr>
          <w:p w14:paraId="7A908884"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2021</w:t>
            </w:r>
          </w:p>
        </w:tc>
        <w:tc>
          <w:tcPr>
            <w:tcW w:w="827" w:type="pct"/>
          </w:tcPr>
          <w:p w14:paraId="15D2297D" w14:textId="004271CC" w:rsidR="00D61081" w:rsidRPr="008C2D2D" w:rsidRDefault="00345F84"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w:t>
            </w:r>
            <w:r w:rsidR="00D21B77" w:rsidRPr="008C2D2D">
              <w:rPr>
                <w:rFonts w:ascii="Agency FB" w:eastAsia="Times New Roman" w:hAnsi="Agency FB" w:cs="Arial"/>
                <w:sz w:val="24"/>
                <w:szCs w:val="24"/>
                <w:lang w:eastAsia="es-CO"/>
              </w:rPr>
              <w:t>2.897.077</w:t>
            </w:r>
          </w:p>
        </w:tc>
        <w:tc>
          <w:tcPr>
            <w:tcW w:w="828" w:type="pct"/>
          </w:tcPr>
          <w:p w14:paraId="3A8E6BDD" w14:textId="190FF106" w:rsidR="00D61081" w:rsidRPr="008C2D2D" w:rsidRDefault="00D21B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$2.067.827</w:t>
            </w:r>
          </w:p>
        </w:tc>
        <w:tc>
          <w:tcPr>
            <w:tcW w:w="824" w:type="pct"/>
          </w:tcPr>
          <w:p w14:paraId="04CCD3C2" w14:textId="48504923" w:rsidR="00D61081" w:rsidRPr="008C2D2D" w:rsidRDefault="001C2F0A"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$829.250</w:t>
            </w:r>
          </w:p>
        </w:tc>
        <w:tc>
          <w:tcPr>
            <w:tcW w:w="809" w:type="pct"/>
          </w:tcPr>
          <w:p w14:paraId="40E45E1E" w14:textId="22925503" w:rsidR="00D61081" w:rsidRPr="008C2D2D" w:rsidRDefault="001C2F0A"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13FB77EC" w14:textId="09DB1F9C" w:rsidR="00D61081" w:rsidRPr="008C2D2D" w:rsidRDefault="001C2F0A"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$11.609.500</w:t>
            </w:r>
          </w:p>
        </w:tc>
      </w:tr>
      <w:tr w:rsidR="00D61081" w:rsidRPr="008C2D2D" w14:paraId="7BDA016C" w14:textId="77777777" w:rsidTr="00DD34A1">
        <w:tc>
          <w:tcPr>
            <w:tcW w:w="758" w:type="pct"/>
          </w:tcPr>
          <w:p w14:paraId="3FD7F438"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2022</w:t>
            </w:r>
          </w:p>
        </w:tc>
        <w:tc>
          <w:tcPr>
            <w:tcW w:w="827" w:type="pct"/>
          </w:tcPr>
          <w:p w14:paraId="5AC0DAD7" w14:textId="61A1D593" w:rsidR="00D61081" w:rsidRPr="008C2D2D" w:rsidRDefault="00D21B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$3.059.893</w:t>
            </w:r>
          </w:p>
        </w:tc>
        <w:tc>
          <w:tcPr>
            <w:tcW w:w="828" w:type="pct"/>
          </w:tcPr>
          <w:p w14:paraId="3398436C" w14:textId="38BF826D" w:rsidR="00D61081" w:rsidRPr="008C2D2D" w:rsidRDefault="00D21B7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$2.184.038</w:t>
            </w:r>
          </w:p>
        </w:tc>
        <w:tc>
          <w:tcPr>
            <w:tcW w:w="824" w:type="pct"/>
          </w:tcPr>
          <w:p w14:paraId="735F4D7D" w14:textId="256EF80C" w:rsidR="00D61081" w:rsidRPr="008C2D2D" w:rsidRDefault="00D42E5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$875.855</w:t>
            </w:r>
          </w:p>
        </w:tc>
        <w:tc>
          <w:tcPr>
            <w:tcW w:w="809" w:type="pct"/>
          </w:tcPr>
          <w:p w14:paraId="2A2CAAA6" w14:textId="097334BB" w:rsidR="00D61081" w:rsidRPr="008C2D2D" w:rsidRDefault="00D42E5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14</w:t>
            </w:r>
          </w:p>
        </w:tc>
        <w:tc>
          <w:tcPr>
            <w:tcW w:w="954" w:type="pct"/>
          </w:tcPr>
          <w:p w14:paraId="0E9B6E0F" w14:textId="1B1E62E7" w:rsidR="00D61081" w:rsidRPr="008C2D2D" w:rsidRDefault="00D42E57" w:rsidP="008C2D2D">
            <w:pPr>
              <w:spacing w:after="0"/>
              <w:jc w:val="center"/>
              <w:textAlignment w:val="baseline"/>
              <w:rPr>
                <w:rFonts w:ascii="Agency FB" w:eastAsia="Times New Roman" w:hAnsi="Agency FB" w:cs="Arial"/>
                <w:sz w:val="24"/>
                <w:szCs w:val="24"/>
                <w:lang w:eastAsia="es-CO"/>
              </w:rPr>
            </w:pPr>
            <w:r w:rsidRPr="008C2D2D">
              <w:rPr>
                <w:rFonts w:ascii="Agency FB" w:eastAsia="Times New Roman" w:hAnsi="Agency FB" w:cs="Arial"/>
                <w:sz w:val="24"/>
                <w:szCs w:val="24"/>
                <w:lang w:eastAsia="es-CO"/>
              </w:rPr>
              <w:t>$12.</w:t>
            </w:r>
            <w:r w:rsidR="00287484" w:rsidRPr="008C2D2D">
              <w:rPr>
                <w:rFonts w:ascii="Agency FB" w:eastAsia="Times New Roman" w:hAnsi="Agency FB" w:cs="Arial"/>
                <w:sz w:val="24"/>
                <w:szCs w:val="24"/>
                <w:lang w:eastAsia="es-CO"/>
              </w:rPr>
              <w:t>261.970</w:t>
            </w:r>
          </w:p>
        </w:tc>
      </w:tr>
      <w:tr w:rsidR="00D61081" w:rsidRPr="008C2D2D" w14:paraId="05F6E807" w14:textId="77777777" w:rsidTr="00DD34A1">
        <w:tc>
          <w:tcPr>
            <w:tcW w:w="758" w:type="pct"/>
          </w:tcPr>
          <w:p w14:paraId="3E2D843E"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p>
        </w:tc>
        <w:tc>
          <w:tcPr>
            <w:tcW w:w="827" w:type="pct"/>
          </w:tcPr>
          <w:p w14:paraId="73371896"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p>
        </w:tc>
        <w:tc>
          <w:tcPr>
            <w:tcW w:w="828" w:type="pct"/>
          </w:tcPr>
          <w:p w14:paraId="23B71912"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p>
        </w:tc>
        <w:tc>
          <w:tcPr>
            <w:tcW w:w="824" w:type="pct"/>
          </w:tcPr>
          <w:p w14:paraId="424994A4" w14:textId="77777777" w:rsidR="00D61081" w:rsidRPr="008C2D2D" w:rsidRDefault="00D61081" w:rsidP="008C2D2D">
            <w:pPr>
              <w:spacing w:after="0"/>
              <w:jc w:val="center"/>
              <w:textAlignment w:val="baseline"/>
              <w:rPr>
                <w:rFonts w:ascii="Agency FB" w:eastAsia="Times New Roman" w:hAnsi="Agency FB" w:cs="Arial"/>
                <w:sz w:val="24"/>
                <w:szCs w:val="24"/>
                <w:lang w:eastAsia="es-CO"/>
              </w:rPr>
            </w:pPr>
          </w:p>
        </w:tc>
        <w:tc>
          <w:tcPr>
            <w:tcW w:w="809" w:type="pct"/>
          </w:tcPr>
          <w:p w14:paraId="1BD82DE6" w14:textId="77777777" w:rsidR="00D61081" w:rsidRPr="008C2D2D" w:rsidRDefault="00D61081"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TOTAL</w:t>
            </w:r>
          </w:p>
        </w:tc>
        <w:tc>
          <w:tcPr>
            <w:tcW w:w="954" w:type="pct"/>
          </w:tcPr>
          <w:p w14:paraId="4F658D9F" w14:textId="651BBBB6" w:rsidR="00D61081" w:rsidRPr="008C2D2D" w:rsidRDefault="00652559" w:rsidP="008C2D2D">
            <w:pPr>
              <w:spacing w:after="0"/>
              <w:jc w:val="center"/>
              <w:textAlignment w:val="baseline"/>
              <w:rPr>
                <w:rFonts w:ascii="Agency FB" w:eastAsia="Times New Roman" w:hAnsi="Agency FB" w:cs="Arial"/>
                <w:b/>
                <w:bCs/>
                <w:sz w:val="24"/>
                <w:szCs w:val="24"/>
                <w:lang w:eastAsia="es-CO"/>
              </w:rPr>
            </w:pPr>
            <w:r w:rsidRPr="008C2D2D">
              <w:rPr>
                <w:rFonts w:ascii="Agency FB" w:eastAsia="Times New Roman" w:hAnsi="Agency FB" w:cs="Arial"/>
                <w:b/>
                <w:bCs/>
                <w:sz w:val="24"/>
                <w:szCs w:val="24"/>
                <w:lang w:eastAsia="es-CO"/>
              </w:rPr>
              <w:t>$</w:t>
            </w:r>
            <w:r w:rsidR="00656DAE" w:rsidRPr="008C2D2D">
              <w:rPr>
                <w:rFonts w:ascii="Agency FB" w:eastAsia="Times New Roman" w:hAnsi="Agency FB" w:cs="Arial"/>
                <w:b/>
                <w:bCs/>
                <w:sz w:val="24"/>
                <w:szCs w:val="24"/>
                <w:lang w:eastAsia="es-CO"/>
              </w:rPr>
              <w:t>115.740.544</w:t>
            </w:r>
          </w:p>
        </w:tc>
      </w:tr>
    </w:tbl>
    <w:p w14:paraId="6C301128" w14:textId="77777777" w:rsidR="00D61081" w:rsidRPr="00DA3EAC" w:rsidRDefault="00D61081" w:rsidP="00DA3EAC">
      <w:pPr>
        <w:spacing w:after="0"/>
        <w:jc w:val="both"/>
        <w:textAlignment w:val="baseline"/>
        <w:rPr>
          <w:rFonts w:ascii="Arial" w:eastAsia="Times New Roman" w:hAnsi="Arial" w:cs="Arial"/>
          <w:sz w:val="24"/>
          <w:szCs w:val="24"/>
          <w:lang w:eastAsia="es-CO"/>
        </w:rPr>
      </w:pPr>
    </w:p>
    <w:p w14:paraId="36CEE741" w14:textId="607784FB" w:rsidR="00656DAE" w:rsidRPr="00DA3EAC" w:rsidRDefault="00D61081"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Como se </w:t>
      </w:r>
      <w:r w:rsidR="00656DAE" w:rsidRPr="00DA3EAC">
        <w:rPr>
          <w:rFonts w:ascii="Arial" w:eastAsia="Times New Roman" w:hAnsi="Arial" w:cs="Arial"/>
          <w:sz w:val="24"/>
          <w:szCs w:val="24"/>
          <w:lang w:eastAsia="es-CO"/>
        </w:rPr>
        <w:t xml:space="preserve">ve </w:t>
      </w:r>
      <w:r w:rsidRPr="00DA3EAC">
        <w:rPr>
          <w:rFonts w:ascii="Arial" w:eastAsia="Times New Roman" w:hAnsi="Arial" w:cs="Arial"/>
          <w:sz w:val="24"/>
          <w:szCs w:val="24"/>
          <w:lang w:eastAsia="es-CO"/>
        </w:rPr>
        <w:t xml:space="preserve">en la tabla, </w:t>
      </w:r>
      <w:r w:rsidR="00656DAE" w:rsidRPr="00DA3EAC">
        <w:rPr>
          <w:rFonts w:ascii="Arial" w:eastAsia="Times New Roman" w:hAnsi="Arial" w:cs="Arial"/>
          <w:sz w:val="24"/>
          <w:szCs w:val="24"/>
          <w:lang w:eastAsia="es-CO"/>
        </w:rPr>
        <w:t>la</w:t>
      </w:r>
      <w:r w:rsidRPr="00DA3EAC">
        <w:rPr>
          <w:rFonts w:ascii="Arial" w:eastAsia="Times New Roman" w:hAnsi="Arial" w:cs="Arial"/>
          <w:sz w:val="24"/>
          <w:szCs w:val="24"/>
          <w:lang w:eastAsia="es-CO"/>
        </w:rPr>
        <w:t xml:space="preserve"> demandante t</w:t>
      </w:r>
      <w:r w:rsidR="00656DAE" w:rsidRPr="00DA3EAC">
        <w:rPr>
          <w:rFonts w:ascii="Arial" w:eastAsia="Times New Roman" w:hAnsi="Arial" w:cs="Arial"/>
          <w:sz w:val="24"/>
          <w:szCs w:val="24"/>
          <w:lang w:eastAsia="es-CO"/>
        </w:rPr>
        <w:t>enía</w:t>
      </w:r>
      <w:r w:rsidRPr="00DA3EAC">
        <w:rPr>
          <w:rFonts w:ascii="Arial" w:eastAsia="Times New Roman" w:hAnsi="Arial" w:cs="Arial"/>
          <w:sz w:val="24"/>
          <w:szCs w:val="24"/>
          <w:lang w:eastAsia="es-CO"/>
        </w:rPr>
        <w:t xml:space="preserve"> derecho a que se le</w:t>
      </w:r>
      <w:r w:rsidR="00656DAE" w:rsidRPr="00DA3EAC">
        <w:rPr>
          <w:rFonts w:ascii="Arial" w:eastAsia="Times New Roman" w:hAnsi="Arial" w:cs="Arial"/>
          <w:sz w:val="24"/>
          <w:szCs w:val="24"/>
          <w:lang w:eastAsia="es-CO"/>
        </w:rPr>
        <w:t xml:space="preserve"> reconociera por concepto de diferencia pensional causada entre el 2 de julio de 2011 y el 31 de diciembre de 2022 la suma de $115.740.544 y no la suma de $115.740.526</w:t>
      </w:r>
      <w:r w:rsidR="00551682" w:rsidRPr="00DA3EAC">
        <w:rPr>
          <w:rFonts w:ascii="Arial" w:eastAsia="Times New Roman" w:hAnsi="Arial" w:cs="Arial"/>
          <w:sz w:val="24"/>
          <w:szCs w:val="24"/>
          <w:lang w:eastAsia="es-CO"/>
        </w:rPr>
        <w:t xml:space="preserve"> fijada por la </w:t>
      </w:r>
      <w:r w:rsidR="00551682" w:rsidRPr="00DA3EAC">
        <w:rPr>
          <w:rFonts w:ascii="Arial" w:eastAsia="Times New Roman" w:hAnsi="Arial" w:cs="Arial"/>
          <w:i/>
          <w:iCs/>
          <w:sz w:val="24"/>
          <w:szCs w:val="24"/>
          <w:lang w:eastAsia="es-CO"/>
        </w:rPr>
        <w:t>a quo</w:t>
      </w:r>
      <w:r w:rsidR="00551682" w:rsidRPr="00DA3EAC">
        <w:rPr>
          <w:rFonts w:ascii="Arial" w:eastAsia="Times New Roman" w:hAnsi="Arial" w:cs="Arial"/>
          <w:sz w:val="24"/>
          <w:szCs w:val="24"/>
          <w:lang w:eastAsia="es-CO"/>
        </w:rPr>
        <w:t xml:space="preserve">, sin embargo, como esa decisión tampoco fue controvertida por la actora, ella se mantendrá en aplicación del principio de la no </w:t>
      </w:r>
      <w:proofErr w:type="spellStart"/>
      <w:r w:rsidR="00551682" w:rsidRPr="00DA3EAC">
        <w:rPr>
          <w:rFonts w:ascii="Arial" w:eastAsia="Times New Roman" w:hAnsi="Arial" w:cs="Arial"/>
          <w:i/>
          <w:sz w:val="24"/>
          <w:szCs w:val="24"/>
          <w:lang w:eastAsia="es-CO"/>
        </w:rPr>
        <w:t>reformatio</w:t>
      </w:r>
      <w:proofErr w:type="spellEnd"/>
      <w:r w:rsidR="00551682" w:rsidRPr="00DA3EAC">
        <w:rPr>
          <w:rFonts w:ascii="Arial" w:eastAsia="Times New Roman" w:hAnsi="Arial" w:cs="Arial"/>
          <w:i/>
          <w:sz w:val="24"/>
          <w:szCs w:val="24"/>
          <w:lang w:eastAsia="es-CO"/>
        </w:rPr>
        <w:t xml:space="preserve"> in </w:t>
      </w:r>
      <w:proofErr w:type="spellStart"/>
      <w:r w:rsidR="00551682" w:rsidRPr="00DA3EAC">
        <w:rPr>
          <w:rFonts w:ascii="Arial" w:eastAsia="Times New Roman" w:hAnsi="Arial" w:cs="Arial"/>
          <w:i/>
          <w:sz w:val="24"/>
          <w:szCs w:val="24"/>
          <w:lang w:eastAsia="es-CO"/>
        </w:rPr>
        <w:t>pejus</w:t>
      </w:r>
      <w:proofErr w:type="spellEnd"/>
      <w:r w:rsidR="00551682" w:rsidRPr="00DA3EAC">
        <w:rPr>
          <w:rFonts w:ascii="Arial" w:eastAsia="Times New Roman" w:hAnsi="Arial" w:cs="Arial"/>
          <w:sz w:val="24"/>
          <w:szCs w:val="24"/>
          <w:lang w:eastAsia="es-CO"/>
        </w:rPr>
        <w:t>.</w:t>
      </w:r>
    </w:p>
    <w:p w14:paraId="7317D72A" w14:textId="77777777" w:rsidR="00551682" w:rsidRPr="00DA3EAC" w:rsidRDefault="00551682" w:rsidP="00DA3EAC">
      <w:pPr>
        <w:spacing w:after="0"/>
        <w:jc w:val="both"/>
        <w:textAlignment w:val="baseline"/>
        <w:rPr>
          <w:rFonts w:ascii="Arial" w:eastAsia="Times New Roman" w:hAnsi="Arial" w:cs="Arial"/>
          <w:sz w:val="24"/>
          <w:szCs w:val="24"/>
          <w:lang w:eastAsia="es-CO"/>
        </w:rPr>
      </w:pPr>
    </w:p>
    <w:p w14:paraId="2CCFC48C" w14:textId="4EC38F66" w:rsidR="00551682" w:rsidRPr="00DA3EAC" w:rsidRDefault="00551682" w:rsidP="00DA3EAC">
      <w:pPr>
        <w:spacing w:after="0"/>
        <w:jc w:val="both"/>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Ahora, </w:t>
      </w:r>
      <w:r w:rsidR="00BB13A3" w:rsidRPr="00DA3EAC">
        <w:rPr>
          <w:rFonts w:ascii="Arial" w:eastAsia="Times New Roman" w:hAnsi="Arial" w:cs="Arial"/>
          <w:sz w:val="24"/>
          <w:szCs w:val="24"/>
          <w:lang w:eastAsia="es-CO"/>
        </w:rPr>
        <w:t>como el IPC del año 2022 fue del 13.12%,</w:t>
      </w:r>
      <w:r w:rsidR="00CE700C" w:rsidRPr="00DA3EAC">
        <w:rPr>
          <w:rFonts w:ascii="Arial" w:eastAsia="Times New Roman" w:hAnsi="Arial" w:cs="Arial"/>
          <w:sz w:val="24"/>
          <w:szCs w:val="24"/>
          <w:lang w:eastAsia="es-CO"/>
        </w:rPr>
        <w:t xml:space="preserve"> </w:t>
      </w:r>
      <w:r w:rsidR="00BB13A3" w:rsidRPr="00DA3EAC">
        <w:rPr>
          <w:rFonts w:ascii="Arial" w:eastAsia="Times New Roman" w:hAnsi="Arial" w:cs="Arial"/>
          <w:sz w:val="24"/>
          <w:szCs w:val="24"/>
          <w:lang w:eastAsia="es-CO"/>
        </w:rPr>
        <w:t xml:space="preserve">la mesada pensional que viene percibiendo la señora María Dolores </w:t>
      </w:r>
      <w:r w:rsidR="00DD34A1" w:rsidRPr="00DA3EAC">
        <w:rPr>
          <w:rFonts w:ascii="Arial" w:eastAsia="Times New Roman" w:hAnsi="Arial" w:cs="Arial"/>
          <w:sz w:val="24"/>
          <w:szCs w:val="24"/>
          <w:lang w:eastAsia="es-CO"/>
        </w:rPr>
        <w:t>Álzate</w:t>
      </w:r>
      <w:r w:rsidR="00BB13A3" w:rsidRPr="00DA3EAC">
        <w:rPr>
          <w:rFonts w:ascii="Arial" w:eastAsia="Times New Roman" w:hAnsi="Arial" w:cs="Arial"/>
          <w:sz w:val="24"/>
          <w:szCs w:val="24"/>
          <w:lang w:eastAsia="es-CO"/>
        </w:rPr>
        <w:t xml:space="preserve"> de Herrera </w:t>
      </w:r>
      <w:r w:rsidR="00AE33DB" w:rsidRPr="00DA3EAC">
        <w:rPr>
          <w:rFonts w:ascii="Arial" w:eastAsia="Times New Roman" w:hAnsi="Arial" w:cs="Arial"/>
          <w:sz w:val="24"/>
          <w:szCs w:val="24"/>
          <w:lang w:eastAsia="es-CO"/>
        </w:rPr>
        <w:t>en el año 2023 es del orden de $</w:t>
      </w:r>
      <w:r w:rsidR="00A95E42" w:rsidRPr="00DA3EAC">
        <w:rPr>
          <w:rFonts w:ascii="Arial" w:eastAsia="Times New Roman" w:hAnsi="Arial" w:cs="Arial"/>
          <w:sz w:val="24"/>
          <w:szCs w:val="24"/>
          <w:lang w:eastAsia="es-CO"/>
        </w:rPr>
        <w:t>2.470.584 y la mesada debidamente reajustada equivale a la suma de $</w:t>
      </w:r>
      <w:r w:rsidR="006813E1" w:rsidRPr="00DA3EAC">
        <w:rPr>
          <w:rFonts w:ascii="Arial" w:eastAsia="Times New Roman" w:hAnsi="Arial" w:cs="Arial"/>
          <w:sz w:val="24"/>
          <w:szCs w:val="24"/>
          <w:lang w:eastAsia="es-CO"/>
        </w:rPr>
        <w:t>3.461.</w:t>
      </w:r>
      <w:r w:rsidR="00C830CE" w:rsidRPr="00DA3EAC">
        <w:rPr>
          <w:rFonts w:ascii="Arial" w:eastAsia="Times New Roman" w:hAnsi="Arial" w:cs="Arial"/>
          <w:sz w:val="24"/>
          <w:szCs w:val="24"/>
          <w:lang w:eastAsia="es-CO"/>
        </w:rPr>
        <w:t>351</w:t>
      </w:r>
      <w:r w:rsidR="00332393" w:rsidRPr="00DA3EAC">
        <w:rPr>
          <w:rFonts w:ascii="Arial" w:eastAsia="Times New Roman" w:hAnsi="Arial" w:cs="Arial"/>
          <w:sz w:val="24"/>
          <w:szCs w:val="24"/>
          <w:lang w:eastAsia="es-CO"/>
        </w:rPr>
        <w:t>, lo que permite concluir que para el año 2023 existe una diferencia pensional mensual de $</w:t>
      </w:r>
      <w:r w:rsidR="000C1B5D" w:rsidRPr="00DA3EAC">
        <w:rPr>
          <w:rFonts w:ascii="Arial" w:eastAsia="Times New Roman" w:hAnsi="Arial" w:cs="Arial"/>
          <w:sz w:val="24"/>
          <w:szCs w:val="24"/>
          <w:lang w:eastAsia="es-CO"/>
        </w:rPr>
        <w:t xml:space="preserve">990.767; por lo que por los cinco meses que han transcurrido entre el 1° de enero y el 31 de mayo de 2023, tiene derecho la actora a que se le reconozca por ese concepto la suma de </w:t>
      </w:r>
      <w:r w:rsidR="004A6AFF" w:rsidRPr="00DA3EAC">
        <w:rPr>
          <w:rFonts w:ascii="Arial" w:eastAsia="Times New Roman" w:hAnsi="Arial" w:cs="Arial"/>
          <w:sz w:val="24"/>
          <w:szCs w:val="24"/>
          <w:lang w:eastAsia="es-CO"/>
        </w:rPr>
        <w:t>$4.953.835, que sumados a los $115.740</w:t>
      </w:r>
      <w:r w:rsidR="00EF78BB" w:rsidRPr="00DA3EAC">
        <w:rPr>
          <w:rFonts w:ascii="Arial" w:eastAsia="Times New Roman" w:hAnsi="Arial" w:cs="Arial"/>
          <w:sz w:val="24"/>
          <w:szCs w:val="24"/>
          <w:lang w:eastAsia="es-CO"/>
        </w:rPr>
        <w:t>.</w:t>
      </w:r>
      <w:r w:rsidR="004A6AFF" w:rsidRPr="00DA3EAC">
        <w:rPr>
          <w:rFonts w:ascii="Arial" w:eastAsia="Times New Roman" w:hAnsi="Arial" w:cs="Arial"/>
          <w:sz w:val="24"/>
          <w:szCs w:val="24"/>
          <w:lang w:eastAsia="es-CO"/>
        </w:rPr>
        <w:t>526 causados desde el 2 de julio de 2011 hasta el 31 de diciembre de 2022, arroja una diferencia pensional total hasta el 31 de mayo de 2023 del orden de $</w:t>
      </w:r>
      <w:r w:rsidR="00EF78BB" w:rsidRPr="00DA3EAC">
        <w:rPr>
          <w:rFonts w:ascii="Arial" w:eastAsia="Times New Roman" w:hAnsi="Arial" w:cs="Arial"/>
          <w:sz w:val="24"/>
          <w:szCs w:val="24"/>
          <w:lang w:eastAsia="es-CO"/>
        </w:rPr>
        <w:t>120.694.361</w:t>
      </w:r>
      <w:r w:rsidR="3599ABBA" w:rsidRPr="00DA3EAC">
        <w:rPr>
          <w:rFonts w:ascii="Arial" w:eastAsia="Times New Roman" w:hAnsi="Arial" w:cs="Arial"/>
          <w:sz w:val="24"/>
          <w:szCs w:val="24"/>
          <w:lang w:eastAsia="es-CO"/>
        </w:rPr>
        <w:t>; sin perjuicio de la</w:t>
      </w:r>
      <w:r w:rsidR="38C5DA5F" w:rsidRPr="00DA3EAC">
        <w:rPr>
          <w:rFonts w:ascii="Arial" w:eastAsia="Times New Roman" w:hAnsi="Arial" w:cs="Arial"/>
          <w:sz w:val="24"/>
          <w:szCs w:val="24"/>
          <w:lang w:eastAsia="es-CO"/>
        </w:rPr>
        <w:t>s</w:t>
      </w:r>
      <w:r w:rsidR="3599ABBA" w:rsidRPr="00DA3EAC">
        <w:rPr>
          <w:rFonts w:ascii="Arial" w:eastAsia="Times New Roman" w:hAnsi="Arial" w:cs="Arial"/>
          <w:sz w:val="24"/>
          <w:szCs w:val="24"/>
          <w:lang w:eastAsia="es-CO"/>
        </w:rPr>
        <w:t xml:space="preserve"> diferencia</w:t>
      </w:r>
      <w:r w:rsidR="457D9DAF" w:rsidRPr="00DA3EAC">
        <w:rPr>
          <w:rFonts w:ascii="Arial" w:eastAsia="Times New Roman" w:hAnsi="Arial" w:cs="Arial"/>
          <w:sz w:val="24"/>
          <w:szCs w:val="24"/>
          <w:lang w:eastAsia="es-CO"/>
        </w:rPr>
        <w:t>s</w:t>
      </w:r>
      <w:r w:rsidR="3599ABBA" w:rsidRPr="00DA3EAC">
        <w:rPr>
          <w:rFonts w:ascii="Arial" w:eastAsia="Times New Roman" w:hAnsi="Arial" w:cs="Arial"/>
          <w:sz w:val="24"/>
          <w:szCs w:val="24"/>
          <w:lang w:eastAsia="es-CO"/>
        </w:rPr>
        <w:t xml:space="preserve"> pensional</w:t>
      </w:r>
      <w:r w:rsidR="393B4135" w:rsidRPr="00DA3EAC">
        <w:rPr>
          <w:rFonts w:ascii="Arial" w:eastAsia="Times New Roman" w:hAnsi="Arial" w:cs="Arial"/>
          <w:sz w:val="24"/>
          <w:szCs w:val="24"/>
          <w:lang w:eastAsia="es-CO"/>
        </w:rPr>
        <w:t>es</w:t>
      </w:r>
      <w:r w:rsidR="3599ABBA" w:rsidRPr="00DA3EAC">
        <w:rPr>
          <w:rFonts w:ascii="Arial" w:eastAsia="Times New Roman" w:hAnsi="Arial" w:cs="Arial"/>
          <w:sz w:val="24"/>
          <w:szCs w:val="24"/>
          <w:lang w:eastAsia="es-CO"/>
        </w:rPr>
        <w:t xml:space="preserve"> que se siga</w:t>
      </w:r>
      <w:r w:rsidR="0F244076" w:rsidRPr="00DA3EAC">
        <w:rPr>
          <w:rFonts w:ascii="Arial" w:eastAsia="Times New Roman" w:hAnsi="Arial" w:cs="Arial"/>
          <w:sz w:val="24"/>
          <w:szCs w:val="24"/>
          <w:lang w:eastAsia="es-CO"/>
        </w:rPr>
        <w:t>n</w:t>
      </w:r>
      <w:r w:rsidR="3599ABBA" w:rsidRPr="00DA3EAC">
        <w:rPr>
          <w:rFonts w:ascii="Arial" w:eastAsia="Times New Roman" w:hAnsi="Arial" w:cs="Arial"/>
          <w:sz w:val="24"/>
          <w:szCs w:val="24"/>
          <w:lang w:eastAsia="es-CO"/>
        </w:rPr>
        <w:t xml:space="preserve"> causando </w:t>
      </w:r>
      <w:r w:rsidR="51CB1C37" w:rsidRPr="00DA3EAC">
        <w:rPr>
          <w:rFonts w:ascii="Arial" w:eastAsia="Times New Roman" w:hAnsi="Arial" w:cs="Arial"/>
          <w:sz w:val="24"/>
          <w:szCs w:val="24"/>
          <w:lang w:eastAsia="es-CO"/>
        </w:rPr>
        <w:t>a futuro, lo que implica la modificación de</w:t>
      </w:r>
      <w:r w:rsidR="006256CF" w:rsidRPr="00DA3EAC">
        <w:rPr>
          <w:rFonts w:ascii="Arial" w:eastAsia="Times New Roman" w:hAnsi="Arial" w:cs="Arial"/>
          <w:sz w:val="24"/>
          <w:szCs w:val="24"/>
          <w:lang w:eastAsia="es-CO"/>
        </w:rPr>
        <w:t>l ordinal tercero de la sentencia de primer grado</w:t>
      </w:r>
      <w:r w:rsidR="3D668976" w:rsidRPr="00DA3EAC">
        <w:rPr>
          <w:rFonts w:ascii="Arial" w:eastAsia="Times New Roman" w:hAnsi="Arial" w:cs="Arial"/>
          <w:sz w:val="24"/>
          <w:szCs w:val="24"/>
          <w:lang w:eastAsia="es-CO"/>
        </w:rPr>
        <w:t>.</w:t>
      </w:r>
    </w:p>
    <w:p w14:paraId="4AB4C393" w14:textId="77777777" w:rsidR="006256CF" w:rsidRPr="00DA3EAC" w:rsidRDefault="006256CF" w:rsidP="00DA3EAC">
      <w:pPr>
        <w:spacing w:after="0"/>
        <w:jc w:val="both"/>
        <w:textAlignment w:val="baseline"/>
        <w:rPr>
          <w:rFonts w:ascii="Arial" w:eastAsia="Times New Roman" w:hAnsi="Arial" w:cs="Arial"/>
          <w:sz w:val="24"/>
          <w:szCs w:val="24"/>
          <w:lang w:eastAsia="es-CO"/>
        </w:rPr>
      </w:pPr>
    </w:p>
    <w:p w14:paraId="3C9BD93D" w14:textId="56D41589" w:rsidR="006256CF" w:rsidRPr="00DA3EAC" w:rsidRDefault="006256CF"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 xml:space="preserve">Se confirmará </w:t>
      </w:r>
      <w:r w:rsidR="00141AE0" w:rsidRPr="00DA3EAC">
        <w:rPr>
          <w:rFonts w:ascii="Arial" w:eastAsia="Times New Roman" w:hAnsi="Arial" w:cs="Arial"/>
          <w:sz w:val="24"/>
          <w:szCs w:val="24"/>
          <w:lang w:eastAsia="es-CO"/>
        </w:rPr>
        <w:t>la decisión emitida por la funcionaria de primera instancia consistente en condenar a la UGPP a reconocer y pagar la indexación de las sumas reconocidas a la demandante, dado que el paso del tiempo afecta el poder adquisitivo de la moneda en Colombia.</w:t>
      </w:r>
    </w:p>
    <w:p w14:paraId="54683B16" w14:textId="77777777" w:rsidR="00141AE0" w:rsidRPr="00DA3EAC" w:rsidRDefault="00141AE0" w:rsidP="00DA3EAC">
      <w:pPr>
        <w:spacing w:after="0"/>
        <w:jc w:val="both"/>
        <w:textAlignment w:val="baseline"/>
        <w:rPr>
          <w:rFonts w:ascii="Arial" w:eastAsia="Times New Roman" w:hAnsi="Arial" w:cs="Arial"/>
          <w:sz w:val="24"/>
          <w:szCs w:val="24"/>
          <w:lang w:eastAsia="es-CO"/>
        </w:rPr>
      </w:pPr>
    </w:p>
    <w:p w14:paraId="15467189" w14:textId="200786B4" w:rsidR="00141AE0" w:rsidRPr="00DA3EAC" w:rsidRDefault="00141AE0" w:rsidP="00DA3EAC">
      <w:pPr>
        <w:spacing w:after="0"/>
        <w:jc w:val="both"/>
        <w:textAlignment w:val="baseline"/>
        <w:rPr>
          <w:rFonts w:ascii="Arial" w:eastAsia="Times New Roman" w:hAnsi="Arial" w:cs="Arial"/>
          <w:sz w:val="24"/>
          <w:szCs w:val="24"/>
          <w:lang w:eastAsia="es-CO"/>
        </w:rPr>
      </w:pPr>
      <w:r w:rsidRPr="00DA3EAC">
        <w:rPr>
          <w:rFonts w:ascii="Arial" w:eastAsia="Times New Roman" w:hAnsi="Arial" w:cs="Arial"/>
          <w:sz w:val="24"/>
          <w:szCs w:val="24"/>
          <w:lang w:eastAsia="es-CO"/>
        </w:rPr>
        <w:t>Costas en esta sede a cargo de la entidad recurrente en un 100%, en favor de la actora.</w:t>
      </w:r>
    </w:p>
    <w:p w14:paraId="00068AE8" w14:textId="53E7163D" w:rsidR="00D61081" w:rsidRPr="00DA3EAC" w:rsidRDefault="00D61081" w:rsidP="00DA3EAC">
      <w:pPr>
        <w:spacing w:after="0"/>
        <w:jc w:val="both"/>
        <w:textAlignment w:val="baseline"/>
        <w:rPr>
          <w:rFonts w:ascii="Arial" w:eastAsia="Times New Roman" w:hAnsi="Arial" w:cs="Arial"/>
          <w:sz w:val="24"/>
          <w:szCs w:val="24"/>
          <w:lang w:eastAsia="es-CO"/>
        </w:rPr>
      </w:pPr>
      <w:r w:rsidRPr="00DA3EAC">
        <w:rPr>
          <w:rStyle w:val="eop"/>
          <w:rFonts w:ascii="Arial" w:hAnsi="Arial" w:cs="Arial"/>
          <w:sz w:val="24"/>
          <w:szCs w:val="24"/>
        </w:rPr>
        <w:lastRenderedPageBreak/>
        <w:t> </w:t>
      </w:r>
    </w:p>
    <w:p w14:paraId="160BA91F"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En mérito de lo expuesto, la </w:t>
      </w:r>
      <w:r w:rsidRPr="00DA3EAC">
        <w:rPr>
          <w:rStyle w:val="normaltextrun"/>
          <w:rFonts w:ascii="Arial" w:eastAsia="Calibri" w:hAnsi="Arial" w:cs="Arial"/>
          <w:b/>
          <w:bCs/>
        </w:rPr>
        <w:t>Sala de Decisión Laboral del Tribunal Superior de Pereira</w:t>
      </w:r>
      <w:r w:rsidRPr="00DA3EAC">
        <w:rPr>
          <w:rStyle w:val="normaltextrun"/>
          <w:rFonts w:ascii="Arial" w:eastAsia="Calibri" w:hAnsi="Arial" w:cs="Arial"/>
        </w:rPr>
        <w:t>, administrando justicia en nombre de la República y por autoridad de la ley,  </w:t>
      </w:r>
      <w:r w:rsidRPr="00DA3EAC">
        <w:rPr>
          <w:rStyle w:val="eop"/>
          <w:rFonts w:ascii="Arial" w:hAnsi="Arial" w:cs="Arial"/>
        </w:rPr>
        <w:t> </w:t>
      </w:r>
    </w:p>
    <w:p w14:paraId="5863BEA3"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05955971"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b/>
          <w:bCs/>
        </w:rPr>
        <w:t>RESUELVE</w:t>
      </w:r>
      <w:r w:rsidRPr="00DA3EAC">
        <w:rPr>
          <w:rStyle w:val="normaltextrun"/>
          <w:rFonts w:ascii="Arial" w:eastAsia="Calibri" w:hAnsi="Arial" w:cs="Arial"/>
        </w:rPr>
        <w:t>  </w:t>
      </w:r>
      <w:r w:rsidRPr="00DA3EAC">
        <w:rPr>
          <w:rStyle w:val="eop"/>
          <w:rFonts w:ascii="Arial" w:hAnsi="Arial" w:cs="Arial"/>
        </w:rPr>
        <w:t> </w:t>
      </w:r>
    </w:p>
    <w:p w14:paraId="4D94E65E" w14:textId="77777777" w:rsidR="00D61081" w:rsidRPr="00DA3EAC" w:rsidRDefault="00D61081" w:rsidP="00DA3EAC">
      <w:pPr>
        <w:pStyle w:val="paragraph"/>
        <w:spacing w:before="0" w:beforeAutospacing="0" w:after="0" w:afterAutospacing="0" w:line="276" w:lineRule="auto"/>
        <w:jc w:val="center"/>
        <w:textAlignment w:val="baseline"/>
        <w:rPr>
          <w:rFonts w:ascii="Arial" w:hAnsi="Arial" w:cs="Arial"/>
        </w:rPr>
      </w:pPr>
      <w:r w:rsidRPr="00DA3EAC">
        <w:rPr>
          <w:rStyle w:val="normaltextrun"/>
          <w:rFonts w:ascii="Arial" w:eastAsia="Calibri" w:hAnsi="Arial" w:cs="Arial"/>
        </w:rPr>
        <w:t>  </w:t>
      </w:r>
      <w:r w:rsidRPr="00DA3EAC">
        <w:rPr>
          <w:rStyle w:val="eop"/>
          <w:rFonts w:ascii="Arial" w:hAnsi="Arial" w:cs="Arial"/>
        </w:rPr>
        <w:t> </w:t>
      </w:r>
    </w:p>
    <w:p w14:paraId="64568554" w14:textId="19860112"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r w:rsidRPr="00DA3EAC">
        <w:rPr>
          <w:rStyle w:val="normaltextrun"/>
          <w:rFonts w:ascii="Arial" w:eastAsia="Calibri" w:hAnsi="Arial" w:cs="Arial"/>
          <w:b/>
          <w:bCs/>
        </w:rPr>
        <w:t xml:space="preserve">PRIMERO. MODIFICAR </w:t>
      </w:r>
      <w:r w:rsidR="00141AE0" w:rsidRPr="00DA3EAC">
        <w:rPr>
          <w:rStyle w:val="normaltextrun"/>
          <w:rFonts w:ascii="Arial" w:eastAsia="Calibri" w:hAnsi="Arial" w:cs="Arial"/>
        </w:rPr>
        <w:t xml:space="preserve">el ordinal </w:t>
      </w:r>
      <w:r w:rsidR="00BE67F5" w:rsidRPr="00DA3EAC">
        <w:rPr>
          <w:rStyle w:val="normaltextrun"/>
          <w:rFonts w:ascii="Arial" w:eastAsia="Calibri" w:hAnsi="Arial" w:cs="Arial"/>
        </w:rPr>
        <w:t>TERCERO de la sentencia proferida por el Juzgado Quinto Laboral del Circuito, con la única finalidad de actualizar la condena, el cuál quedará así</w:t>
      </w:r>
      <w:r w:rsidRPr="00DA3EAC">
        <w:rPr>
          <w:rStyle w:val="normaltextrun"/>
          <w:rFonts w:ascii="Arial" w:eastAsia="Calibri" w:hAnsi="Arial" w:cs="Arial"/>
        </w:rPr>
        <w:t>:</w:t>
      </w:r>
    </w:p>
    <w:p w14:paraId="6645D7E8" w14:textId="77777777"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rPr>
      </w:pPr>
    </w:p>
    <w:p w14:paraId="6D057516" w14:textId="63798A26" w:rsidR="00D61081" w:rsidRPr="00DA3EAC" w:rsidRDefault="00D61081" w:rsidP="00333C5C">
      <w:pPr>
        <w:pStyle w:val="paragraph"/>
        <w:spacing w:before="0" w:beforeAutospacing="0" w:after="0" w:afterAutospacing="0" w:line="276" w:lineRule="auto"/>
        <w:ind w:left="426" w:right="420"/>
        <w:jc w:val="both"/>
        <w:textAlignment w:val="baseline"/>
        <w:rPr>
          <w:rStyle w:val="normaltextrun"/>
          <w:rFonts w:ascii="Arial" w:eastAsia="Calibri" w:hAnsi="Arial" w:cs="Arial"/>
        </w:rPr>
      </w:pPr>
      <w:r w:rsidRPr="00DA3EAC">
        <w:rPr>
          <w:rStyle w:val="normaltextrun"/>
          <w:rFonts w:ascii="Arial" w:eastAsia="Calibri" w:hAnsi="Arial" w:cs="Arial"/>
          <w:i/>
          <w:iCs/>
        </w:rPr>
        <w:t>“</w:t>
      </w:r>
      <w:r w:rsidR="00BE67F5" w:rsidRPr="00DA3EAC">
        <w:rPr>
          <w:rStyle w:val="normaltextrun"/>
          <w:rFonts w:ascii="Arial" w:eastAsia="Calibri" w:hAnsi="Arial" w:cs="Arial"/>
          <w:b/>
          <w:bCs/>
          <w:i/>
          <w:iCs/>
        </w:rPr>
        <w:t>TERCERO</w:t>
      </w:r>
      <w:r w:rsidRPr="00DA3EAC">
        <w:rPr>
          <w:rStyle w:val="normaltextrun"/>
          <w:rFonts w:ascii="Arial" w:eastAsia="Calibri" w:hAnsi="Arial" w:cs="Arial"/>
          <w:b/>
          <w:bCs/>
          <w:i/>
          <w:iCs/>
        </w:rPr>
        <w:t xml:space="preserve">. CONDENAR </w:t>
      </w:r>
      <w:r w:rsidRPr="00DA3EAC">
        <w:rPr>
          <w:rStyle w:val="normaltextrun"/>
          <w:rFonts w:ascii="Arial" w:eastAsia="Calibri" w:hAnsi="Arial" w:cs="Arial"/>
          <w:i/>
          <w:iCs/>
        </w:rPr>
        <w:t xml:space="preserve">a la </w:t>
      </w:r>
      <w:r w:rsidR="00BE67F5" w:rsidRPr="00DA3EAC">
        <w:rPr>
          <w:rStyle w:val="normaltextrun"/>
          <w:rFonts w:ascii="Arial" w:eastAsia="Calibri" w:hAnsi="Arial" w:cs="Arial"/>
          <w:i/>
          <w:iCs/>
        </w:rPr>
        <w:t xml:space="preserve">UNIDAD ADMINISTRATIVA ESPECIAL </w:t>
      </w:r>
      <w:r w:rsidR="00D16B20" w:rsidRPr="00DA3EAC">
        <w:rPr>
          <w:rStyle w:val="normaltextrun"/>
          <w:rFonts w:ascii="Arial" w:eastAsia="Calibri" w:hAnsi="Arial" w:cs="Arial"/>
          <w:i/>
          <w:iCs/>
        </w:rPr>
        <w:t>DE GESTIÓN PENSIONAL Y CONTRIBUCIONES PARAFISCALES DE LA PROTECCIÓN SOCIAL -UGPP-</w:t>
      </w:r>
      <w:r w:rsidRPr="00DA3EAC">
        <w:rPr>
          <w:rStyle w:val="normaltextrun"/>
          <w:rFonts w:ascii="Arial" w:eastAsia="Calibri" w:hAnsi="Arial" w:cs="Arial"/>
          <w:i/>
          <w:iCs/>
        </w:rPr>
        <w:t xml:space="preserve"> a reconocer y pagar a favor </w:t>
      </w:r>
      <w:r w:rsidR="00D16B20" w:rsidRPr="00DA3EAC">
        <w:rPr>
          <w:rStyle w:val="normaltextrun"/>
          <w:rFonts w:ascii="Arial" w:eastAsia="Calibri" w:hAnsi="Arial" w:cs="Arial"/>
          <w:i/>
          <w:iCs/>
        </w:rPr>
        <w:t>de la señora MARÍA DOLORES ALZATE DE HERRERA la suma de $</w:t>
      </w:r>
      <w:r w:rsidR="00F015ED" w:rsidRPr="00DA3EAC">
        <w:rPr>
          <w:rStyle w:val="normaltextrun"/>
          <w:rFonts w:ascii="Arial" w:eastAsia="Calibri" w:hAnsi="Arial" w:cs="Arial"/>
          <w:i/>
          <w:iCs/>
        </w:rPr>
        <w:t>120.694.361 por concepto de diferencia pensional causada entre el 2 de julio de 2011 y el 31 de mayo de 2023</w:t>
      </w:r>
      <w:r w:rsidR="171AC209" w:rsidRPr="00DA3EAC">
        <w:rPr>
          <w:rStyle w:val="normaltextrun"/>
          <w:rFonts w:ascii="Arial" w:eastAsia="Calibri" w:hAnsi="Arial" w:cs="Arial"/>
          <w:i/>
          <w:iCs/>
        </w:rPr>
        <w:t xml:space="preserve">; sin perjuicio de las diferencias pensionales que se sigan generando a </w:t>
      </w:r>
      <w:r w:rsidR="11BD4C5B" w:rsidRPr="00DA3EAC">
        <w:rPr>
          <w:rStyle w:val="normaltextrun"/>
          <w:rFonts w:ascii="Arial" w:eastAsia="Calibri" w:hAnsi="Arial" w:cs="Arial"/>
          <w:i/>
          <w:iCs/>
        </w:rPr>
        <w:t>futuro</w:t>
      </w:r>
      <w:r w:rsidR="29D7E736" w:rsidRPr="00DA3EAC">
        <w:rPr>
          <w:rStyle w:val="normaltextrun"/>
          <w:rFonts w:ascii="Arial" w:eastAsia="Calibri" w:hAnsi="Arial" w:cs="Arial"/>
          <w:i/>
          <w:iCs/>
        </w:rPr>
        <w:t>.</w:t>
      </w:r>
      <w:r w:rsidRPr="00DA3EAC">
        <w:rPr>
          <w:rStyle w:val="normaltextrun"/>
          <w:rFonts w:ascii="Arial" w:eastAsia="Calibri" w:hAnsi="Arial" w:cs="Arial"/>
          <w:i/>
          <w:iCs/>
        </w:rPr>
        <w:t>”.</w:t>
      </w:r>
    </w:p>
    <w:p w14:paraId="0569C8A1" w14:textId="77777777" w:rsidR="00D61081" w:rsidRPr="00DA3EAC" w:rsidRDefault="00D61081" w:rsidP="00DA3EAC">
      <w:pPr>
        <w:pStyle w:val="paragraph"/>
        <w:spacing w:before="0" w:beforeAutospacing="0" w:after="0" w:afterAutospacing="0" w:line="276" w:lineRule="auto"/>
        <w:jc w:val="both"/>
        <w:textAlignment w:val="baseline"/>
        <w:rPr>
          <w:rStyle w:val="normaltextrun"/>
          <w:rFonts w:ascii="Arial" w:eastAsia="Calibri" w:hAnsi="Arial" w:cs="Arial"/>
          <w:b/>
          <w:bCs/>
        </w:rPr>
      </w:pPr>
    </w:p>
    <w:p w14:paraId="464270E0" w14:textId="1A9F02DB"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b/>
          <w:bCs/>
        </w:rPr>
        <w:t xml:space="preserve">SEGUNDO. CONFIRMAR </w:t>
      </w:r>
      <w:r w:rsidRPr="00DA3EAC">
        <w:rPr>
          <w:rStyle w:val="normaltextrun"/>
          <w:rFonts w:ascii="Arial" w:eastAsia="Calibri" w:hAnsi="Arial" w:cs="Arial"/>
        </w:rPr>
        <w:t>en todo lo demás la sentencia recurrida y consultada.</w:t>
      </w:r>
    </w:p>
    <w:p w14:paraId="7DF1178A"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eop"/>
          <w:rFonts w:ascii="Arial" w:hAnsi="Arial" w:cs="Arial"/>
        </w:rPr>
        <w:t> </w:t>
      </w:r>
    </w:p>
    <w:p w14:paraId="252104FE"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r w:rsidRPr="00DA3EAC">
        <w:rPr>
          <w:rStyle w:val="normaltextrun"/>
          <w:rFonts w:ascii="Arial" w:eastAsia="Calibri" w:hAnsi="Arial" w:cs="Arial"/>
          <w:b/>
          <w:bCs/>
        </w:rPr>
        <w:t>TERCERO. CONDENAR </w:t>
      </w:r>
      <w:r w:rsidRPr="00DA3EAC">
        <w:rPr>
          <w:rStyle w:val="normaltextrun"/>
          <w:rFonts w:ascii="Arial" w:eastAsia="Calibri" w:hAnsi="Arial" w:cs="Arial"/>
        </w:rPr>
        <w:t>en costas procesales en esta sede a la entidad recurrente en un 100%, en favor de la parte actora.</w:t>
      </w:r>
      <w:r w:rsidRPr="00DA3EAC">
        <w:rPr>
          <w:rStyle w:val="eop"/>
          <w:rFonts w:ascii="Arial" w:hAnsi="Arial" w:cs="Arial"/>
        </w:rPr>
        <w:t> </w:t>
      </w:r>
    </w:p>
    <w:p w14:paraId="7EC9417D" w14:textId="77777777" w:rsidR="00D61081" w:rsidRPr="00DA3EAC" w:rsidRDefault="00D61081" w:rsidP="00DA3EAC">
      <w:pPr>
        <w:pStyle w:val="paragraph"/>
        <w:spacing w:before="0" w:beforeAutospacing="0" w:after="0" w:afterAutospacing="0" w:line="276" w:lineRule="auto"/>
        <w:jc w:val="both"/>
        <w:textAlignment w:val="baseline"/>
        <w:rPr>
          <w:rFonts w:ascii="Arial" w:hAnsi="Arial" w:cs="Arial"/>
        </w:rPr>
      </w:pPr>
    </w:p>
    <w:p w14:paraId="4ED416CA" w14:textId="77777777" w:rsidR="00183DED" w:rsidRPr="00DA3EAC" w:rsidRDefault="00183DED" w:rsidP="00DA3EAC">
      <w:pPr>
        <w:pStyle w:val="paragraph"/>
        <w:spacing w:before="0" w:beforeAutospacing="0" w:after="0" w:afterAutospacing="0" w:line="276" w:lineRule="auto"/>
        <w:jc w:val="both"/>
        <w:textAlignment w:val="baseline"/>
        <w:rPr>
          <w:rFonts w:ascii="Arial" w:hAnsi="Arial" w:cs="Arial"/>
        </w:rPr>
      </w:pPr>
      <w:r w:rsidRPr="00DA3EAC">
        <w:rPr>
          <w:rFonts w:ascii="Arial" w:eastAsia="Arial" w:hAnsi="Arial" w:cs="Arial"/>
        </w:rPr>
        <w:t>Notifíquese por estado y a los correos electrónicos de los apoderados de las partes.</w:t>
      </w:r>
    </w:p>
    <w:p w14:paraId="14A97049" w14:textId="77777777" w:rsidR="00DA3EAC" w:rsidRPr="00DA3EAC" w:rsidRDefault="00DA3EAC" w:rsidP="00DA3EAC">
      <w:pPr>
        <w:spacing w:after="0"/>
        <w:jc w:val="both"/>
        <w:rPr>
          <w:rFonts w:ascii="Arial" w:eastAsia="Arial" w:hAnsi="Arial" w:cs="Arial"/>
          <w:sz w:val="24"/>
          <w:szCs w:val="24"/>
          <w:lang w:eastAsia="es-CO"/>
        </w:rPr>
      </w:pPr>
    </w:p>
    <w:p w14:paraId="43454AA1" w14:textId="77777777" w:rsidR="00DA3EAC" w:rsidRPr="00DA3EAC" w:rsidRDefault="00DA3EAC" w:rsidP="00DA3EAC">
      <w:pPr>
        <w:spacing w:after="0"/>
        <w:jc w:val="both"/>
        <w:textAlignment w:val="baseline"/>
        <w:rPr>
          <w:rFonts w:ascii="Arial" w:eastAsia="Times New Roman" w:hAnsi="Arial" w:cs="Arial"/>
          <w:spacing w:val="-4"/>
          <w:sz w:val="24"/>
          <w:szCs w:val="24"/>
          <w:lang w:val="es-ES" w:eastAsia="es-CO"/>
        </w:rPr>
      </w:pPr>
      <w:r w:rsidRPr="00DA3EAC">
        <w:rPr>
          <w:rFonts w:ascii="Arial" w:eastAsia="Times New Roman" w:hAnsi="Arial" w:cs="Arial"/>
          <w:spacing w:val="-4"/>
          <w:sz w:val="24"/>
          <w:szCs w:val="24"/>
          <w:lang w:val="es-ES" w:eastAsia="es-CO"/>
        </w:rPr>
        <w:t>Quienes Integran la Sala,</w:t>
      </w:r>
    </w:p>
    <w:p w14:paraId="544CDF79" w14:textId="77777777" w:rsidR="00DA3EAC" w:rsidRPr="00DA3EAC" w:rsidRDefault="00DA3EAC" w:rsidP="00DA3EAC">
      <w:pPr>
        <w:widowControl w:val="0"/>
        <w:autoSpaceDE w:val="0"/>
        <w:autoSpaceDN w:val="0"/>
        <w:adjustRightInd w:val="0"/>
        <w:spacing w:after="0"/>
        <w:rPr>
          <w:rFonts w:ascii="Arial" w:hAnsi="Arial" w:cs="Arial"/>
          <w:b/>
          <w:sz w:val="24"/>
          <w:szCs w:val="24"/>
        </w:rPr>
      </w:pPr>
    </w:p>
    <w:p w14:paraId="24260EC2" w14:textId="77777777" w:rsidR="00DA3EAC" w:rsidRPr="00DA3EAC" w:rsidRDefault="00DA3EAC" w:rsidP="00DA3EAC">
      <w:pPr>
        <w:widowControl w:val="0"/>
        <w:autoSpaceDE w:val="0"/>
        <w:autoSpaceDN w:val="0"/>
        <w:adjustRightInd w:val="0"/>
        <w:spacing w:after="0"/>
        <w:rPr>
          <w:rFonts w:ascii="Arial" w:hAnsi="Arial" w:cs="Arial"/>
          <w:b/>
          <w:sz w:val="24"/>
          <w:szCs w:val="24"/>
        </w:rPr>
      </w:pPr>
    </w:p>
    <w:p w14:paraId="6310EE3C" w14:textId="77777777" w:rsidR="00DA3EAC" w:rsidRPr="00DA3EAC" w:rsidRDefault="00DA3EAC" w:rsidP="00DA3EAC">
      <w:pPr>
        <w:widowControl w:val="0"/>
        <w:autoSpaceDE w:val="0"/>
        <w:autoSpaceDN w:val="0"/>
        <w:adjustRightInd w:val="0"/>
        <w:spacing w:after="0"/>
        <w:rPr>
          <w:rFonts w:ascii="Arial" w:hAnsi="Arial" w:cs="Arial"/>
          <w:b/>
          <w:sz w:val="24"/>
          <w:szCs w:val="24"/>
        </w:rPr>
      </w:pPr>
    </w:p>
    <w:p w14:paraId="1B9051C2" w14:textId="77777777" w:rsidR="00DA3EAC" w:rsidRPr="00DA3EAC" w:rsidRDefault="00DA3EAC" w:rsidP="00DA3EAC">
      <w:pPr>
        <w:widowControl w:val="0"/>
        <w:autoSpaceDE w:val="0"/>
        <w:autoSpaceDN w:val="0"/>
        <w:adjustRightInd w:val="0"/>
        <w:spacing w:after="0"/>
        <w:jc w:val="center"/>
        <w:rPr>
          <w:rFonts w:ascii="Arial" w:hAnsi="Arial" w:cs="Arial"/>
          <w:b/>
          <w:bCs/>
          <w:sz w:val="24"/>
          <w:szCs w:val="24"/>
        </w:rPr>
      </w:pPr>
      <w:r w:rsidRPr="00DA3EAC">
        <w:rPr>
          <w:rFonts w:ascii="Arial" w:hAnsi="Arial" w:cs="Arial"/>
          <w:b/>
          <w:bCs/>
          <w:sz w:val="24"/>
          <w:szCs w:val="24"/>
        </w:rPr>
        <w:t>JULIO CÉSAR SALAZAR MUÑOZ</w:t>
      </w:r>
    </w:p>
    <w:p w14:paraId="0A9D50C7" w14:textId="77777777" w:rsidR="00DA3EAC" w:rsidRPr="00DA3EAC" w:rsidRDefault="00DA3EAC" w:rsidP="00DA3EAC">
      <w:pPr>
        <w:widowControl w:val="0"/>
        <w:autoSpaceDE w:val="0"/>
        <w:autoSpaceDN w:val="0"/>
        <w:adjustRightInd w:val="0"/>
        <w:spacing w:after="0"/>
        <w:jc w:val="center"/>
        <w:rPr>
          <w:rFonts w:ascii="Arial" w:hAnsi="Arial" w:cs="Arial"/>
          <w:sz w:val="24"/>
          <w:szCs w:val="24"/>
        </w:rPr>
      </w:pPr>
      <w:r w:rsidRPr="00DA3EAC">
        <w:rPr>
          <w:rFonts w:ascii="Arial" w:hAnsi="Arial" w:cs="Arial"/>
          <w:sz w:val="24"/>
          <w:szCs w:val="24"/>
        </w:rPr>
        <w:t>Magistrado Ponente</w:t>
      </w:r>
    </w:p>
    <w:p w14:paraId="503098D7" w14:textId="77777777" w:rsidR="00DA3EAC" w:rsidRPr="00DA3EAC" w:rsidRDefault="00DA3EAC" w:rsidP="00DA3EAC">
      <w:pPr>
        <w:widowControl w:val="0"/>
        <w:autoSpaceDE w:val="0"/>
        <w:autoSpaceDN w:val="0"/>
        <w:adjustRightInd w:val="0"/>
        <w:spacing w:after="0"/>
        <w:rPr>
          <w:rFonts w:ascii="Arial" w:hAnsi="Arial" w:cs="Arial"/>
          <w:sz w:val="24"/>
          <w:szCs w:val="24"/>
        </w:rPr>
      </w:pPr>
    </w:p>
    <w:p w14:paraId="736452EF" w14:textId="77777777" w:rsidR="00DA3EAC" w:rsidRPr="00DA3EAC" w:rsidRDefault="00DA3EAC" w:rsidP="00DA3EAC">
      <w:pPr>
        <w:widowControl w:val="0"/>
        <w:autoSpaceDE w:val="0"/>
        <w:autoSpaceDN w:val="0"/>
        <w:adjustRightInd w:val="0"/>
        <w:spacing w:after="0"/>
        <w:rPr>
          <w:rFonts w:ascii="Arial" w:hAnsi="Arial" w:cs="Arial"/>
          <w:sz w:val="24"/>
          <w:szCs w:val="24"/>
        </w:rPr>
      </w:pPr>
    </w:p>
    <w:p w14:paraId="6ACE8B11" w14:textId="77777777" w:rsidR="00DA3EAC" w:rsidRPr="00DA3EAC" w:rsidRDefault="00DA3EAC" w:rsidP="00DA3EAC">
      <w:pPr>
        <w:widowControl w:val="0"/>
        <w:autoSpaceDE w:val="0"/>
        <w:autoSpaceDN w:val="0"/>
        <w:adjustRightInd w:val="0"/>
        <w:spacing w:after="0"/>
        <w:rPr>
          <w:rFonts w:ascii="Arial" w:hAnsi="Arial" w:cs="Arial"/>
          <w:sz w:val="24"/>
          <w:szCs w:val="24"/>
        </w:rPr>
      </w:pPr>
    </w:p>
    <w:p w14:paraId="10B9E8EA" w14:textId="77777777" w:rsidR="00DA3EAC" w:rsidRPr="00DA3EAC" w:rsidRDefault="00DA3EAC" w:rsidP="00DA3EAC">
      <w:pPr>
        <w:widowControl w:val="0"/>
        <w:autoSpaceDE w:val="0"/>
        <w:autoSpaceDN w:val="0"/>
        <w:adjustRightInd w:val="0"/>
        <w:spacing w:after="0"/>
        <w:rPr>
          <w:rFonts w:ascii="Arial" w:hAnsi="Arial" w:cs="Arial"/>
          <w:sz w:val="24"/>
          <w:szCs w:val="24"/>
        </w:rPr>
      </w:pPr>
      <w:r w:rsidRPr="00DA3EAC">
        <w:rPr>
          <w:rFonts w:ascii="Arial" w:hAnsi="Arial" w:cs="Arial"/>
          <w:b/>
          <w:bCs/>
          <w:sz w:val="24"/>
          <w:szCs w:val="24"/>
        </w:rPr>
        <w:t>ANA LUCÍA CAICEDO CALDERON</w:t>
      </w:r>
      <w:r w:rsidRPr="00DA3EAC">
        <w:rPr>
          <w:rFonts w:ascii="Arial" w:hAnsi="Arial" w:cs="Arial"/>
          <w:b/>
          <w:bCs/>
          <w:sz w:val="24"/>
          <w:szCs w:val="24"/>
        </w:rPr>
        <w:tab/>
      </w:r>
      <w:r w:rsidRPr="00DA3EAC">
        <w:rPr>
          <w:rFonts w:ascii="Arial" w:hAnsi="Arial" w:cs="Arial"/>
          <w:b/>
          <w:bCs/>
          <w:sz w:val="24"/>
          <w:szCs w:val="24"/>
        </w:rPr>
        <w:tab/>
        <w:t xml:space="preserve">   GERMÁN DARÍO GÓEZ VINASCO</w:t>
      </w:r>
    </w:p>
    <w:p w14:paraId="2E0E4F17" w14:textId="0E29B334" w:rsidR="00107DA3" w:rsidRPr="00DA3EAC" w:rsidRDefault="00DA3EAC" w:rsidP="00DA3EAC">
      <w:pPr>
        <w:spacing w:after="0"/>
        <w:jc w:val="both"/>
        <w:textAlignment w:val="baseline"/>
        <w:rPr>
          <w:rFonts w:ascii="Arial" w:eastAsia="Times New Roman" w:hAnsi="Arial" w:cs="Arial"/>
          <w:bCs/>
          <w:sz w:val="24"/>
          <w:szCs w:val="24"/>
          <w:lang w:val="es-ES_tradnl"/>
        </w:rPr>
      </w:pPr>
      <w:r w:rsidRPr="00DA3EAC">
        <w:rPr>
          <w:rFonts w:ascii="Arial" w:hAnsi="Arial" w:cs="Arial"/>
          <w:bCs/>
          <w:sz w:val="24"/>
          <w:szCs w:val="24"/>
        </w:rPr>
        <w:t>Magistrada</w:t>
      </w:r>
      <w:r w:rsidRPr="00DA3EAC">
        <w:rPr>
          <w:rFonts w:ascii="Arial" w:hAnsi="Arial" w:cs="Arial"/>
          <w:bCs/>
          <w:sz w:val="24"/>
          <w:szCs w:val="24"/>
        </w:rPr>
        <w:tab/>
      </w:r>
      <w:r w:rsidRPr="00DA3EAC">
        <w:rPr>
          <w:rFonts w:ascii="Arial" w:hAnsi="Arial" w:cs="Arial"/>
          <w:bCs/>
          <w:sz w:val="24"/>
          <w:szCs w:val="24"/>
        </w:rPr>
        <w:tab/>
      </w:r>
      <w:r w:rsidRPr="00DA3EAC">
        <w:rPr>
          <w:rFonts w:ascii="Arial" w:hAnsi="Arial" w:cs="Arial"/>
          <w:bCs/>
          <w:sz w:val="24"/>
          <w:szCs w:val="24"/>
        </w:rPr>
        <w:tab/>
      </w:r>
      <w:r w:rsidRPr="00DA3EAC">
        <w:rPr>
          <w:rFonts w:ascii="Arial" w:hAnsi="Arial" w:cs="Arial"/>
          <w:bCs/>
          <w:sz w:val="24"/>
          <w:szCs w:val="24"/>
        </w:rPr>
        <w:tab/>
      </w:r>
      <w:r w:rsidRPr="00DA3EAC">
        <w:rPr>
          <w:rFonts w:ascii="Arial" w:hAnsi="Arial" w:cs="Arial"/>
          <w:bCs/>
          <w:sz w:val="24"/>
          <w:szCs w:val="24"/>
        </w:rPr>
        <w:tab/>
      </w:r>
      <w:r w:rsidRPr="00DA3EAC">
        <w:rPr>
          <w:rFonts w:ascii="Arial" w:hAnsi="Arial" w:cs="Arial"/>
          <w:bCs/>
          <w:sz w:val="24"/>
          <w:szCs w:val="24"/>
        </w:rPr>
        <w:tab/>
      </w:r>
      <w:r w:rsidRPr="00DA3EAC">
        <w:rPr>
          <w:rFonts w:ascii="Arial" w:hAnsi="Arial" w:cs="Arial"/>
          <w:b/>
          <w:bCs/>
          <w:sz w:val="24"/>
          <w:szCs w:val="24"/>
        </w:rPr>
        <w:t xml:space="preserve">   </w:t>
      </w:r>
      <w:r w:rsidRPr="00DA3EAC">
        <w:rPr>
          <w:rFonts w:ascii="Arial" w:eastAsia="Times New Roman" w:hAnsi="Arial" w:cs="Arial"/>
          <w:bCs/>
          <w:sz w:val="24"/>
          <w:szCs w:val="24"/>
          <w:lang w:val="es-ES_tradnl"/>
        </w:rPr>
        <w:t>Magistrado</w:t>
      </w:r>
    </w:p>
    <w:sectPr w:rsidR="00107DA3" w:rsidRPr="00DA3EAC" w:rsidSect="00530B9C">
      <w:headerReference w:type="default" r:id="rId10"/>
      <w:foot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7DE067" w16cex:dateUtc="2023-05-31T18:54:51.592Z"/>
  <w16cex:commentExtensible w16cex:durableId="03D4A6D3" w16cex:dateUtc="2023-06-05T15:28:50.946Z"/>
  <w16cex:commentExtensible w16cex:durableId="2CC550A1" w16cex:dateUtc="2023-06-05T15:37:56.023Z"/>
  <w16cex:commentExtensible w16cex:durableId="5059329A" w16cex:dateUtc="2023-06-05T15:38:13.251Z"/>
  <w16cex:commentExtensible w16cex:durableId="00209C75" w16cex:dateUtc="2023-06-05T19:18:56.605Z"/>
  <w16cex:commentExtensible w16cex:durableId="525FA6A0" w16cex:dateUtc="2023-06-05T20:41:29.169Z"/>
  <w16cex:commentExtensible w16cex:durableId="148CA89C" w16cex:dateUtc="2023-06-06T15:06:24.3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7D396" w14:textId="77777777" w:rsidR="002C6D0F" w:rsidRDefault="002C6D0F">
      <w:pPr>
        <w:spacing w:after="0" w:line="240" w:lineRule="auto"/>
      </w:pPr>
      <w:r>
        <w:separator/>
      </w:r>
    </w:p>
  </w:endnote>
  <w:endnote w:type="continuationSeparator" w:id="0">
    <w:p w14:paraId="5FBCB98A" w14:textId="77777777" w:rsidR="002C6D0F" w:rsidRDefault="002C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E9B2" w14:textId="77777777" w:rsidR="004F38D8" w:rsidRPr="00530B9C" w:rsidRDefault="00C46C76" w:rsidP="00530B9C">
    <w:pPr>
      <w:suppressAutoHyphens/>
      <w:spacing w:after="0" w:line="240" w:lineRule="auto"/>
      <w:jc w:val="right"/>
      <w:rPr>
        <w:rStyle w:val="normaltextrun"/>
        <w:rFonts w:ascii="Arial" w:hAnsi="Arial" w:cs="Arial"/>
        <w:sz w:val="18"/>
        <w:szCs w:val="14"/>
      </w:rPr>
    </w:pPr>
    <w:r w:rsidRPr="00530B9C">
      <w:rPr>
        <w:rStyle w:val="normaltextrun"/>
        <w:rFonts w:ascii="Arial" w:hAnsi="Arial" w:cs="Arial"/>
        <w:sz w:val="18"/>
        <w:szCs w:val="14"/>
      </w:rPr>
      <w:fldChar w:fldCharType="begin"/>
    </w:r>
    <w:r w:rsidRPr="00530B9C">
      <w:rPr>
        <w:rStyle w:val="normaltextrun"/>
        <w:rFonts w:ascii="Arial" w:hAnsi="Arial" w:cs="Arial"/>
        <w:sz w:val="18"/>
        <w:szCs w:val="14"/>
      </w:rPr>
      <w:instrText>PAGE   \* MERGEFORMAT</w:instrText>
    </w:r>
    <w:r w:rsidRPr="00530B9C">
      <w:rPr>
        <w:rStyle w:val="normaltextrun"/>
        <w:rFonts w:ascii="Arial" w:hAnsi="Arial" w:cs="Arial"/>
        <w:sz w:val="18"/>
        <w:szCs w:val="14"/>
      </w:rPr>
      <w:fldChar w:fldCharType="separate"/>
    </w:r>
    <w:r w:rsidRPr="00530B9C">
      <w:rPr>
        <w:rStyle w:val="normaltextrun"/>
        <w:rFonts w:ascii="Arial" w:hAnsi="Arial" w:cs="Arial"/>
        <w:sz w:val="18"/>
        <w:szCs w:val="14"/>
      </w:rPr>
      <w:t>12</w:t>
    </w:r>
    <w:r w:rsidRPr="00530B9C">
      <w:rPr>
        <w:rStyle w:val="normaltextrun"/>
        <w:rFonts w:ascii="Arial" w:hAnsi="Arial" w:cs="Arial"/>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70003" w14:textId="77777777" w:rsidR="002C6D0F" w:rsidRDefault="002C6D0F">
      <w:pPr>
        <w:spacing w:after="0" w:line="240" w:lineRule="auto"/>
      </w:pPr>
      <w:r>
        <w:separator/>
      </w:r>
    </w:p>
  </w:footnote>
  <w:footnote w:type="continuationSeparator" w:id="0">
    <w:p w14:paraId="2696D085" w14:textId="77777777" w:rsidR="002C6D0F" w:rsidRDefault="002C6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B4EEF" w14:textId="258821C3" w:rsidR="00530B9C" w:rsidRPr="00530B9C" w:rsidRDefault="00530B9C" w:rsidP="00530B9C">
    <w:pPr>
      <w:suppressAutoHyphens/>
      <w:spacing w:after="0" w:line="240" w:lineRule="auto"/>
      <w:jc w:val="center"/>
      <w:rPr>
        <w:rStyle w:val="normaltextrun"/>
        <w:rFonts w:ascii="Arial" w:hAnsi="Arial" w:cs="Arial"/>
        <w:sz w:val="18"/>
        <w:szCs w:val="14"/>
      </w:rPr>
    </w:pPr>
    <w:r w:rsidRPr="00530B9C">
      <w:rPr>
        <w:rStyle w:val="normaltextrun"/>
        <w:rFonts w:ascii="Arial" w:hAnsi="Arial" w:cs="Arial"/>
        <w:sz w:val="18"/>
        <w:szCs w:val="14"/>
      </w:rPr>
      <w:t>María Dolores Álzate de Herrera Vs UGPP</w:t>
    </w:r>
  </w:p>
  <w:p w14:paraId="754175DB" w14:textId="611584F6" w:rsidR="00530B9C" w:rsidRPr="00530B9C" w:rsidRDefault="00530B9C" w:rsidP="00530B9C">
    <w:pPr>
      <w:suppressAutoHyphens/>
      <w:spacing w:after="0" w:line="240" w:lineRule="auto"/>
      <w:jc w:val="center"/>
      <w:rPr>
        <w:rFonts w:ascii="Arial" w:hAnsi="Arial" w:cs="Arial"/>
        <w:sz w:val="18"/>
        <w:szCs w:val="14"/>
      </w:rPr>
    </w:pPr>
    <w:r w:rsidRPr="00530B9C">
      <w:rPr>
        <w:rStyle w:val="normaltextrun"/>
        <w:rFonts w:ascii="Arial" w:hAnsi="Arial" w:cs="Arial"/>
        <w:sz w:val="18"/>
        <w:szCs w:val="14"/>
      </w:rPr>
      <w:t>Rad. 66001</w:t>
    </w:r>
    <w:r w:rsidR="00A41090">
      <w:rPr>
        <w:rStyle w:val="normaltextrun"/>
        <w:rFonts w:ascii="Arial" w:hAnsi="Arial" w:cs="Arial"/>
        <w:sz w:val="18"/>
        <w:szCs w:val="14"/>
      </w:rPr>
      <w:t>-</w:t>
    </w:r>
    <w:r w:rsidRPr="00530B9C">
      <w:rPr>
        <w:rStyle w:val="normaltextrun"/>
        <w:rFonts w:ascii="Arial" w:hAnsi="Arial" w:cs="Arial"/>
        <w:sz w:val="18"/>
        <w:szCs w:val="14"/>
      </w:rPr>
      <w:t>31</w:t>
    </w:r>
    <w:r w:rsidR="00A41090">
      <w:rPr>
        <w:rStyle w:val="normaltextrun"/>
        <w:rFonts w:ascii="Arial" w:hAnsi="Arial" w:cs="Arial"/>
        <w:sz w:val="18"/>
        <w:szCs w:val="14"/>
      </w:rPr>
      <w:t>-</w:t>
    </w:r>
    <w:r w:rsidRPr="00530B9C">
      <w:rPr>
        <w:rStyle w:val="normaltextrun"/>
        <w:rFonts w:ascii="Arial" w:hAnsi="Arial" w:cs="Arial"/>
        <w:sz w:val="18"/>
        <w:szCs w:val="14"/>
      </w:rPr>
      <w:t>05</w:t>
    </w:r>
    <w:r w:rsidR="00A41090">
      <w:rPr>
        <w:rStyle w:val="normaltextrun"/>
        <w:rFonts w:ascii="Arial" w:hAnsi="Arial" w:cs="Arial"/>
        <w:sz w:val="18"/>
        <w:szCs w:val="14"/>
      </w:rPr>
      <w:t>-</w:t>
    </w:r>
    <w:r w:rsidRPr="00530B9C">
      <w:rPr>
        <w:rStyle w:val="normaltextrun"/>
        <w:rFonts w:ascii="Arial" w:hAnsi="Arial" w:cs="Arial"/>
        <w:sz w:val="18"/>
        <w:szCs w:val="14"/>
      </w:rPr>
      <w:t>005</w:t>
    </w:r>
    <w:r w:rsidR="00A41090">
      <w:rPr>
        <w:rStyle w:val="normaltextrun"/>
        <w:rFonts w:ascii="Arial" w:hAnsi="Arial" w:cs="Arial"/>
        <w:sz w:val="18"/>
        <w:szCs w:val="14"/>
      </w:rPr>
      <w:t>-</w:t>
    </w:r>
    <w:r w:rsidRPr="00530B9C">
      <w:rPr>
        <w:rStyle w:val="normaltextrun"/>
        <w:rFonts w:ascii="Arial" w:hAnsi="Arial" w:cs="Arial"/>
        <w:sz w:val="18"/>
        <w:szCs w:val="14"/>
      </w:rPr>
      <w:t>2014</w:t>
    </w:r>
    <w:r w:rsidR="00A41090">
      <w:rPr>
        <w:rStyle w:val="normaltextrun"/>
        <w:rFonts w:ascii="Arial" w:hAnsi="Arial" w:cs="Arial"/>
        <w:sz w:val="18"/>
        <w:szCs w:val="14"/>
      </w:rPr>
      <w:t>-</w:t>
    </w:r>
    <w:r w:rsidRPr="00530B9C">
      <w:rPr>
        <w:rStyle w:val="normaltextrun"/>
        <w:rFonts w:ascii="Arial" w:hAnsi="Arial" w:cs="Arial"/>
        <w:sz w:val="18"/>
        <w:szCs w:val="14"/>
      </w:rPr>
      <w:t>00148</w:t>
    </w:r>
    <w:r w:rsidR="00A41090">
      <w:rPr>
        <w:rStyle w:val="normaltextrun"/>
        <w:rFonts w:ascii="Arial" w:hAnsi="Arial" w:cs="Arial"/>
        <w:sz w:val="18"/>
        <w:szCs w:val="14"/>
      </w:rPr>
      <w:t>-</w:t>
    </w:r>
    <w:r w:rsidRPr="00530B9C">
      <w:rPr>
        <w:rStyle w:val="normaltextrun"/>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081"/>
    <w:rsid w:val="00002BE8"/>
    <w:rsid w:val="00027D57"/>
    <w:rsid w:val="000A0867"/>
    <w:rsid w:val="000B499C"/>
    <w:rsid w:val="000C1B5D"/>
    <w:rsid w:val="000E1FF6"/>
    <w:rsid w:val="000E7370"/>
    <w:rsid w:val="000F563C"/>
    <w:rsid w:val="00111BAA"/>
    <w:rsid w:val="0012557C"/>
    <w:rsid w:val="001354FB"/>
    <w:rsid w:val="001361F9"/>
    <w:rsid w:val="00136A41"/>
    <w:rsid w:val="00141AE0"/>
    <w:rsid w:val="001709F8"/>
    <w:rsid w:val="00172EE1"/>
    <w:rsid w:val="00183DED"/>
    <w:rsid w:val="0019138F"/>
    <w:rsid w:val="00193022"/>
    <w:rsid w:val="001A692D"/>
    <w:rsid w:val="001A69A1"/>
    <w:rsid w:val="001B02BD"/>
    <w:rsid w:val="001B6041"/>
    <w:rsid w:val="001C2F0A"/>
    <w:rsid w:val="001D3430"/>
    <w:rsid w:val="001D7D05"/>
    <w:rsid w:val="00204E21"/>
    <w:rsid w:val="0021732C"/>
    <w:rsid w:val="0022314C"/>
    <w:rsid w:val="002260F6"/>
    <w:rsid w:val="00226B6B"/>
    <w:rsid w:val="00227E3E"/>
    <w:rsid w:val="002377BC"/>
    <w:rsid w:val="0024457B"/>
    <w:rsid w:val="00246E8C"/>
    <w:rsid w:val="00256758"/>
    <w:rsid w:val="002617D7"/>
    <w:rsid w:val="002624DC"/>
    <w:rsid w:val="00267A0F"/>
    <w:rsid w:val="00270756"/>
    <w:rsid w:val="00287484"/>
    <w:rsid w:val="00293A1E"/>
    <w:rsid w:val="002B28D9"/>
    <w:rsid w:val="002C24AB"/>
    <w:rsid w:val="002C6D0F"/>
    <w:rsid w:val="002F1B6E"/>
    <w:rsid w:val="00317156"/>
    <w:rsid w:val="00332393"/>
    <w:rsid w:val="00333C5C"/>
    <w:rsid w:val="00345F84"/>
    <w:rsid w:val="00364769"/>
    <w:rsid w:val="0037439D"/>
    <w:rsid w:val="00390B0B"/>
    <w:rsid w:val="00397B86"/>
    <w:rsid w:val="003A7CEB"/>
    <w:rsid w:val="003B3BB3"/>
    <w:rsid w:val="003C4542"/>
    <w:rsid w:val="003C650B"/>
    <w:rsid w:val="003F3AC0"/>
    <w:rsid w:val="00402D68"/>
    <w:rsid w:val="00417341"/>
    <w:rsid w:val="00425917"/>
    <w:rsid w:val="00432652"/>
    <w:rsid w:val="00451B44"/>
    <w:rsid w:val="00456DD2"/>
    <w:rsid w:val="004573BC"/>
    <w:rsid w:val="00463378"/>
    <w:rsid w:val="00463847"/>
    <w:rsid w:val="00495D2B"/>
    <w:rsid w:val="004A4D86"/>
    <w:rsid w:val="004A6AFF"/>
    <w:rsid w:val="004B0277"/>
    <w:rsid w:val="004B5C8C"/>
    <w:rsid w:val="004B6363"/>
    <w:rsid w:val="004C125F"/>
    <w:rsid w:val="004C7223"/>
    <w:rsid w:val="004D01FE"/>
    <w:rsid w:val="004D0875"/>
    <w:rsid w:val="004F215E"/>
    <w:rsid w:val="004F7839"/>
    <w:rsid w:val="00511DFF"/>
    <w:rsid w:val="00516B33"/>
    <w:rsid w:val="005176DD"/>
    <w:rsid w:val="0052252D"/>
    <w:rsid w:val="005269CC"/>
    <w:rsid w:val="00530B9C"/>
    <w:rsid w:val="00534D7C"/>
    <w:rsid w:val="00537718"/>
    <w:rsid w:val="005379CE"/>
    <w:rsid w:val="0054699D"/>
    <w:rsid w:val="00551682"/>
    <w:rsid w:val="00552BA7"/>
    <w:rsid w:val="005547D1"/>
    <w:rsid w:val="00556116"/>
    <w:rsid w:val="00564871"/>
    <w:rsid w:val="0057379D"/>
    <w:rsid w:val="00593519"/>
    <w:rsid w:val="005A1370"/>
    <w:rsid w:val="005A5E93"/>
    <w:rsid w:val="005E05B1"/>
    <w:rsid w:val="005E6CD3"/>
    <w:rsid w:val="005F6D01"/>
    <w:rsid w:val="006037C4"/>
    <w:rsid w:val="00612454"/>
    <w:rsid w:val="00620B6A"/>
    <w:rsid w:val="006256CF"/>
    <w:rsid w:val="0063583F"/>
    <w:rsid w:val="0064350E"/>
    <w:rsid w:val="00650184"/>
    <w:rsid w:val="00652559"/>
    <w:rsid w:val="00656DAE"/>
    <w:rsid w:val="0066650D"/>
    <w:rsid w:val="006800FB"/>
    <w:rsid w:val="006813E1"/>
    <w:rsid w:val="00692AC8"/>
    <w:rsid w:val="006B36DE"/>
    <w:rsid w:val="006B54CC"/>
    <w:rsid w:val="006D68E1"/>
    <w:rsid w:val="006D72BE"/>
    <w:rsid w:val="00704ADB"/>
    <w:rsid w:val="0071315B"/>
    <w:rsid w:val="00713FE5"/>
    <w:rsid w:val="00715D43"/>
    <w:rsid w:val="00716882"/>
    <w:rsid w:val="00724530"/>
    <w:rsid w:val="00725DDA"/>
    <w:rsid w:val="00727BE8"/>
    <w:rsid w:val="00732E76"/>
    <w:rsid w:val="0073768A"/>
    <w:rsid w:val="0079784A"/>
    <w:rsid w:val="007A08E9"/>
    <w:rsid w:val="007C0004"/>
    <w:rsid w:val="007C1675"/>
    <w:rsid w:val="007C26AD"/>
    <w:rsid w:val="007D04EC"/>
    <w:rsid w:val="007D1A96"/>
    <w:rsid w:val="007E49E9"/>
    <w:rsid w:val="007F66CF"/>
    <w:rsid w:val="007F68A0"/>
    <w:rsid w:val="00810BA0"/>
    <w:rsid w:val="00812C7B"/>
    <w:rsid w:val="00830F89"/>
    <w:rsid w:val="0083228D"/>
    <w:rsid w:val="00840D8C"/>
    <w:rsid w:val="00853DB9"/>
    <w:rsid w:val="0085421B"/>
    <w:rsid w:val="0085603E"/>
    <w:rsid w:val="00871DC8"/>
    <w:rsid w:val="00890DEA"/>
    <w:rsid w:val="008A4D0C"/>
    <w:rsid w:val="008B1187"/>
    <w:rsid w:val="008B5F63"/>
    <w:rsid w:val="008C2D2D"/>
    <w:rsid w:val="008C4AC3"/>
    <w:rsid w:val="008D6801"/>
    <w:rsid w:val="008D69E9"/>
    <w:rsid w:val="008E54E1"/>
    <w:rsid w:val="008E72E6"/>
    <w:rsid w:val="009258E7"/>
    <w:rsid w:val="00925C33"/>
    <w:rsid w:val="00925FD9"/>
    <w:rsid w:val="00927536"/>
    <w:rsid w:val="00927D51"/>
    <w:rsid w:val="00935EA1"/>
    <w:rsid w:val="0097648A"/>
    <w:rsid w:val="00977CA7"/>
    <w:rsid w:val="00980B73"/>
    <w:rsid w:val="00987C58"/>
    <w:rsid w:val="009A3281"/>
    <w:rsid w:val="009A3831"/>
    <w:rsid w:val="009C563A"/>
    <w:rsid w:val="009C5F20"/>
    <w:rsid w:val="009D1625"/>
    <w:rsid w:val="009E27C5"/>
    <w:rsid w:val="009E65C0"/>
    <w:rsid w:val="009F5E51"/>
    <w:rsid w:val="009F776F"/>
    <w:rsid w:val="00A0584C"/>
    <w:rsid w:val="00A32B48"/>
    <w:rsid w:val="00A32D14"/>
    <w:rsid w:val="00A41090"/>
    <w:rsid w:val="00A51629"/>
    <w:rsid w:val="00A83CDB"/>
    <w:rsid w:val="00A84AFC"/>
    <w:rsid w:val="00A87A32"/>
    <w:rsid w:val="00A95E42"/>
    <w:rsid w:val="00AD0A56"/>
    <w:rsid w:val="00AD32AE"/>
    <w:rsid w:val="00AD6286"/>
    <w:rsid w:val="00AD7F19"/>
    <w:rsid w:val="00AE33DB"/>
    <w:rsid w:val="00AF17AF"/>
    <w:rsid w:val="00AF3785"/>
    <w:rsid w:val="00B04CB6"/>
    <w:rsid w:val="00B05B9D"/>
    <w:rsid w:val="00B06766"/>
    <w:rsid w:val="00B072F7"/>
    <w:rsid w:val="00B07599"/>
    <w:rsid w:val="00B2039B"/>
    <w:rsid w:val="00B23EE5"/>
    <w:rsid w:val="00B30812"/>
    <w:rsid w:val="00B342E3"/>
    <w:rsid w:val="00B3449F"/>
    <w:rsid w:val="00BB13A3"/>
    <w:rsid w:val="00BB2099"/>
    <w:rsid w:val="00BC1993"/>
    <w:rsid w:val="00BE5D4E"/>
    <w:rsid w:val="00BE67F5"/>
    <w:rsid w:val="00C077D2"/>
    <w:rsid w:val="00C12AC8"/>
    <w:rsid w:val="00C46C76"/>
    <w:rsid w:val="00C830CE"/>
    <w:rsid w:val="00C86239"/>
    <w:rsid w:val="00C902CF"/>
    <w:rsid w:val="00C95771"/>
    <w:rsid w:val="00CA2678"/>
    <w:rsid w:val="00CA4272"/>
    <w:rsid w:val="00CB4512"/>
    <w:rsid w:val="00CB541C"/>
    <w:rsid w:val="00CE700C"/>
    <w:rsid w:val="00CF5CAA"/>
    <w:rsid w:val="00D117BE"/>
    <w:rsid w:val="00D16B20"/>
    <w:rsid w:val="00D21B77"/>
    <w:rsid w:val="00D372E6"/>
    <w:rsid w:val="00D42E57"/>
    <w:rsid w:val="00D45B1E"/>
    <w:rsid w:val="00D54339"/>
    <w:rsid w:val="00D61081"/>
    <w:rsid w:val="00D641B7"/>
    <w:rsid w:val="00D72615"/>
    <w:rsid w:val="00D82014"/>
    <w:rsid w:val="00D93F49"/>
    <w:rsid w:val="00DA1282"/>
    <w:rsid w:val="00DA189D"/>
    <w:rsid w:val="00DA3EAC"/>
    <w:rsid w:val="00DC183D"/>
    <w:rsid w:val="00DC5DC6"/>
    <w:rsid w:val="00DD34A1"/>
    <w:rsid w:val="00DE3136"/>
    <w:rsid w:val="00DE5586"/>
    <w:rsid w:val="00DE7E8E"/>
    <w:rsid w:val="00DF09FE"/>
    <w:rsid w:val="00DF4993"/>
    <w:rsid w:val="00E03B2D"/>
    <w:rsid w:val="00E236CE"/>
    <w:rsid w:val="00E347D8"/>
    <w:rsid w:val="00E479C8"/>
    <w:rsid w:val="00E61DB6"/>
    <w:rsid w:val="00E62197"/>
    <w:rsid w:val="00EA5A99"/>
    <w:rsid w:val="00EB707D"/>
    <w:rsid w:val="00EC6A3A"/>
    <w:rsid w:val="00EF78BB"/>
    <w:rsid w:val="00F015ED"/>
    <w:rsid w:val="00F05D77"/>
    <w:rsid w:val="00F111B7"/>
    <w:rsid w:val="00F14912"/>
    <w:rsid w:val="00F33277"/>
    <w:rsid w:val="00F33387"/>
    <w:rsid w:val="00F4424C"/>
    <w:rsid w:val="00F61EF6"/>
    <w:rsid w:val="00F80B5B"/>
    <w:rsid w:val="00F97F08"/>
    <w:rsid w:val="00FA3FBE"/>
    <w:rsid w:val="00FA744A"/>
    <w:rsid w:val="00FB47DE"/>
    <w:rsid w:val="00FB5621"/>
    <w:rsid w:val="00FC143C"/>
    <w:rsid w:val="00FD4ADE"/>
    <w:rsid w:val="00FF12A5"/>
    <w:rsid w:val="0F244076"/>
    <w:rsid w:val="1010DD56"/>
    <w:rsid w:val="117E265F"/>
    <w:rsid w:val="11BD4C5B"/>
    <w:rsid w:val="142B4644"/>
    <w:rsid w:val="165887EE"/>
    <w:rsid w:val="171AC209"/>
    <w:rsid w:val="23995CA0"/>
    <w:rsid w:val="29D7E736"/>
    <w:rsid w:val="2B929B97"/>
    <w:rsid w:val="2C896671"/>
    <w:rsid w:val="2DB19766"/>
    <w:rsid w:val="32C01F99"/>
    <w:rsid w:val="343E0935"/>
    <w:rsid w:val="3599ABBA"/>
    <w:rsid w:val="38C5DA5F"/>
    <w:rsid w:val="393B4135"/>
    <w:rsid w:val="3B41E8C0"/>
    <w:rsid w:val="3D668976"/>
    <w:rsid w:val="457D9DAF"/>
    <w:rsid w:val="462A3C3D"/>
    <w:rsid w:val="474E2006"/>
    <w:rsid w:val="47E8A44D"/>
    <w:rsid w:val="51A15426"/>
    <w:rsid w:val="51CB1C37"/>
    <w:rsid w:val="53EE8219"/>
    <w:rsid w:val="5918327E"/>
    <w:rsid w:val="59A07F49"/>
    <w:rsid w:val="5B3C4FAA"/>
    <w:rsid w:val="61F50345"/>
    <w:rsid w:val="71007F2D"/>
    <w:rsid w:val="7588A06D"/>
    <w:rsid w:val="7CE99447"/>
    <w:rsid w:val="7F446F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C46C2"/>
  <w15:chartTrackingRefBased/>
  <w15:docId w15:val="{6D649ADD-D18B-4381-B351-D241A512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1081"/>
    <w:pPr>
      <w:spacing w:after="200" w:line="276" w:lineRule="auto"/>
    </w:pPr>
    <w:rPr>
      <w:rFonts w:ascii="Calibri" w:eastAsia="Calibri" w:hAnsi="Calibri" w:cs="Times New Roman"/>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61081"/>
    <w:pPr>
      <w:tabs>
        <w:tab w:val="center" w:pos="4419"/>
        <w:tab w:val="right" w:pos="8838"/>
      </w:tabs>
    </w:pPr>
  </w:style>
  <w:style w:type="character" w:customStyle="1" w:styleId="PiedepginaCar">
    <w:name w:val="Pie de página Car"/>
    <w:basedOn w:val="Fuentedeprrafopredeter"/>
    <w:link w:val="Piedepgina"/>
    <w:uiPriority w:val="99"/>
    <w:rsid w:val="00D61081"/>
    <w:rPr>
      <w:rFonts w:ascii="Calibri" w:eastAsia="Calibri" w:hAnsi="Calibri" w:cs="Times New Roman"/>
      <w:kern w:val="0"/>
      <w14:ligatures w14:val="none"/>
    </w:rPr>
  </w:style>
  <w:style w:type="paragraph" w:customStyle="1" w:styleId="paragraph">
    <w:name w:val="paragraph"/>
    <w:basedOn w:val="Normal"/>
    <w:rsid w:val="00D61081"/>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D61081"/>
  </w:style>
  <w:style w:type="character" w:customStyle="1" w:styleId="eop">
    <w:name w:val="eop"/>
    <w:rsid w:val="00D61081"/>
  </w:style>
  <w:style w:type="table" w:styleId="Tablaconcuadrcula">
    <w:name w:val="Table Grid"/>
    <w:basedOn w:val="Tablanormal"/>
    <w:uiPriority w:val="39"/>
    <w:rsid w:val="00D61081"/>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Calibri" w:eastAsia="Calibri" w:hAnsi="Calibri" w:cs="Times New Roman"/>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DD34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4A1"/>
    <w:rPr>
      <w:rFonts w:ascii="Calibri" w:eastAsia="Calibri" w:hAnsi="Calibri" w:cs="Times New Roman"/>
      <w:kern w:val="0"/>
      <w14:ligatures w14:val="none"/>
    </w:rPr>
  </w:style>
  <w:style w:type="paragraph" w:styleId="Textodeglobo">
    <w:name w:val="Balloon Text"/>
    <w:basedOn w:val="Normal"/>
    <w:link w:val="TextodegloboCar"/>
    <w:uiPriority w:val="99"/>
    <w:semiHidden/>
    <w:unhideWhenUsed/>
    <w:rsid w:val="00DD34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34A1"/>
    <w:rPr>
      <w:rFonts w:ascii="Segoe UI" w:eastAsia="Calibr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a28a020874ad4873"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CFD8C-FF52-42D3-AEA5-2C62D00D3256}">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2.xml><?xml version="1.0" encoding="utf-8"?>
<ds:datastoreItem xmlns:ds="http://schemas.openxmlformats.org/officeDocument/2006/customXml" ds:itemID="{9104C219-420E-4DB2-9112-03F67960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AAEDA3-7F2A-4DCC-812D-FE6EF250B689}">
  <ds:schemaRefs>
    <ds:schemaRef ds:uri="http://schemas.microsoft.com/sharepoint/v3/contenttype/forms"/>
  </ds:schemaRefs>
</ds:datastoreItem>
</file>

<file path=customXml/itemProps4.xml><?xml version="1.0" encoding="utf-8"?>
<ds:datastoreItem xmlns:ds="http://schemas.openxmlformats.org/officeDocument/2006/customXml" ds:itemID="{C5929149-F1BD-4F63-960C-A8025B953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4110</Words>
  <Characters>22605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240</cp:revision>
  <dcterms:created xsi:type="dcterms:W3CDTF">2023-05-26T13:38:00Z</dcterms:created>
  <dcterms:modified xsi:type="dcterms:W3CDTF">2023-08-02T19:08:00Z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