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F2D3" w14:textId="6EA3EEF2" w:rsidR="000B7956" w:rsidRPr="0091165D" w:rsidRDefault="000B7956" w:rsidP="0091165D">
      <w:pPr>
        <w:spacing w:before="0" w:beforeAutospacing="0" w:after="0" w:afterAutospacing="0" w:line="240" w:lineRule="auto"/>
        <w:ind w:firstLine="0"/>
        <w:rPr>
          <w:rFonts w:ascii="Arial" w:hAnsi="Arial" w:cs="Arial"/>
          <w:sz w:val="20"/>
          <w:szCs w:val="18"/>
        </w:rPr>
      </w:pPr>
      <w:r w:rsidRPr="0091165D">
        <w:rPr>
          <w:rFonts w:ascii="Arial" w:hAnsi="Arial" w:cs="Arial"/>
          <w:sz w:val="20"/>
          <w:szCs w:val="18"/>
        </w:rPr>
        <w:t>Providencia:</w:t>
      </w:r>
      <w:r w:rsidR="0091165D">
        <w:rPr>
          <w:rFonts w:ascii="Arial" w:hAnsi="Arial" w:cs="Arial"/>
          <w:sz w:val="20"/>
          <w:szCs w:val="18"/>
        </w:rPr>
        <w:tab/>
      </w:r>
      <w:r w:rsidRPr="0091165D">
        <w:rPr>
          <w:rFonts w:ascii="Arial" w:hAnsi="Arial" w:cs="Arial"/>
          <w:sz w:val="20"/>
          <w:szCs w:val="18"/>
        </w:rPr>
        <w:tab/>
      </w:r>
      <w:r w:rsidRPr="0091165D">
        <w:rPr>
          <w:rFonts w:ascii="Arial" w:hAnsi="Arial" w:cs="Arial"/>
          <w:sz w:val="20"/>
          <w:szCs w:val="18"/>
        </w:rPr>
        <w:tab/>
      </w:r>
      <w:r w:rsidRPr="0091165D">
        <w:rPr>
          <w:rFonts w:ascii="Arial" w:hAnsi="Arial" w:cs="Arial"/>
          <w:spacing w:val="-8"/>
          <w:sz w:val="20"/>
          <w:szCs w:val="18"/>
        </w:rPr>
        <w:t>Apelación de sentencia</w:t>
      </w:r>
    </w:p>
    <w:p w14:paraId="2D607B98" w14:textId="19CBA0E9" w:rsidR="000B7956" w:rsidRPr="0091165D" w:rsidRDefault="000B7956" w:rsidP="0091165D">
      <w:pPr>
        <w:spacing w:before="0" w:beforeAutospacing="0" w:after="0" w:afterAutospacing="0" w:line="240" w:lineRule="auto"/>
        <w:ind w:firstLine="0"/>
        <w:rPr>
          <w:rFonts w:ascii="Arial" w:hAnsi="Arial" w:cs="Arial"/>
          <w:iCs/>
          <w:spacing w:val="-8"/>
          <w:sz w:val="20"/>
          <w:szCs w:val="18"/>
        </w:rPr>
      </w:pPr>
      <w:r w:rsidRPr="0091165D">
        <w:rPr>
          <w:rFonts w:ascii="Arial" w:hAnsi="Arial" w:cs="Arial"/>
          <w:bCs/>
          <w:iCs/>
          <w:sz w:val="20"/>
          <w:szCs w:val="18"/>
        </w:rPr>
        <w:t>Proceso:</w:t>
      </w:r>
      <w:r w:rsidRPr="0091165D">
        <w:rPr>
          <w:rFonts w:ascii="Arial" w:hAnsi="Arial" w:cs="Arial"/>
          <w:iCs/>
          <w:sz w:val="20"/>
          <w:szCs w:val="18"/>
        </w:rPr>
        <w:tab/>
      </w:r>
      <w:r w:rsidRPr="0091165D">
        <w:rPr>
          <w:rFonts w:ascii="Arial" w:hAnsi="Arial" w:cs="Arial"/>
          <w:iCs/>
          <w:sz w:val="20"/>
          <w:szCs w:val="18"/>
        </w:rPr>
        <w:tab/>
      </w:r>
      <w:r w:rsidRPr="0091165D">
        <w:rPr>
          <w:rFonts w:ascii="Arial" w:hAnsi="Arial" w:cs="Arial"/>
          <w:iCs/>
          <w:sz w:val="20"/>
          <w:szCs w:val="18"/>
        </w:rPr>
        <w:tab/>
      </w:r>
      <w:r w:rsidRPr="0091165D">
        <w:rPr>
          <w:rFonts w:ascii="Arial" w:hAnsi="Arial" w:cs="Arial"/>
          <w:iCs/>
          <w:spacing w:val="-8"/>
          <w:sz w:val="20"/>
          <w:szCs w:val="18"/>
        </w:rPr>
        <w:t xml:space="preserve">Ordinario Laboral </w:t>
      </w:r>
    </w:p>
    <w:p w14:paraId="6972421E" w14:textId="2212B613" w:rsidR="000B7956" w:rsidRPr="0091165D" w:rsidRDefault="000B7956" w:rsidP="0091165D">
      <w:pPr>
        <w:spacing w:before="0" w:beforeAutospacing="0" w:after="0" w:afterAutospacing="0" w:line="240" w:lineRule="auto"/>
        <w:ind w:firstLine="0"/>
        <w:rPr>
          <w:rFonts w:ascii="Arial" w:hAnsi="Arial" w:cs="Arial"/>
          <w:bCs/>
          <w:iCs/>
          <w:sz w:val="20"/>
          <w:szCs w:val="18"/>
        </w:rPr>
      </w:pPr>
      <w:r w:rsidRPr="0091165D">
        <w:rPr>
          <w:rFonts w:ascii="Arial" w:hAnsi="Arial" w:cs="Arial"/>
          <w:bCs/>
          <w:sz w:val="20"/>
          <w:szCs w:val="18"/>
        </w:rPr>
        <w:t>Radicación No:</w:t>
      </w:r>
      <w:r w:rsidRPr="0091165D">
        <w:rPr>
          <w:rFonts w:ascii="Arial" w:hAnsi="Arial" w:cs="Arial"/>
          <w:bCs/>
          <w:sz w:val="20"/>
          <w:szCs w:val="18"/>
        </w:rPr>
        <w:tab/>
      </w:r>
      <w:r w:rsidR="0091165D">
        <w:rPr>
          <w:rFonts w:ascii="Arial" w:hAnsi="Arial" w:cs="Arial"/>
          <w:bCs/>
          <w:sz w:val="20"/>
          <w:szCs w:val="18"/>
        </w:rPr>
        <w:tab/>
      </w:r>
      <w:r w:rsidRPr="0091165D">
        <w:rPr>
          <w:rFonts w:ascii="Arial" w:hAnsi="Arial" w:cs="Arial"/>
          <w:bCs/>
          <w:sz w:val="20"/>
          <w:szCs w:val="18"/>
        </w:rPr>
        <w:tab/>
        <w:t>66001-31-05-003-2015-00570-01</w:t>
      </w:r>
    </w:p>
    <w:p w14:paraId="5F5F792D" w14:textId="77777777" w:rsidR="000B7956" w:rsidRPr="0091165D" w:rsidRDefault="000B7956" w:rsidP="0091165D">
      <w:pPr>
        <w:spacing w:before="0" w:beforeAutospacing="0" w:after="0" w:afterAutospacing="0" w:line="240" w:lineRule="auto"/>
        <w:ind w:firstLine="0"/>
        <w:rPr>
          <w:rFonts w:ascii="Arial" w:hAnsi="Arial" w:cs="Arial"/>
          <w:iCs/>
          <w:sz w:val="20"/>
          <w:szCs w:val="18"/>
          <w:lang w:val="es-ES"/>
        </w:rPr>
      </w:pPr>
      <w:r w:rsidRPr="0091165D">
        <w:rPr>
          <w:rFonts w:ascii="Arial" w:hAnsi="Arial" w:cs="Arial"/>
          <w:iCs/>
          <w:sz w:val="20"/>
          <w:szCs w:val="18"/>
        </w:rPr>
        <w:t xml:space="preserve">Demandante:     </w:t>
      </w:r>
      <w:r w:rsidRPr="0091165D">
        <w:rPr>
          <w:rFonts w:ascii="Arial" w:hAnsi="Arial" w:cs="Arial"/>
          <w:iCs/>
          <w:sz w:val="20"/>
          <w:szCs w:val="18"/>
        </w:rPr>
        <w:tab/>
      </w:r>
      <w:r w:rsidRPr="0091165D">
        <w:rPr>
          <w:rFonts w:ascii="Arial" w:hAnsi="Arial" w:cs="Arial"/>
          <w:iCs/>
          <w:sz w:val="20"/>
          <w:szCs w:val="18"/>
        </w:rPr>
        <w:tab/>
      </w:r>
      <w:bookmarkStart w:id="0" w:name="_Hlk119588011"/>
      <w:proofErr w:type="spellStart"/>
      <w:r w:rsidRPr="0091165D">
        <w:rPr>
          <w:rFonts w:ascii="Arial" w:hAnsi="Arial" w:cs="Arial"/>
          <w:iCs/>
          <w:sz w:val="20"/>
          <w:szCs w:val="18"/>
          <w:lang w:val="es-ES"/>
        </w:rPr>
        <w:t>Harlent</w:t>
      </w:r>
      <w:proofErr w:type="spellEnd"/>
      <w:r w:rsidRPr="0091165D">
        <w:rPr>
          <w:rFonts w:ascii="Arial" w:hAnsi="Arial" w:cs="Arial"/>
          <w:iCs/>
          <w:sz w:val="20"/>
          <w:szCs w:val="18"/>
          <w:lang w:val="es-ES"/>
        </w:rPr>
        <w:t xml:space="preserve"> </w:t>
      </w:r>
      <w:proofErr w:type="spellStart"/>
      <w:r w:rsidRPr="0091165D">
        <w:rPr>
          <w:rFonts w:ascii="Arial" w:hAnsi="Arial" w:cs="Arial"/>
          <w:iCs/>
          <w:sz w:val="20"/>
          <w:szCs w:val="18"/>
          <w:lang w:val="es-ES"/>
        </w:rPr>
        <w:t>Faver</w:t>
      </w:r>
      <w:proofErr w:type="spellEnd"/>
      <w:r w:rsidRPr="0091165D">
        <w:rPr>
          <w:rFonts w:ascii="Arial" w:hAnsi="Arial" w:cs="Arial"/>
          <w:iCs/>
          <w:sz w:val="20"/>
          <w:szCs w:val="18"/>
          <w:lang w:val="es-ES"/>
        </w:rPr>
        <w:t xml:space="preserve"> Parra</w:t>
      </w:r>
      <w:bookmarkEnd w:id="0"/>
    </w:p>
    <w:p w14:paraId="6CB88BFC" w14:textId="26C05522" w:rsidR="000B7956" w:rsidRPr="0091165D" w:rsidRDefault="000B7956" w:rsidP="0091165D">
      <w:pPr>
        <w:spacing w:before="0" w:beforeAutospacing="0" w:after="0" w:afterAutospacing="0" w:line="240" w:lineRule="auto"/>
        <w:ind w:left="2832" w:hanging="2832"/>
        <w:rPr>
          <w:rFonts w:ascii="Arial" w:hAnsi="Arial" w:cs="Arial"/>
          <w:bCs/>
          <w:sz w:val="20"/>
          <w:szCs w:val="18"/>
        </w:rPr>
      </w:pPr>
      <w:r w:rsidRPr="0091165D">
        <w:rPr>
          <w:rFonts w:ascii="Arial" w:hAnsi="Arial" w:cs="Arial"/>
          <w:bCs/>
          <w:sz w:val="20"/>
          <w:szCs w:val="18"/>
        </w:rPr>
        <w:t>Demandado:</w:t>
      </w:r>
      <w:r w:rsidR="0091165D">
        <w:rPr>
          <w:rFonts w:ascii="Arial" w:hAnsi="Arial" w:cs="Arial"/>
          <w:bCs/>
          <w:sz w:val="20"/>
          <w:szCs w:val="18"/>
        </w:rPr>
        <w:tab/>
      </w:r>
      <w:bookmarkStart w:id="1" w:name="_Hlk119588024"/>
      <w:r w:rsidRPr="0091165D">
        <w:rPr>
          <w:rFonts w:ascii="Arial" w:hAnsi="Arial" w:cs="Arial"/>
          <w:sz w:val="20"/>
          <w:szCs w:val="18"/>
        </w:rPr>
        <w:t xml:space="preserve">Protección S.A., </w:t>
      </w:r>
      <w:proofErr w:type="spellStart"/>
      <w:r w:rsidRPr="0091165D">
        <w:rPr>
          <w:rFonts w:ascii="Arial" w:hAnsi="Arial" w:cs="Arial"/>
          <w:sz w:val="20"/>
          <w:szCs w:val="18"/>
        </w:rPr>
        <w:t>Servitranspor</w:t>
      </w:r>
      <w:proofErr w:type="spellEnd"/>
      <w:r w:rsidRPr="0091165D">
        <w:rPr>
          <w:rFonts w:ascii="Arial" w:hAnsi="Arial" w:cs="Arial"/>
          <w:sz w:val="20"/>
          <w:szCs w:val="18"/>
        </w:rPr>
        <w:t xml:space="preserve"> S.A.S.,</w:t>
      </w:r>
      <w:r w:rsidR="0091165D" w:rsidRPr="0091165D">
        <w:rPr>
          <w:rFonts w:ascii="Arial" w:hAnsi="Arial" w:cs="Arial"/>
          <w:sz w:val="20"/>
          <w:szCs w:val="18"/>
        </w:rPr>
        <w:t xml:space="preserve"> </w:t>
      </w:r>
      <w:r w:rsidRPr="0091165D">
        <w:rPr>
          <w:rFonts w:ascii="Arial" w:hAnsi="Arial" w:cs="Arial"/>
          <w:sz w:val="20"/>
          <w:szCs w:val="18"/>
        </w:rPr>
        <w:t xml:space="preserve">Vladimir Castro Gómez, Sociedad </w:t>
      </w:r>
      <w:r w:rsidR="0091165D" w:rsidRPr="0091165D">
        <w:rPr>
          <w:rFonts w:ascii="Arial" w:hAnsi="Arial" w:cs="Arial"/>
          <w:sz w:val="20"/>
          <w:szCs w:val="18"/>
        </w:rPr>
        <w:t>Logística</w:t>
      </w:r>
      <w:r w:rsidRPr="0091165D">
        <w:rPr>
          <w:rFonts w:ascii="Arial" w:hAnsi="Arial" w:cs="Arial"/>
          <w:sz w:val="20"/>
          <w:szCs w:val="18"/>
        </w:rPr>
        <w:t xml:space="preserve"> y Transportes el Triunfo S.A. y STC Servicio de Transporte de Carga S.A.S.</w:t>
      </w:r>
      <w:bookmarkEnd w:id="1"/>
    </w:p>
    <w:p w14:paraId="1C903215" w14:textId="6FD8E106" w:rsidR="00AA29E1" w:rsidRPr="0091165D" w:rsidRDefault="00AA29E1" w:rsidP="0091165D">
      <w:pPr>
        <w:spacing w:after="0" w:afterAutospacing="0" w:line="240" w:lineRule="auto"/>
        <w:ind w:firstLine="0"/>
        <w:contextualSpacing/>
        <w:rPr>
          <w:rFonts w:ascii="Arial" w:hAnsi="Arial" w:cs="Arial"/>
          <w:bCs/>
          <w:sz w:val="20"/>
          <w:szCs w:val="18"/>
        </w:rPr>
      </w:pPr>
      <w:r w:rsidRPr="0091165D">
        <w:rPr>
          <w:rFonts w:ascii="Arial" w:hAnsi="Arial" w:cs="Arial"/>
          <w:bCs/>
          <w:sz w:val="20"/>
          <w:szCs w:val="18"/>
        </w:rPr>
        <w:t>M</w:t>
      </w:r>
      <w:r w:rsidR="00CC0B61" w:rsidRPr="0091165D">
        <w:rPr>
          <w:rFonts w:ascii="Arial" w:hAnsi="Arial" w:cs="Arial"/>
          <w:bCs/>
          <w:sz w:val="20"/>
          <w:szCs w:val="18"/>
        </w:rPr>
        <w:t>agistrada ponente:</w:t>
      </w:r>
      <w:r w:rsidR="0091165D">
        <w:rPr>
          <w:rFonts w:ascii="Arial" w:hAnsi="Arial" w:cs="Arial"/>
          <w:bCs/>
          <w:sz w:val="20"/>
          <w:szCs w:val="18"/>
        </w:rPr>
        <w:tab/>
      </w:r>
      <w:r w:rsidRPr="0091165D">
        <w:rPr>
          <w:rFonts w:ascii="Arial" w:hAnsi="Arial" w:cs="Arial"/>
          <w:bCs/>
          <w:sz w:val="20"/>
          <w:szCs w:val="18"/>
        </w:rPr>
        <w:tab/>
      </w:r>
      <w:r w:rsidR="00C579D7" w:rsidRPr="0091165D">
        <w:rPr>
          <w:rFonts w:ascii="Arial" w:hAnsi="Arial" w:cs="Arial"/>
          <w:sz w:val="20"/>
          <w:szCs w:val="18"/>
        </w:rPr>
        <w:t>Dra. Olga Lucía Hoyos Sepúlveda</w:t>
      </w:r>
      <w:r w:rsidR="00F32DEF" w:rsidRPr="0091165D">
        <w:rPr>
          <w:rFonts w:ascii="Arial" w:hAnsi="Arial" w:cs="Arial"/>
          <w:sz w:val="20"/>
          <w:szCs w:val="18"/>
        </w:rPr>
        <w:t>.</w:t>
      </w:r>
      <w:r w:rsidR="00C579D7" w:rsidRPr="0091165D">
        <w:rPr>
          <w:rFonts w:ascii="Arial" w:hAnsi="Arial" w:cs="Arial"/>
          <w:bCs/>
          <w:sz w:val="20"/>
          <w:szCs w:val="18"/>
        </w:rPr>
        <w:t xml:space="preserve"> </w:t>
      </w:r>
    </w:p>
    <w:p w14:paraId="1CA1BE53" w14:textId="6E3D9957" w:rsidR="0001605C" w:rsidRPr="0091165D" w:rsidRDefault="00CC0B61" w:rsidP="0091165D">
      <w:pPr>
        <w:spacing w:after="0" w:afterAutospacing="0" w:line="240" w:lineRule="auto"/>
        <w:ind w:firstLine="0"/>
        <w:contextualSpacing/>
        <w:rPr>
          <w:rFonts w:ascii="Arial" w:hAnsi="Arial" w:cs="Arial"/>
          <w:sz w:val="20"/>
          <w:szCs w:val="18"/>
        </w:rPr>
      </w:pPr>
      <w:r w:rsidRPr="0091165D">
        <w:rPr>
          <w:rFonts w:ascii="Arial" w:hAnsi="Arial" w:cs="Arial"/>
          <w:bCs/>
          <w:sz w:val="20"/>
          <w:szCs w:val="18"/>
        </w:rPr>
        <w:t>Magistrada que salva voto:</w:t>
      </w:r>
      <w:r w:rsidR="0091165D">
        <w:rPr>
          <w:rFonts w:ascii="Arial" w:hAnsi="Arial" w:cs="Arial"/>
          <w:bCs/>
          <w:sz w:val="20"/>
          <w:szCs w:val="18"/>
        </w:rPr>
        <w:tab/>
      </w:r>
      <w:r w:rsidRPr="0091165D">
        <w:rPr>
          <w:rFonts w:ascii="Arial" w:hAnsi="Arial" w:cs="Arial"/>
          <w:sz w:val="20"/>
          <w:szCs w:val="18"/>
        </w:rPr>
        <w:t>Dra. Ana Lucía Caicedo Calderón</w:t>
      </w:r>
      <w:r w:rsidR="00F32DEF" w:rsidRPr="0091165D">
        <w:rPr>
          <w:rFonts w:ascii="Arial" w:hAnsi="Arial" w:cs="Arial"/>
          <w:sz w:val="20"/>
          <w:szCs w:val="18"/>
        </w:rPr>
        <w:t>.</w:t>
      </w:r>
    </w:p>
    <w:p w14:paraId="4422F2B4" w14:textId="49B77708" w:rsidR="00FB40B3" w:rsidRPr="0091165D" w:rsidRDefault="00FB40B3" w:rsidP="0091165D">
      <w:pPr>
        <w:pStyle w:val="NormalWeb"/>
        <w:spacing w:before="0" w:beforeAutospacing="0" w:after="0" w:afterAutospacing="0"/>
        <w:contextualSpacing/>
        <w:rPr>
          <w:rFonts w:ascii="Arial" w:hAnsi="Arial" w:cs="Arial"/>
          <w:sz w:val="20"/>
          <w:szCs w:val="18"/>
        </w:rPr>
      </w:pPr>
    </w:p>
    <w:p w14:paraId="1E5E4AF8" w14:textId="226ED680" w:rsidR="008124CF" w:rsidRPr="0091165D" w:rsidRDefault="008124CF" w:rsidP="0091165D">
      <w:pPr>
        <w:pStyle w:val="NormalWeb"/>
        <w:spacing w:before="0" w:beforeAutospacing="0" w:after="0" w:afterAutospacing="0"/>
        <w:contextualSpacing/>
        <w:rPr>
          <w:rFonts w:ascii="Arial" w:hAnsi="Arial" w:cs="Arial"/>
          <w:sz w:val="20"/>
          <w:szCs w:val="18"/>
        </w:rPr>
      </w:pPr>
    </w:p>
    <w:p w14:paraId="1127AE24" w14:textId="38F804CB" w:rsidR="008124CF" w:rsidRPr="0091165D" w:rsidRDefault="008124CF" w:rsidP="0091165D">
      <w:pPr>
        <w:pStyle w:val="NormalWeb"/>
        <w:spacing w:before="0" w:beforeAutospacing="0" w:after="0" w:afterAutospacing="0"/>
        <w:contextualSpacing/>
        <w:rPr>
          <w:rFonts w:ascii="Arial" w:hAnsi="Arial" w:cs="Arial"/>
          <w:sz w:val="20"/>
          <w:szCs w:val="18"/>
        </w:rPr>
      </w:pPr>
    </w:p>
    <w:p w14:paraId="1DDCBFCE" w14:textId="77777777" w:rsidR="008124CF" w:rsidRPr="0091165D" w:rsidRDefault="008124CF" w:rsidP="0091165D">
      <w:pPr>
        <w:pStyle w:val="NormalWeb"/>
        <w:spacing w:before="0" w:beforeAutospacing="0" w:after="0" w:afterAutospacing="0"/>
        <w:contextualSpacing/>
        <w:rPr>
          <w:rFonts w:ascii="Arial" w:hAnsi="Arial" w:cs="Arial"/>
          <w:sz w:val="20"/>
          <w:szCs w:val="18"/>
        </w:rPr>
      </w:pPr>
    </w:p>
    <w:p w14:paraId="0EDC4563" w14:textId="225EDF81" w:rsidR="003237E3" w:rsidRPr="0091165D" w:rsidRDefault="00CC0B61" w:rsidP="0091165D">
      <w:pPr>
        <w:spacing w:before="0" w:beforeAutospacing="0" w:after="0" w:afterAutospacing="0" w:line="276" w:lineRule="auto"/>
        <w:ind w:firstLine="0"/>
        <w:contextualSpacing/>
        <w:jc w:val="center"/>
        <w:rPr>
          <w:rFonts w:ascii="Tahoma" w:eastAsia="Times New Roman" w:hAnsi="Tahoma" w:cs="Tahoma"/>
          <w:b/>
          <w:bCs/>
          <w:u w:val="single"/>
          <w:lang w:eastAsia="es-MX"/>
        </w:rPr>
      </w:pPr>
      <w:r w:rsidRPr="0091165D">
        <w:rPr>
          <w:rFonts w:ascii="Tahoma" w:eastAsia="Times New Roman" w:hAnsi="Tahoma" w:cs="Tahoma"/>
          <w:b/>
          <w:bCs/>
          <w:u w:val="single"/>
          <w:lang w:eastAsia="es-MX"/>
        </w:rPr>
        <w:t>SALVAMENTO</w:t>
      </w:r>
      <w:r w:rsidR="00614A70" w:rsidRPr="0091165D">
        <w:rPr>
          <w:rFonts w:ascii="Tahoma" w:eastAsia="Times New Roman" w:hAnsi="Tahoma" w:cs="Tahoma"/>
          <w:b/>
          <w:bCs/>
          <w:u w:val="single"/>
          <w:lang w:eastAsia="es-MX"/>
        </w:rPr>
        <w:t xml:space="preserve"> </w:t>
      </w:r>
      <w:r w:rsidRPr="0091165D">
        <w:rPr>
          <w:rFonts w:ascii="Tahoma" w:eastAsia="Times New Roman" w:hAnsi="Tahoma" w:cs="Tahoma"/>
          <w:b/>
          <w:bCs/>
          <w:u w:val="single"/>
          <w:lang w:eastAsia="es-MX"/>
        </w:rPr>
        <w:t>DE VOTO</w:t>
      </w:r>
    </w:p>
    <w:p w14:paraId="620D72BF" w14:textId="77777777" w:rsidR="008124CF" w:rsidRPr="0091165D" w:rsidRDefault="008124CF" w:rsidP="0091165D">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E18A0DA" w14:textId="15BBD600" w:rsidR="003237E3" w:rsidRPr="0091165D" w:rsidRDefault="00E266BB" w:rsidP="0091165D">
      <w:pPr>
        <w:pStyle w:val="paragraph"/>
        <w:spacing w:before="0" w:beforeAutospacing="0" w:after="0" w:afterAutospacing="0" w:line="276" w:lineRule="auto"/>
        <w:ind w:firstLine="705"/>
        <w:jc w:val="both"/>
        <w:textAlignment w:val="baseline"/>
        <w:rPr>
          <w:rFonts w:ascii="Tahoma" w:hAnsi="Tahoma" w:cs="Tahoma"/>
          <w:lang w:val="es-ES"/>
        </w:rPr>
      </w:pPr>
      <w:r w:rsidRPr="0091165D">
        <w:rPr>
          <w:rStyle w:val="normaltextrun"/>
          <w:rFonts w:ascii="Tahoma" w:hAnsi="Tahoma" w:cs="Tahoma"/>
          <w:lang w:val="es-ES"/>
        </w:rPr>
        <w:t>Con mi acostumbrado respeto, manifiesto mi inconformidad frente a la providencia mayoritaria por las siguientes razones:</w:t>
      </w:r>
    </w:p>
    <w:p w14:paraId="77E53F98" w14:textId="77777777" w:rsidR="0082691F" w:rsidRPr="0091165D" w:rsidRDefault="0082691F" w:rsidP="0091165D">
      <w:pPr>
        <w:pStyle w:val="Textoindependiente"/>
        <w:spacing w:line="276" w:lineRule="auto"/>
        <w:contextualSpacing/>
        <w:rPr>
          <w:rFonts w:ascii="Tahoma" w:hAnsi="Tahoma" w:cs="Tahoma"/>
        </w:rPr>
      </w:pPr>
    </w:p>
    <w:p w14:paraId="6054CB1B" w14:textId="5BF952B1" w:rsidR="00CE79B7" w:rsidRPr="0091165D" w:rsidRDefault="0082691F" w:rsidP="0091165D">
      <w:pPr>
        <w:pStyle w:val="Textoindependiente"/>
        <w:spacing w:line="276" w:lineRule="auto"/>
        <w:contextualSpacing/>
        <w:rPr>
          <w:rFonts w:ascii="Tahoma" w:hAnsi="Tahoma" w:cs="Tahoma"/>
          <w:b/>
        </w:rPr>
      </w:pPr>
      <w:r w:rsidRPr="0091165D">
        <w:rPr>
          <w:rFonts w:ascii="Tahoma" w:hAnsi="Tahoma" w:cs="Tahoma"/>
        </w:rPr>
        <w:tab/>
        <w:t xml:space="preserve">En la sentencia de la cual me aparto se parte de la tesis de que </w:t>
      </w:r>
      <w:r w:rsidRPr="009A1F72">
        <w:rPr>
          <w:rFonts w:ascii="Tahoma" w:hAnsi="Tahoma" w:cs="Tahoma"/>
          <w:i/>
        </w:rPr>
        <w:t>“</w:t>
      </w:r>
      <w:r w:rsidRPr="009A1F72">
        <w:rPr>
          <w:rFonts w:ascii="Tahoma" w:hAnsi="Tahoma" w:cs="Tahoma"/>
          <w:i/>
          <w:sz w:val="22"/>
        </w:rPr>
        <w:t>se declararon 2 contratos de trabajo diferentes con interrupción de 3 meses, que es indicativo de que el demandante dejó de laborar para Sociedad Logística y Transportes el Triunfo S.A</w:t>
      </w:r>
      <w:r w:rsidRPr="009A1F72">
        <w:rPr>
          <w:rFonts w:ascii="Tahoma" w:hAnsi="Tahoma" w:cs="Tahoma"/>
          <w:sz w:val="22"/>
        </w:rPr>
        <w:t>.</w:t>
      </w:r>
      <w:r w:rsidRPr="0091165D">
        <w:rPr>
          <w:rFonts w:ascii="Tahoma" w:hAnsi="Tahoma" w:cs="Tahoma"/>
        </w:rPr>
        <w:t xml:space="preserve">”; </w:t>
      </w:r>
      <w:r w:rsidR="00CE79B7" w:rsidRPr="0091165D">
        <w:rPr>
          <w:rFonts w:ascii="Tahoma" w:hAnsi="Tahoma" w:cs="Tahoma"/>
        </w:rPr>
        <w:t xml:space="preserve">pero </w:t>
      </w:r>
      <w:r w:rsidR="00CE79B7" w:rsidRPr="0091165D">
        <w:rPr>
          <w:rFonts w:ascii="Tahoma" w:hAnsi="Tahoma" w:cs="Tahoma"/>
          <w:b/>
        </w:rPr>
        <w:t>se reconoce que “</w:t>
      </w:r>
      <w:r w:rsidR="00CE79B7" w:rsidRPr="009A1F72">
        <w:rPr>
          <w:rFonts w:ascii="Tahoma" w:hAnsi="Tahoma" w:cs="Tahoma"/>
          <w:b/>
          <w:sz w:val="22"/>
        </w:rPr>
        <w:t>no ocurrió un retiro formal en la AFP</w:t>
      </w:r>
      <w:r w:rsidR="00CE79B7" w:rsidRPr="0091165D">
        <w:rPr>
          <w:rFonts w:ascii="Tahoma" w:hAnsi="Tahoma" w:cs="Tahoma"/>
        </w:rPr>
        <w:t xml:space="preserve">”, sino que se presentó </w:t>
      </w:r>
      <w:r w:rsidR="00CE79B7" w:rsidRPr="0091165D">
        <w:rPr>
          <w:rFonts w:ascii="Tahoma" w:hAnsi="Tahoma" w:cs="Tahoma"/>
          <w:i/>
        </w:rPr>
        <w:t>“</w:t>
      </w:r>
      <w:r w:rsidR="00CE79B7" w:rsidRPr="009A1F72">
        <w:rPr>
          <w:rFonts w:ascii="Tahoma" w:hAnsi="Tahoma" w:cs="Tahoma"/>
          <w:b/>
          <w:i/>
          <w:sz w:val="22"/>
        </w:rPr>
        <w:t xml:space="preserve">un retiro material </w:t>
      </w:r>
      <w:r w:rsidR="00CE79B7" w:rsidRPr="009A1F72">
        <w:rPr>
          <w:rFonts w:ascii="Tahoma" w:hAnsi="Tahoma" w:cs="Tahoma"/>
          <w:i/>
          <w:sz w:val="22"/>
        </w:rPr>
        <w:t>bajo el principio de la realidad sobre las formas</w:t>
      </w:r>
      <w:r w:rsidR="00CE79B7" w:rsidRPr="0091165D">
        <w:rPr>
          <w:rFonts w:ascii="Tahoma" w:hAnsi="Tahoma" w:cs="Tahoma"/>
          <w:i/>
        </w:rPr>
        <w:t>”</w:t>
      </w:r>
      <w:r w:rsidR="00CE79B7" w:rsidRPr="0091165D">
        <w:rPr>
          <w:rFonts w:ascii="Tahoma" w:hAnsi="Tahoma" w:cs="Tahoma"/>
        </w:rPr>
        <w:t xml:space="preserve">. Ciertamente no está en discusión que en el proceso se declaró la existencia de dos contratos de trabajo con la mentada sociedad, así: </w:t>
      </w:r>
      <w:r w:rsidR="00CE79B7" w:rsidRPr="0091165D">
        <w:rPr>
          <w:rFonts w:ascii="Tahoma" w:hAnsi="Tahoma" w:cs="Tahoma"/>
          <w:color w:val="000000" w:themeColor="text1"/>
          <w:lang w:eastAsia="es-CO"/>
        </w:rPr>
        <w:t xml:space="preserve">el </w:t>
      </w:r>
      <w:r w:rsidR="00CE79B7" w:rsidRPr="0091165D">
        <w:rPr>
          <w:rFonts w:ascii="Tahoma" w:hAnsi="Tahoma" w:cs="Tahoma"/>
          <w:bCs/>
          <w:color w:val="000000" w:themeColor="text1"/>
          <w:lang w:eastAsia="es-CO"/>
        </w:rPr>
        <w:t>primero</w:t>
      </w:r>
      <w:r w:rsidR="00CE79B7" w:rsidRPr="0091165D">
        <w:rPr>
          <w:rFonts w:ascii="Tahoma" w:hAnsi="Tahoma" w:cs="Tahoma"/>
          <w:b/>
          <w:bCs/>
          <w:color w:val="000000" w:themeColor="text1"/>
          <w:lang w:eastAsia="es-CO"/>
        </w:rPr>
        <w:t xml:space="preserve"> </w:t>
      </w:r>
      <w:r w:rsidR="00CE79B7" w:rsidRPr="0091165D">
        <w:rPr>
          <w:rFonts w:ascii="Tahoma" w:hAnsi="Tahoma" w:cs="Tahoma"/>
          <w:color w:val="000000" w:themeColor="text1"/>
          <w:lang w:eastAsia="es-CO"/>
        </w:rPr>
        <w:t xml:space="preserve">desde abril de 2012 y el 13 de diciembre de 2012, y el </w:t>
      </w:r>
      <w:r w:rsidR="00CE79B7" w:rsidRPr="0091165D">
        <w:rPr>
          <w:rFonts w:ascii="Tahoma" w:hAnsi="Tahoma" w:cs="Tahoma"/>
          <w:bCs/>
          <w:color w:val="000000" w:themeColor="text1"/>
          <w:lang w:eastAsia="es-CO"/>
        </w:rPr>
        <w:t>segundo</w:t>
      </w:r>
      <w:r w:rsidR="00CE79B7" w:rsidRPr="0091165D">
        <w:rPr>
          <w:rFonts w:ascii="Tahoma" w:hAnsi="Tahoma" w:cs="Tahoma"/>
          <w:color w:val="000000" w:themeColor="text1"/>
          <w:lang w:eastAsia="es-CO"/>
        </w:rPr>
        <w:t xml:space="preserve"> únicamente durante el mes de abril del año 2013</w:t>
      </w:r>
      <w:r w:rsidR="00CE79B7" w:rsidRPr="0091165D">
        <w:rPr>
          <w:rFonts w:ascii="Tahoma" w:hAnsi="Tahoma" w:cs="Tahoma"/>
        </w:rPr>
        <w:t xml:space="preserve">. También está probado que la Sociedad Logística y Transportes el Triunfo S.A </w:t>
      </w:r>
      <w:r w:rsidR="00CE79B7" w:rsidRPr="0091165D">
        <w:rPr>
          <w:rFonts w:ascii="Tahoma" w:hAnsi="Tahoma" w:cs="Tahoma"/>
          <w:b/>
        </w:rPr>
        <w:t xml:space="preserve">afilió </w:t>
      </w:r>
      <w:r w:rsidR="00CE79B7" w:rsidRPr="0091165D">
        <w:rPr>
          <w:rFonts w:ascii="Tahoma" w:hAnsi="Tahoma" w:cs="Tahoma"/>
        </w:rPr>
        <w:t xml:space="preserve">al demandante en la AFP PROVENIR el 1° de abril de 2012 y que realizó los aportes desde esa fecha hasta el 13 de diciembre de 2012. Sin embargo, </w:t>
      </w:r>
      <w:r w:rsidR="00CE79B7" w:rsidRPr="0091165D">
        <w:rPr>
          <w:rFonts w:ascii="Tahoma" w:hAnsi="Tahoma" w:cs="Tahoma"/>
          <w:b/>
        </w:rPr>
        <w:t>no está probado en el expediente que hubiera</w:t>
      </w:r>
      <w:r w:rsidR="00CE79B7" w:rsidRPr="0091165D">
        <w:rPr>
          <w:rFonts w:ascii="Tahoma" w:hAnsi="Tahoma" w:cs="Tahoma"/>
        </w:rPr>
        <w:t xml:space="preserve"> </w:t>
      </w:r>
      <w:r w:rsidR="00CE79B7" w:rsidRPr="0091165D">
        <w:rPr>
          <w:rFonts w:ascii="Tahoma" w:hAnsi="Tahoma" w:cs="Tahoma"/>
          <w:b/>
        </w:rPr>
        <w:t xml:space="preserve">desafiliado al empleado al terminar el primer contrato de trabajo, </w:t>
      </w:r>
      <w:r w:rsidR="00CE79B7" w:rsidRPr="0091165D">
        <w:rPr>
          <w:rFonts w:ascii="Tahoma" w:hAnsi="Tahoma" w:cs="Tahoma"/>
          <w:b/>
          <w:u w:val="single"/>
        </w:rPr>
        <w:t>sino que se mantuvo vigente la afiliación en PROTECCIÓN hasta que llegó el segundo contrato de trabajo en el mes de abril de 2013</w:t>
      </w:r>
      <w:r w:rsidR="00CE79B7" w:rsidRPr="0091165D">
        <w:rPr>
          <w:rFonts w:ascii="Tahoma" w:hAnsi="Tahoma" w:cs="Tahoma"/>
          <w:b/>
        </w:rPr>
        <w:t xml:space="preserve">.  </w:t>
      </w:r>
    </w:p>
    <w:p w14:paraId="24741D93" w14:textId="77777777" w:rsidR="00CE79B7" w:rsidRPr="0091165D" w:rsidRDefault="00CE79B7" w:rsidP="0091165D">
      <w:pPr>
        <w:pStyle w:val="Textoindependiente"/>
        <w:spacing w:line="276" w:lineRule="auto"/>
        <w:contextualSpacing/>
        <w:rPr>
          <w:rFonts w:ascii="Tahoma" w:hAnsi="Tahoma" w:cs="Tahoma"/>
        </w:rPr>
      </w:pPr>
    </w:p>
    <w:p w14:paraId="5B27124A" w14:textId="021B4035" w:rsidR="001F7748" w:rsidRPr="0091165D" w:rsidRDefault="00B4552F" w:rsidP="0091165D">
      <w:pPr>
        <w:pStyle w:val="Textoindependiente"/>
        <w:spacing w:line="276" w:lineRule="auto"/>
        <w:contextualSpacing/>
        <w:rPr>
          <w:rFonts w:ascii="Tahoma" w:hAnsi="Tahoma" w:cs="Tahoma"/>
        </w:rPr>
      </w:pPr>
      <w:r w:rsidRPr="0091165D">
        <w:rPr>
          <w:rFonts w:ascii="Tahoma" w:hAnsi="Tahoma" w:cs="Tahoma"/>
        </w:rPr>
        <w:tab/>
        <w:t>No puede perderse de vista que</w:t>
      </w:r>
      <w:r w:rsidR="001F7748" w:rsidRPr="0091165D">
        <w:rPr>
          <w:rFonts w:ascii="Tahoma" w:hAnsi="Tahoma" w:cs="Tahoma"/>
        </w:rPr>
        <w:t xml:space="preserve">, </w:t>
      </w:r>
      <w:r w:rsidR="001F7748" w:rsidRPr="0091165D">
        <w:rPr>
          <w:rFonts w:ascii="Tahoma" w:hAnsi="Tahoma" w:cs="Tahoma"/>
          <w:b/>
        </w:rPr>
        <w:t>mientras esté vigente o activa una afiliación</w:t>
      </w:r>
      <w:r w:rsidR="001F7748" w:rsidRPr="0091165D">
        <w:rPr>
          <w:rFonts w:ascii="Tahoma" w:hAnsi="Tahoma" w:cs="Tahoma"/>
        </w:rPr>
        <w:t>,</w:t>
      </w:r>
      <w:r w:rsidRPr="0091165D">
        <w:rPr>
          <w:rFonts w:ascii="Tahoma" w:hAnsi="Tahoma" w:cs="Tahoma"/>
        </w:rPr>
        <w:t xml:space="preserve"> es una obligación de las AFP frente a la mora en el pago de cotizaciones requerir al empleador para que justifique la mora</w:t>
      </w:r>
      <w:r w:rsidR="001F7748" w:rsidRPr="0091165D">
        <w:rPr>
          <w:rFonts w:ascii="Tahoma" w:hAnsi="Tahoma" w:cs="Tahoma"/>
        </w:rPr>
        <w:t>, cancele lo debido,</w:t>
      </w:r>
      <w:r w:rsidRPr="0091165D">
        <w:rPr>
          <w:rFonts w:ascii="Tahoma" w:hAnsi="Tahoma" w:cs="Tahoma"/>
        </w:rPr>
        <w:t xml:space="preserve"> o para que informe si el contrato de trabajo terminó y que</w:t>
      </w:r>
      <w:r w:rsidR="001F7748" w:rsidRPr="0091165D">
        <w:rPr>
          <w:rFonts w:ascii="Tahoma" w:hAnsi="Tahoma" w:cs="Tahoma"/>
        </w:rPr>
        <w:t>,</w:t>
      </w:r>
      <w:r w:rsidRPr="0091165D">
        <w:rPr>
          <w:rFonts w:ascii="Tahoma" w:hAnsi="Tahoma" w:cs="Tahoma"/>
        </w:rPr>
        <w:t xml:space="preserve"> por un olvido involuntario, omitió informar ello a la AFP.  </w:t>
      </w:r>
      <w:r w:rsidR="001F7748" w:rsidRPr="0091165D">
        <w:rPr>
          <w:rFonts w:ascii="Tahoma" w:hAnsi="Tahoma" w:cs="Tahoma"/>
        </w:rPr>
        <w:t xml:space="preserve">De manera que como la Sociedad Logística y Transportes el Triunfo S.A. no informó que el contrato de trabajo con el demandante terminó el 13 de diciembre de 2012, su afiliación a pensiones permaneció activa hasta el mes de abril de 2013 cuando volvió a trabajar con la misma sociedad. </w:t>
      </w:r>
    </w:p>
    <w:p w14:paraId="6A7AD19F" w14:textId="04C8AC97" w:rsidR="001F7748" w:rsidRPr="0091165D" w:rsidRDefault="001F7748" w:rsidP="0091165D">
      <w:pPr>
        <w:pStyle w:val="Textoindependiente"/>
        <w:spacing w:line="276" w:lineRule="auto"/>
        <w:contextualSpacing/>
        <w:rPr>
          <w:rFonts w:ascii="Tahoma" w:hAnsi="Tahoma" w:cs="Tahoma"/>
        </w:rPr>
      </w:pPr>
    </w:p>
    <w:p w14:paraId="2191CF96" w14:textId="1615C3C1" w:rsidR="001F7748" w:rsidRPr="0091165D" w:rsidRDefault="001F7748" w:rsidP="0091165D">
      <w:pPr>
        <w:pStyle w:val="Textoindependiente"/>
        <w:spacing w:line="276" w:lineRule="auto"/>
        <w:contextualSpacing/>
        <w:rPr>
          <w:rFonts w:ascii="Tahoma" w:hAnsi="Tahoma" w:cs="Tahoma"/>
          <w:b/>
        </w:rPr>
      </w:pPr>
      <w:r w:rsidRPr="0091165D">
        <w:rPr>
          <w:rFonts w:ascii="Tahoma" w:hAnsi="Tahoma" w:cs="Tahoma"/>
        </w:rPr>
        <w:t xml:space="preserve">Por la razón anterior, disiento de la ratio </w:t>
      </w:r>
      <w:proofErr w:type="spellStart"/>
      <w:r w:rsidRPr="0091165D">
        <w:rPr>
          <w:rFonts w:ascii="Tahoma" w:hAnsi="Tahoma" w:cs="Tahoma"/>
        </w:rPr>
        <w:t>decidendi</w:t>
      </w:r>
      <w:proofErr w:type="spellEnd"/>
      <w:r w:rsidRPr="0091165D">
        <w:rPr>
          <w:rFonts w:ascii="Tahoma" w:hAnsi="Tahoma" w:cs="Tahoma"/>
        </w:rPr>
        <w:t xml:space="preserve"> de la Sala mayoritaria, por cuanto de su discurso se infiere que basta que haya cesación en las cotizaciones para presumir que el contrato se terminó y para que el empleador haga una nueva afiliación cuando inicie otro contrato, con el agravante de que en este caso </w:t>
      </w:r>
      <w:r w:rsidRPr="0091165D">
        <w:rPr>
          <w:rFonts w:ascii="Tahoma" w:hAnsi="Tahoma" w:cs="Tahoma"/>
          <w:b/>
        </w:rPr>
        <w:t xml:space="preserve">la Sociedad Logística y Transportes el Triunfo S.A no informó a la AFP la terminación del </w:t>
      </w:r>
      <w:r w:rsidR="00F47D42" w:rsidRPr="0091165D">
        <w:rPr>
          <w:rFonts w:ascii="Tahoma" w:hAnsi="Tahoma" w:cs="Tahoma"/>
          <w:b/>
        </w:rPr>
        <w:t xml:space="preserve">primer </w:t>
      </w:r>
      <w:r w:rsidRPr="0091165D">
        <w:rPr>
          <w:rFonts w:ascii="Tahoma" w:hAnsi="Tahoma" w:cs="Tahoma"/>
          <w:b/>
        </w:rPr>
        <w:t>contrato ni tampoco la iniciación de otro nuevo contrato, o por lo menos ello no está probado en el expediente</w:t>
      </w:r>
      <w:r w:rsidRPr="0091165D">
        <w:rPr>
          <w:rFonts w:ascii="Tahoma" w:hAnsi="Tahoma" w:cs="Tahoma"/>
        </w:rPr>
        <w:t xml:space="preserve">. La Sala mayoritaria hizo esa inferencia y le hizo </w:t>
      </w:r>
      <w:r w:rsidRPr="0091165D">
        <w:rPr>
          <w:rFonts w:ascii="Tahoma" w:hAnsi="Tahoma" w:cs="Tahoma"/>
        </w:rPr>
        <w:lastRenderedPageBreak/>
        <w:t>el esguince a la ley para negar la pensión de invalidez al acto</w:t>
      </w:r>
      <w:r w:rsidR="00F47D42" w:rsidRPr="0091165D">
        <w:rPr>
          <w:rFonts w:ascii="Tahoma" w:hAnsi="Tahoma" w:cs="Tahoma"/>
        </w:rPr>
        <w:t xml:space="preserve">r, al concluir que hubo </w:t>
      </w:r>
      <w:r w:rsidR="00F47D42" w:rsidRPr="0091165D">
        <w:rPr>
          <w:rFonts w:ascii="Tahoma" w:hAnsi="Tahoma" w:cs="Tahoma"/>
          <w:b/>
        </w:rPr>
        <w:t>falta de afiliación cuando lo que hubo fue mora.</w:t>
      </w:r>
    </w:p>
    <w:p w14:paraId="5AD62155" w14:textId="77777777" w:rsidR="001F7748" w:rsidRPr="0091165D" w:rsidRDefault="001F7748" w:rsidP="0091165D">
      <w:pPr>
        <w:pStyle w:val="Textoindependiente"/>
        <w:spacing w:line="276" w:lineRule="auto"/>
        <w:contextualSpacing/>
        <w:rPr>
          <w:rFonts w:ascii="Tahoma" w:hAnsi="Tahoma" w:cs="Tahoma"/>
        </w:rPr>
      </w:pPr>
    </w:p>
    <w:p w14:paraId="4FE8C5B2" w14:textId="7A9815F1" w:rsidR="00F47D42" w:rsidRPr="0091165D" w:rsidRDefault="00B4552F" w:rsidP="0091165D">
      <w:pPr>
        <w:pStyle w:val="Textoindependiente"/>
        <w:spacing w:line="276" w:lineRule="auto"/>
        <w:contextualSpacing/>
        <w:rPr>
          <w:rFonts w:ascii="Tahoma" w:hAnsi="Tahoma" w:cs="Tahoma"/>
        </w:rPr>
      </w:pPr>
      <w:r w:rsidRPr="0091165D">
        <w:rPr>
          <w:rFonts w:ascii="Tahoma" w:hAnsi="Tahoma" w:cs="Tahoma"/>
        </w:rPr>
        <w:t xml:space="preserve"> </w:t>
      </w:r>
      <w:r w:rsidR="00F47D42" w:rsidRPr="0091165D">
        <w:rPr>
          <w:rFonts w:ascii="Tahoma" w:hAnsi="Tahoma" w:cs="Tahoma"/>
        </w:rPr>
        <w:tab/>
        <w:t xml:space="preserve">En efecto, y volviéndonos reiterativos, si bien es cierto que en una historia </w:t>
      </w:r>
      <w:r w:rsidR="000B7956" w:rsidRPr="0091165D">
        <w:rPr>
          <w:rFonts w:ascii="Tahoma" w:hAnsi="Tahoma" w:cs="Tahoma"/>
        </w:rPr>
        <w:t>laboral de la AFP no se reporte ni ingresos ni retiros</w:t>
      </w:r>
      <w:r w:rsidR="00F47D42" w:rsidRPr="0091165D">
        <w:rPr>
          <w:rFonts w:ascii="Tahoma" w:hAnsi="Tahoma" w:cs="Tahoma"/>
        </w:rPr>
        <w:t>, como sucede en este caso, ello</w:t>
      </w:r>
      <w:r w:rsidR="000B7956" w:rsidRPr="0091165D">
        <w:rPr>
          <w:rFonts w:ascii="Tahoma" w:hAnsi="Tahoma" w:cs="Tahoma"/>
        </w:rPr>
        <w:t xml:space="preserve"> no es argumento suficiente para inferir que el empleador desafilió a su trabajador desde enero de 2013 como se insinúa en el proyecto, porque dicha prueba NO OBRA EN EL EXPEDIENTE</w:t>
      </w:r>
      <w:r w:rsidR="00F47D42" w:rsidRPr="0091165D">
        <w:rPr>
          <w:rFonts w:ascii="Tahoma" w:hAnsi="Tahoma" w:cs="Tahoma"/>
        </w:rPr>
        <w:t xml:space="preserve">. </w:t>
      </w:r>
    </w:p>
    <w:p w14:paraId="1E53A781" w14:textId="308A97A8" w:rsidR="000B7956" w:rsidRPr="0091165D" w:rsidRDefault="000B7956" w:rsidP="0091165D">
      <w:pPr>
        <w:pStyle w:val="Textoindependiente"/>
        <w:spacing w:line="276" w:lineRule="auto"/>
        <w:contextualSpacing/>
        <w:rPr>
          <w:rFonts w:ascii="Tahoma" w:hAnsi="Tahoma" w:cs="Tahoma"/>
        </w:rPr>
      </w:pPr>
    </w:p>
    <w:p w14:paraId="6424C869" w14:textId="3A5E3F41" w:rsidR="000B7956" w:rsidRPr="0091165D" w:rsidRDefault="000B7956" w:rsidP="001E526E">
      <w:pPr>
        <w:pStyle w:val="Textocomentario"/>
        <w:spacing w:before="0" w:beforeAutospacing="0" w:after="0" w:afterAutospacing="0" w:line="276" w:lineRule="auto"/>
        <w:rPr>
          <w:rFonts w:ascii="Tahoma" w:hAnsi="Tahoma" w:cs="Tahoma"/>
          <w:color w:val="000000"/>
          <w:sz w:val="24"/>
          <w:szCs w:val="24"/>
          <w:shd w:val="clear" w:color="auto" w:fill="FFFFFF"/>
        </w:rPr>
      </w:pPr>
      <w:r w:rsidRPr="0091165D">
        <w:rPr>
          <w:rFonts w:ascii="Tahoma" w:hAnsi="Tahoma" w:cs="Tahoma"/>
          <w:sz w:val="24"/>
          <w:szCs w:val="24"/>
        </w:rPr>
        <w:t>No puede perderse de vista que, p</w:t>
      </w:r>
      <w:r w:rsidRPr="0091165D">
        <w:rPr>
          <w:rFonts w:ascii="Tahoma" w:hAnsi="Tahoma" w:cs="Tahoma"/>
          <w:color w:val="212529"/>
          <w:spacing w:val="8"/>
          <w:sz w:val="24"/>
          <w:szCs w:val="24"/>
          <w:shd w:val="clear" w:color="auto" w:fill="FFFFFF"/>
        </w:rPr>
        <w:t>ara el caso de trabajadores dependientes, la responsabilidad de reportar la novedad del retiro está en cabeza del empleador; en el evento de no hacerlo se incurre en un reporte no oportuno. En este orden de ideas, una vez finalizada la relación laboral es obligación del empleador informar las novedades relacionadas con la desvinculación o retiro de los trabajadores a su servicio mediante la Planilla Integral de Liquidación de Aportes PILA, momento a partir del cual, cesa la responsabilidad de efectuar el pago de los respectivos aportes. Dicho de otra manera, e</w:t>
      </w:r>
      <w:r w:rsidRPr="0091165D">
        <w:rPr>
          <w:rFonts w:ascii="Tahoma" w:hAnsi="Tahoma" w:cs="Tahoma"/>
          <w:color w:val="000000"/>
          <w:sz w:val="24"/>
          <w:szCs w:val="24"/>
          <w:shd w:val="clear" w:color="auto" w:fill="FFFFFF"/>
        </w:rPr>
        <w:t>l empleador es el responsable de afiliar al trabajador al sistema de seguridad social, y al terminar la relación laboral, es su obligación notificarlo al sistema para la desafiliación.</w:t>
      </w:r>
    </w:p>
    <w:p w14:paraId="33280A20" w14:textId="77777777" w:rsidR="001E526E" w:rsidRDefault="001E526E" w:rsidP="001E526E">
      <w:pPr>
        <w:pStyle w:val="Textocomentario"/>
        <w:spacing w:before="0" w:beforeAutospacing="0" w:after="0" w:afterAutospacing="0" w:line="276" w:lineRule="auto"/>
        <w:rPr>
          <w:rFonts w:ascii="Tahoma" w:hAnsi="Tahoma" w:cs="Tahoma"/>
          <w:color w:val="000000"/>
          <w:sz w:val="24"/>
          <w:szCs w:val="24"/>
          <w:shd w:val="clear" w:color="auto" w:fill="FFFFFF"/>
        </w:rPr>
      </w:pPr>
    </w:p>
    <w:p w14:paraId="72295150" w14:textId="5F5AA2E5" w:rsidR="000B7956" w:rsidRPr="0091165D" w:rsidRDefault="000B7956" w:rsidP="001E526E">
      <w:pPr>
        <w:pStyle w:val="Textocomentario"/>
        <w:spacing w:before="0" w:beforeAutospacing="0" w:after="0" w:afterAutospacing="0" w:line="276" w:lineRule="auto"/>
        <w:rPr>
          <w:rFonts w:ascii="Tahoma" w:hAnsi="Tahoma" w:cs="Tahoma"/>
          <w:color w:val="000000"/>
          <w:sz w:val="24"/>
          <w:szCs w:val="24"/>
          <w:shd w:val="clear" w:color="auto" w:fill="FFFFFF"/>
        </w:rPr>
      </w:pPr>
      <w:r w:rsidRPr="0091165D">
        <w:rPr>
          <w:rFonts w:ascii="Tahoma" w:hAnsi="Tahoma" w:cs="Tahoma"/>
          <w:color w:val="000000"/>
          <w:sz w:val="24"/>
          <w:szCs w:val="24"/>
          <w:shd w:val="clear" w:color="auto" w:fill="FFFFFF"/>
        </w:rPr>
        <w:t>Como el empleador es el responsable de notificar al sistema de seguridad social la novedad que indica el retiro del trabajador, sino lo hace debe asumir las consecuencias señaladas en el artículo 2.2.1.1.3.5 del decreto 780 de 2016, que dice en su primer inciso:</w:t>
      </w:r>
    </w:p>
    <w:p w14:paraId="3FA388B8" w14:textId="77777777" w:rsidR="001E526E" w:rsidRDefault="001E526E" w:rsidP="001E526E">
      <w:pPr>
        <w:pStyle w:val="Textocomentario"/>
        <w:spacing w:before="0" w:beforeAutospacing="0" w:after="0" w:afterAutospacing="0" w:line="276" w:lineRule="auto"/>
        <w:rPr>
          <w:rFonts w:ascii="Tahoma" w:hAnsi="Tahoma" w:cs="Tahoma"/>
          <w:i/>
          <w:color w:val="000000"/>
          <w:sz w:val="24"/>
          <w:szCs w:val="24"/>
          <w:shd w:val="clear" w:color="auto" w:fill="FFFFFF"/>
        </w:rPr>
      </w:pPr>
    </w:p>
    <w:p w14:paraId="36215CDB" w14:textId="22194CC9" w:rsidR="000B7956" w:rsidRPr="009A1F72" w:rsidRDefault="000B7956" w:rsidP="009A1F72">
      <w:pPr>
        <w:pStyle w:val="Textocomentario"/>
        <w:spacing w:before="0" w:beforeAutospacing="0" w:after="0" w:afterAutospacing="0"/>
        <w:ind w:left="426" w:right="420"/>
        <w:rPr>
          <w:rFonts w:ascii="Tahoma" w:hAnsi="Tahoma" w:cs="Tahoma"/>
          <w:i/>
          <w:color w:val="000000"/>
          <w:sz w:val="22"/>
          <w:szCs w:val="24"/>
          <w:shd w:val="clear" w:color="auto" w:fill="FFFFFF"/>
        </w:rPr>
      </w:pPr>
      <w:r w:rsidRPr="009A1F72">
        <w:rPr>
          <w:rFonts w:ascii="Tahoma" w:hAnsi="Tahoma" w:cs="Tahoma"/>
          <w:i/>
          <w:color w:val="000000"/>
          <w:sz w:val="22"/>
          <w:szCs w:val="24"/>
          <w:shd w:val="clear" w:color="auto" w:fill="FFFFFF"/>
        </w:rPr>
        <w:t>«El empleador que no reporte dentro del mes siguiente a aquel en el cual se produce la novedad de retiro, responderá por el pago integral de la cotización hasta la fecha en que efectúe el reporte a la EPS.»</w:t>
      </w:r>
    </w:p>
    <w:p w14:paraId="25BFD753" w14:textId="77777777" w:rsidR="001E526E" w:rsidRDefault="001E526E" w:rsidP="001E526E">
      <w:pPr>
        <w:spacing w:before="0" w:beforeAutospacing="0" w:after="0" w:afterAutospacing="0" w:line="276" w:lineRule="auto"/>
        <w:rPr>
          <w:rFonts w:ascii="Tahoma" w:hAnsi="Tahoma" w:cs="Tahoma"/>
          <w:color w:val="000000"/>
          <w:lang w:eastAsia="es-CO"/>
        </w:rPr>
      </w:pPr>
    </w:p>
    <w:p w14:paraId="38F3FB86" w14:textId="7FC0E28A" w:rsidR="000B7956" w:rsidRPr="0091165D" w:rsidRDefault="000B7956" w:rsidP="001E526E">
      <w:pPr>
        <w:spacing w:before="0" w:beforeAutospacing="0" w:after="0" w:afterAutospacing="0" w:line="276" w:lineRule="auto"/>
        <w:rPr>
          <w:rFonts w:ascii="Tahoma" w:hAnsi="Tahoma" w:cs="Tahoma"/>
          <w:color w:val="000000"/>
          <w:lang w:eastAsia="es-CO"/>
        </w:rPr>
      </w:pPr>
      <w:r w:rsidRPr="0091165D">
        <w:rPr>
          <w:rFonts w:ascii="Tahoma" w:hAnsi="Tahoma" w:cs="Tahoma"/>
          <w:color w:val="000000"/>
          <w:lang w:eastAsia="es-CO"/>
        </w:rPr>
        <w:t>La sanción, o mejor, la consecuencia por no hacer el reporte oportuno, es la obligación de pagar las cotizaciones al sistema general de seguridad social tanto en salud como pensiones y riesgos laborales, hasta tanto no notifique la novedad de retiro.</w:t>
      </w:r>
    </w:p>
    <w:p w14:paraId="5D7FF066" w14:textId="77777777" w:rsidR="001E526E" w:rsidRDefault="001E526E" w:rsidP="001E526E">
      <w:pPr>
        <w:spacing w:before="0" w:beforeAutospacing="0" w:after="0" w:afterAutospacing="0" w:line="276" w:lineRule="auto"/>
        <w:rPr>
          <w:rFonts w:ascii="Tahoma" w:hAnsi="Tahoma" w:cs="Tahoma"/>
          <w:color w:val="000000"/>
          <w:lang w:eastAsia="es-CO"/>
        </w:rPr>
      </w:pPr>
    </w:p>
    <w:p w14:paraId="030525D7" w14:textId="4BB44320" w:rsidR="000B7956" w:rsidRPr="0091165D" w:rsidRDefault="000B7956" w:rsidP="001E526E">
      <w:pPr>
        <w:spacing w:before="0" w:beforeAutospacing="0" w:after="0" w:afterAutospacing="0" w:line="276" w:lineRule="auto"/>
        <w:rPr>
          <w:rFonts w:ascii="Tahoma" w:hAnsi="Tahoma" w:cs="Tahoma"/>
          <w:color w:val="000000"/>
          <w:lang w:eastAsia="es-CO"/>
        </w:rPr>
      </w:pPr>
      <w:r w:rsidRPr="0091165D">
        <w:rPr>
          <w:rFonts w:ascii="Tahoma" w:hAnsi="Tahoma" w:cs="Tahoma"/>
          <w:color w:val="000000"/>
          <w:lang w:eastAsia="es-CO"/>
        </w:rPr>
        <w:t>Es decir que, si al empleador se le olvida reportar el retiro del trabajador, y se acuerda luego de 2 o 3 meses, tendrá que pagar las cotizaciones junto con intereses moratorios hasta la fecha en que notifique el retiro.</w:t>
      </w:r>
    </w:p>
    <w:p w14:paraId="123608EA" w14:textId="77777777" w:rsidR="001E526E" w:rsidRDefault="001E526E" w:rsidP="001E526E">
      <w:pPr>
        <w:spacing w:before="0" w:beforeAutospacing="0" w:after="0" w:afterAutospacing="0" w:line="276" w:lineRule="auto"/>
        <w:rPr>
          <w:rFonts w:ascii="Tahoma" w:hAnsi="Tahoma" w:cs="Tahoma"/>
          <w:color w:val="000000"/>
          <w:lang w:eastAsia="es-CO"/>
        </w:rPr>
      </w:pPr>
    </w:p>
    <w:p w14:paraId="77895AA1" w14:textId="103667BA" w:rsidR="000B7956" w:rsidRPr="0091165D" w:rsidRDefault="000B7956" w:rsidP="001E526E">
      <w:pPr>
        <w:spacing w:before="0" w:beforeAutospacing="0" w:after="0" w:afterAutospacing="0" w:line="276" w:lineRule="auto"/>
        <w:rPr>
          <w:rFonts w:ascii="Tahoma" w:hAnsi="Tahoma" w:cs="Tahoma"/>
          <w:color w:val="000000"/>
          <w:lang w:eastAsia="es-CO"/>
        </w:rPr>
      </w:pPr>
      <w:r w:rsidRPr="0091165D">
        <w:rPr>
          <w:rFonts w:ascii="Tahoma" w:hAnsi="Tahoma" w:cs="Tahoma"/>
          <w:color w:val="000000"/>
          <w:lang w:eastAsia="es-CO"/>
        </w:rPr>
        <w:t>El pago de las cotizaciones se sigue causando hasta que el empleador o el trabajador independiente notifique el retiro.</w:t>
      </w:r>
    </w:p>
    <w:p w14:paraId="6B66D52A" w14:textId="3E00B148" w:rsidR="000B7956" w:rsidRDefault="000B7956" w:rsidP="001E526E">
      <w:pPr>
        <w:spacing w:before="0" w:beforeAutospacing="0" w:after="0" w:afterAutospacing="0" w:line="276" w:lineRule="auto"/>
        <w:rPr>
          <w:rFonts w:ascii="Tahoma" w:hAnsi="Tahoma" w:cs="Tahoma"/>
          <w:color w:val="000000"/>
          <w:lang w:eastAsia="es-CO"/>
        </w:rPr>
      </w:pPr>
    </w:p>
    <w:p w14:paraId="630C94C8" w14:textId="31D1FF3D" w:rsidR="000B7956" w:rsidRDefault="000B7956" w:rsidP="001E526E">
      <w:pPr>
        <w:spacing w:before="0" w:beforeAutospacing="0" w:after="0" w:afterAutospacing="0" w:line="276" w:lineRule="auto"/>
        <w:rPr>
          <w:rFonts w:ascii="Tahoma" w:hAnsi="Tahoma" w:cs="Tahoma"/>
          <w:color w:val="000000"/>
          <w:lang w:eastAsia="es-CO"/>
        </w:rPr>
      </w:pPr>
      <w:r w:rsidRPr="0091165D">
        <w:rPr>
          <w:rFonts w:ascii="Tahoma" w:hAnsi="Tahoma" w:cs="Tahoma"/>
          <w:color w:val="000000"/>
          <w:lang w:eastAsia="es-CO"/>
        </w:rPr>
        <w:t>La obligación del empleador de reportar la novedad de retiro surge de las siguientes normas:</w:t>
      </w:r>
    </w:p>
    <w:p w14:paraId="603986FF" w14:textId="77777777" w:rsidR="001E526E" w:rsidRPr="0091165D" w:rsidRDefault="001E526E" w:rsidP="001E526E">
      <w:pPr>
        <w:spacing w:before="0" w:beforeAutospacing="0" w:after="0" w:afterAutospacing="0" w:line="276" w:lineRule="auto"/>
        <w:rPr>
          <w:rFonts w:ascii="Tahoma" w:hAnsi="Tahoma" w:cs="Tahoma"/>
          <w:color w:val="000000"/>
          <w:lang w:eastAsia="es-CO"/>
        </w:rPr>
      </w:pPr>
    </w:p>
    <w:p w14:paraId="5B6FC4FB" w14:textId="2D1429FF" w:rsidR="00F47D42" w:rsidRPr="0091165D" w:rsidRDefault="000B7956" w:rsidP="009A1F72">
      <w:pPr>
        <w:pStyle w:val="Textocomentario"/>
        <w:numPr>
          <w:ilvl w:val="0"/>
          <w:numId w:val="1"/>
        </w:numPr>
        <w:spacing w:before="0" w:beforeAutospacing="0" w:after="0" w:afterAutospacing="0"/>
        <w:rPr>
          <w:rFonts w:ascii="Tahoma" w:hAnsi="Tahoma" w:cs="Tahoma"/>
          <w:sz w:val="24"/>
          <w:szCs w:val="24"/>
        </w:rPr>
      </w:pPr>
      <w:r w:rsidRPr="0091165D">
        <w:rPr>
          <w:rFonts w:ascii="Tahoma" w:hAnsi="Tahoma" w:cs="Tahoma"/>
          <w:b/>
          <w:sz w:val="24"/>
          <w:szCs w:val="24"/>
        </w:rPr>
        <w:t>Decreto 692 de 1994:</w:t>
      </w:r>
    </w:p>
    <w:p w14:paraId="1D5B8EAA" w14:textId="77777777" w:rsidR="009A1F72" w:rsidRDefault="009A1F72" w:rsidP="009A1F72">
      <w:pPr>
        <w:pStyle w:val="Textocomentario"/>
        <w:spacing w:before="0" w:beforeAutospacing="0" w:after="0" w:afterAutospacing="0"/>
        <w:ind w:left="708" w:firstLine="0"/>
        <w:rPr>
          <w:rFonts w:ascii="Tahoma" w:hAnsi="Tahoma" w:cs="Tahoma"/>
          <w:b/>
          <w:sz w:val="24"/>
          <w:szCs w:val="24"/>
        </w:rPr>
      </w:pPr>
    </w:p>
    <w:p w14:paraId="74B4A57A" w14:textId="57E8E9BB" w:rsidR="000B7956" w:rsidRPr="0091165D" w:rsidRDefault="000B7956" w:rsidP="009A1F72">
      <w:pPr>
        <w:pStyle w:val="Textocomentario"/>
        <w:spacing w:before="0" w:beforeAutospacing="0" w:after="0" w:afterAutospacing="0"/>
        <w:ind w:left="708" w:firstLine="0"/>
        <w:rPr>
          <w:rFonts w:ascii="Tahoma" w:hAnsi="Tahoma" w:cs="Tahoma"/>
          <w:sz w:val="24"/>
          <w:szCs w:val="24"/>
        </w:rPr>
      </w:pPr>
      <w:r w:rsidRPr="0091165D">
        <w:rPr>
          <w:rFonts w:ascii="Tahoma" w:hAnsi="Tahoma" w:cs="Tahoma"/>
          <w:b/>
          <w:sz w:val="24"/>
          <w:szCs w:val="24"/>
        </w:rPr>
        <w:lastRenderedPageBreak/>
        <w:t>ARTICULO 13. PERMANENCIA DE LA AFILIACION</w:t>
      </w:r>
      <w:r w:rsidRPr="0091165D">
        <w:rPr>
          <w:rFonts w:ascii="Tahoma" w:hAnsi="Tahoma" w:cs="Tahoma"/>
          <w:sz w:val="24"/>
          <w:szCs w:val="24"/>
        </w:rPr>
        <w:t>. La afiliación al sistema general de pensiones es permanente e independiente del régimen que seleccione el afiliado. Dicha afiliación no se pierde por haber dejado de cotizar durante uno o varios períodos, pero podrá pasar a la categoría de afiliados inactivos, cuando tenga más de seis meses de no pago de cotizaciones.</w:t>
      </w:r>
    </w:p>
    <w:p w14:paraId="147F6DD1" w14:textId="77777777" w:rsidR="001E526E" w:rsidRDefault="001E526E" w:rsidP="009A1F72">
      <w:pPr>
        <w:pStyle w:val="Textocomentario"/>
        <w:spacing w:before="0" w:beforeAutospacing="0" w:after="0" w:afterAutospacing="0"/>
        <w:ind w:left="708" w:firstLine="0"/>
        <w:rPr>
          <w:rFonts w:ascii="Tahoma" w:hAnsi="Tahoma" w:cs="Tahoma"/>
          <w:b/>
          <w:sz w:val="24"/>
          <w:szCs w:val="24"/>
        </w:rPr>
      </w:pPr>
    </w:p>
    <w:p w14:paraId="513D3DF1" w14:textId="19FCDB8D" w:rsidR="000B7956" w:rsidRPr="0091165D" w:rsidRDefault="000B7956" w:rsidP="009A1F72">
      <w:pPr>
        <w:pStyle w:val="Textocomentario"/>
        <w:spacing w:before="0" w:beforeAutospacing="0" w:after="0" w:afterAutospacing="0"/>
        <w:ind w:left="708" w:firstLine="0"/>
        <w:rPr>
          <w:rFonts w:ascii="Tahoma" w:hAnsi="Tahoma" w:cs="Tahoma"/>
          <w:sz w:val="24"/>
          <w:szCs w:val="24"/>
        </w:rPr>
      </w:pPr>
      <w:r w:rsidRPr="0091165D">
        <w:rPr>
          <w:rFonts w:ascii="Tahoma" w:hAnsi="Tahoma" w:cs="Tahoma"/>
          <w:b/>
          <w:sz w:val="24"/>
          <w:szCs w:val="24"/>
        </w:rPr>
        <w:t>ARTICULO 19. OBLIGACIONES DE LAS COTIZACIONES.</w:t>
      </w:r>
      <w:r w:rsidRPr="0091165D">
        <w:rPr>
          <w:rFonts w:ascii="Tahoma" w:hAnsi="Tahoma" w:cs="Tahoma"/>
          <w:sz w:val="24"/>
          <w:szCs w:val="24"/>
        </w:rPr>
        <w:t xml:space="preserve"> Durante la vigencia de la relación laboral deberán efectuarse cotizaciones obligatorias a los regímenes del sistema general de pensiones por parte de los afiliados y empleadores. En el caso del régimen solidario de prima media con prestación definida, la obligación de cotizar cesa cuando el afiliado cumpla los requisitos para obtener su pensión de vejez o cuando el afiliado se pensione por invalidez. No obstante haber cumplido los requisitos para la pensión de vejez, el afiliado podrá continuar cotizando, a su cargo, hasta por cinco años adicionales para aumentar el monto de su pensión. En el caso del régimen de ahorro individual con solidaridad, la obligación de cotizar cesa cuando se cause la pensión de invalidez o de sobrevivientes o cuando el afiliado opte por pensionarse anticipadamente. No obstante haber cumplido los requisitos para la pensión de vejez, el afiliado podrá continuar cotizando, en cuyo caso el empleador estará obligado a efectuar las cotizaciones a su cargo, mientras dura la relación laboral, legal o reglamentaria, y hasta la fecha en la cual el trabajador cumpla sesenta (60) años si es mujer y sesenta y dos (62) años de edad si es hombre.</w:t>
      </w:r>
    </w:p>
    <w:p w14:paraId="357E33DF" w14:textId="77777777" w:rsidR="000B7956" w:rsidRPr="0091165D" w:rsidRDefault="000B7956" w:rsidP="009A1F72">
      <w:pPr>
        <w:pStyle w:val="Textocomentario"/>
        <w:spacing w:before="0" w:beforeAutospacing="0" w:after="0" w:afterAutospacing="0"/>
        <w:rPr>
          <w:rFonts w:ascii="Tahoma" w:hAnsi="Tahoma" w:cs="Tahoma"/>
          <w:sz w:val="24"/>
          <w:szCs w:val="24"/>
        </w:rPr>
      </w:pPr>
    </w:p>
    <w:p w14:paraId="0BA01A57" w14:textId="77777777" w:rsidR="00F47D42" w:rsidRPr="0091165D" w:rsidRDefault="000B7956" w:rsidP="009A1F72">
      <w:pPr>
        <w:pStyle w:val="Prrafodelista"/>
        <w:numPr>
          <w:ilvl w:val="0"/>
          <w:numId w:val="1"/>
        </w:numPr>
        <w:shd w:val="clear" w:color="auto" w:fill="FFFFFF"/>
        <w:spacing w:before="0" w:beforeAutospacing="0" w:after="0" w:afterAutospacing="0" w:line="240" w:lineRule="auto"/>
        <w:rPr>
          <w:rFonts w:ascii="Tahoma" w:hAnsi="Tahoma" w:cs="Tahoma"/>
          <w:color w:val="333333"/>
          <w:lang w:eastAsia="es-CO"/>
        </w:rPr>
      </w:pPr>
      <w:r w:rsidRPr="0091165D">
        <w:rPr>
          <w:rFonts w:ascii="Tahoma" w:hAnsi="Tahoma" w:cs="Tahoma"/>
          <w:b/>
          <w:bCs/>
          <w:color w:val="333333"/>
          <w:shd w:val="clear" w:color="auto" w:fill="FFFFFF"/>
        </w:rPr>
        <w:t xml:space="preserve">DECRETO 1406 DE 1999: </w:t>
      </w:r>
    </w:p>
    <w:p w14:paraId="7FBA0629" w14:textId="77777777" w:rsidR="00F47D42" w:rsidRPr="0091165D" w:rsidRDefault="00F47D42" w:rsidP="009A1F72">
      <w:pPr>
        <w:pStyle w:val="Prrafodelista"/>
        <w:shd w:val="clear" w:color="auto" w:fill="FFFFFF"/>
        <w:spacing w:before="0" w:beforeAutospacing="0" w:after="0" w:afterAutospacing="0" w:line="240" w:lineRule="auto"/>
        <w:ind w:firstLine="0"/>
        <w:rPr>
          <w:rFonts w:ascii="Tahoma" w:hAnsi="Tahoma" w:cs="Tahoma"/>
          <w:b/>
          <w:bCs/>
          <w:color w:val="333333"/>
          <w:lang w:eastAsia="es-CO"/>
        </w:rPr>
      </w:pPr>
    </w:p>
    <w:p w14:paraId="4598CC60" w14:textId="181F317B" w:rsidR="000B7956" w:rsidRPr="0091165D" w:rsidRDefault="000B7956" w:rsidP="009A1F72">
      <w:pPr>
        <w:pStyle w:val="Prrafodelista"/>
        <w:shd w:val="clear" w:color="auto" w:fill="FFFFFF"/>
        <w:spacing w:before="0" w:beforeAutospacing="0" w:after="0" w:afterAutospacing="0" w:line="240" w:lineRule="auto"/>
        <w:ind w:firstLine="0"/>
        <w:rPr>
          <w:rFonts w:ascii="Tahoma" w:hAnsi="Tahoma" w:cs="Tahoma"/>
          <w:color w:val="333333"/>
          <w:lang w:eastAsia="es-CO"/>
        </w:rPr>
      </w:pPr>
      <w:r w:rsidRPr="0091165D">
        <w:rPr>
          <w:rFonts w:ascii="Tahoma" w:hAnsi="Tahoma" w:cs="Tahoma"/>
          <w:b/>
          <w:bCs/>
          <w:color w:val="333333"/>
          <w:lang w:eastAsia="es-CO"/>
        </w:rPr>
        <w:t>ARTÍCULO 39</w:t>
      </w:r>
      <w:r w:rsidRPr="0091165D">
        <w:rPr>
          <w:rFonts w:ascii="Tahoma" w:hAnsi="Tahoma" w:cs="Tahoma"/>
          <w:color w:val="333333"/>
          <w:lang w:eastAsia="es-CO"/>
        </w:rPr>
        <w:t>. </w:t>
      </w:r>
      <w:r w:rsidRPr="0091165D">
        <w:rPr>
          <w:rFonts w:ascii="Tahoma" w:hAnsi="Tahoma" w:cs="Tahoma"/>
          <w:b/>
          <w:i/>
          <w:iCs/>
          <w:color w:val="333333"/>
          <w:lang w:eastAsia="es-CO"/>
        </w:rPr>
        <w:t>Deberes especiales del empleador</w:t>
      </w:r>
      <w:r w:rsidRPr="0091165D">
        <w:rPr>
          <w:rFonts w:ascii="Tahoma" w:hAnsi="Tahoma" w:cs="Tahoma"/>
          <w:color w:val="333333"/>
          <w:lang w:eastAsia="es-CO"/>
        </w:rPr>
        <w:t>. Las consecuencias derivadas de la no presentación de las declaraciones de autoliquidación de aportes o de errores u omisiones en ésta, que afecten el cubrimiento y operatividad del Sistema de Seguridad Integral o la prestación de los servicios que él contempla con respecto a uno o más de los afiliados, serán responsabilidad exclusiva del aportante.</w:t>
      </w:r>
    </w:p>
    <w:p w14:paraId="11E55AF7" w14:textId="77777777" w:rsidR="000B7956" w:rsidRPr="0091165D" w:rsidRDefault="000B7956" w:rsidP="001E526E">
      <w:pPr>
        <w:shd w:val="clear" w:color="auto" w:fill="FFFFFF"/>
        <w:spacing w:before="0" w:beforeAutospacing="0" w:after="0" w:afterAutospacing="0" w:line="276" w:lineRule="auto"/>
        <w:rPr>
          <w:rFonts w:ascii="Tahoma" w:hAnsi="Tahoma" w:cs="Tahoma"/>
          <w:color w:val="333333"/>
          <w:lang w:eastAsia="es-CO"/>
        </w:rPr>
      </w:pPr>
      <w:r w:rsidRPr="0091165D">
        <w:rPr>
          <w:rFonts w:ascii="Tahoma" w:hAnsi="Tahoma" w:cs="Tahoma"/>
          <w:color w:val="333333"/>
          <w:lang w:eastAsia="es-CO"/>
        </w:rPr>
        <w:t> </w:t>
      </w:r>
    </w:p>
    <w:p w14:paraId="0F28DC79" w14:textId="10BEE727" w:rsidR="00677054" w:rsidRPr="0091165D" w:rsidRDefault="00AA7016" w:rsidP="001E526E">
      <w:pPr>
        <w:pStyle w:val="Textoindependiente"/>
        <w:spacing w:line="276" w:lineRule="auto"/>
        <w:ind w:firstLine="567"/>
        <w:contextualSpacing/>
        <w:rPr>
          <w:rFonts w:ascii="Tahoma" w:hAnsi="Tahoma" w:cs="Tahoma"/>
        </w:rPr>
      </w:pPr>
      <w:r w:rsidRPr="0091165D">
        <w:rPr>
          <w:rFonts w:ascii="Tahoma" w:hAnsi="Tahoma" w:cs="Tahoma"/>
        </w:rPr>
        <w:t xml:space="preserve">Con base en todo lo anterior, debió confirmarse la sentencia de primera instancia. </w:t>
      </w:r>
      <w:r w:rsidR="00677054" w:rsidRPr="0091165D">
        <w:rPr>
          <w:rFonts w:ascii="Tahoma" w:hAnsi="Tahoma" w:cs="Tahoma"/>
        </w:rPr>
        <w:t xml:space="preserve">Ahora, si había dudas al respecto, era obligación de la </w:t>
      </w:r>
      <w:r w:rsidRPr="0091165D">
        <w:rPr>
          <w:rFonts w:ascii="Tahoma" w:hAnsi="Tahoma" w:cs="Tahoma"/>
        </w:rPr>
        <w:t xml:space="preserve">Sala </w:t>
      </w:r>
      <w:r w:rsidR="00677054" w:rsidRPr="0091165D">
        <w:rPr>
          <w:rFonts w:ascii="Tahoma" w:hAnsi="Tahoma" w:cs="Tahoma"/>
        </w:rPr>
        <w:t>decretar una prueba de oficio para establecer esta situación porque ello era fundamental para la resolución de este caso.</w:t>
      </w:r>
      <w:r w:rsidRPr="0091165D">
        <w:rPr>
          <w:rFonts w:ascii="Tahoma" w:hAnsi="Tahoma" w:cs="Tahoma"/>
        </w:rPr>
        <w:t xml:space="preserve"> A pesar de que la suscrita lo sugirió, el resto de la Sala hizo caso omiso. </w:t>
      </w:r>
    </w:p>
    <w:p w14:paraId="293B4236" w14:textId="77777777" w:rsidR="0001605C" w:rsidRPr="0091165D" w:rsidRDefault="0001605C" w:rsidP="001E526E">
      <w:pPr>
        <w:spacing w:before="0" w:beforeAutospacing="0" w:after="0" w:afterAutospacing="0" w:line="276" w:lineRule="auto"/>
        <w:ind w:firstLine="709"/>
        <w:contextualSpacing/>
        <w:rPr>
          <w:rFonts w:ascii="Tahoma" w:eastAsia="Times New Roman" w:hAnsi="Tahoma" w:cs="Tahoma"/>
          <w:lang w:eastAsia="es-MX"/>
        </w:rPr>
      </w:pPr>
    </w:p>
    <w:p w14:paraId="6645E494" w14:textId="5C75AB58" w:rsidR="00C0353E" w:rsidRPr="0091165D" w:rsidRDefault="00CC0B61" w:rsidP="001E526E">
      <w:pPr>
        <w:spacing w:before="0" w:beforeAutospacing="0" w:after="0" w:afterAutospacing="0" w:line="276" w:lineRule="auto"/>
        <w:ind w:firstLine="709"/>
        <w:contextualSpacing/>
        <w:rPr>
          <w:rFonts w:ascii="Tahoma" w:eastAsia="Times New Roman" w:hAnsi="Tahoma" w:cs="Tahoma"/>
          <w:lang w:eastAsia="es-MX"/>
        </w:rPr>
      </w:pPr>
      <w:r w:rsidRPr="0091165D">
        <w:rPr>
          <w:rFonts w:ascii="Tahoma" w:eastAsia="Times New Roman" w:hAnsi="Tahoma" w:cs="Tahoma"/>
          <w:lang w:eastAsia="es-MX"/>
        </w:rPr>
        <w:t xml:space="preserve">En estos </w:t>
      </w:r>
      <w:r w:rsidR="00C0353E" w:rsidRPr="0091165D">
        <w:rPr>
          <w:rFonts w:ascii="Tahoma" w:eastAsia="Times New Roman" w:hAnsi="Tahoma" w:cs="Tahoma"/>
          <w:lang w:eastAsia="es-MX"/>
        </w:rPr>
        <w:t>términos</w:t>
      </w:r>
      <w:r w:rsidRPr="0091165D">
        <w:rPr>
          <w:rFonts w:ascii="Tahoma" w:eastAsia="Times New Roman" w:hAnsi="Tahoma" w:cs="Tahoma"/>
          <w:lang w:eastAsia="es-MX"/>
        </w:rPr>
        <w:t xml:space="preserve"> sustento mi salvamento de voto.</w:t>
      </w:r>
    </w:p>
    <w:p w14:paraId="1CD1AE7B" w14:textId="7C274D4C" w:rsidR="00FB40B3" w:rsidRPr="0091165D" w:rsidRDefault="001C7AE4" w:rsidP="0091165D">
      <w:pPr>
        <w:spacing w:line="276" w:lineRule="auto"/>
        <w:ind w:firstLine="0"/>
        <w:jc w:val="center"/>
        <w:rPr>
          <w:rFonts w:ascii="Tahoma" w:eastAsia="Times New Roman" w:hAnsi="Tahoma" w:cs="Tahoma"/>
          <w:b/>
          <w:bCs/>
          <w:lang w:eastAsia="es-MX"/>
        </w:rPr>
      </w:pPr>
      <w:r w:rsidRPr="0091165D">
        <w:rPr>
          <w:rFonts w:ascii="Tahoma" w:hAnsi="Tahoma" w:cs="Tahoma"/>
          <w:noProof/>
          <w:lang w:eastAsia="es-CO"/>
        </w:rPr>
        <w:drawing>
          <wp:inline distT="0" distB="0" distL="0" distR="0" wp14:anchorId="0ACD4866" wp14:editId="2515C895">
            <wp:extent cx="2600325" cy="1360313"/>
            <wp:effectExtent l="0" t="0" r="0" b="381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360313"/>
                    </a:xfrm>
                    <a:prstGeom prst="rect">
                      <a:avLst/>
                    </a:prstGeom>
                    <a:noFill/>
                    <a:ln>
                      <a:noFill/>
                    </a:ln>
                  </pic:spPr>
                </pic:pic>
              </a:graphicData>
            </a:graphic>
          </wp:inline>
        </w:drawing>
      </w:r>
    </w:p>
    <w:p w14:paraId="1B8F8574" w14:textId="393745AC" w:rsidR="0004268F" w:rsidRPr="0091165D" w:rsidRDefault="00CC0B61" w:rsidP="0091165D">
      <w:pPr>
        <w:spacing w:before="0" w:beforeAutospacing="0" w:after="0" w:afterAutospacing="0" w:line="276" w:lineRule="auto"/>
        <w:ind w:firstLine="0"/>
        <w:jc w:val="center"/>
        <w:rPr>
          <w:rFonts w:ascii="Tahoma" w:eastAsia="Times New Roman" w:hAnsi="Tahoma" w:cs="Tahoma"/>
          <w:b/>
          <w:bCs/>
          <w:lang w:eastAsia="es-MX"/>
        </w:rPr>
      </w:pPr>
      <w:r w:rsidRPr="0091165D">
        <w:rPr>
          <w:rFonts w:ascii="Tahoma" w:eastAsia="Times New Roman" w:hAnsi="Tahoma" w:cs="Tahoma"/>
          <w:b/>
          <w:bCs/>
          <w:lang w:eastAsia="es-MX"/>
        </w:rPr>
        <w:t>ANA LUCÍA CAICEDO CALDERÓN</w:t>
      </w:r>
    </w:p>
    <w:p w14:paraId="3C400847" w14:textId="1CA2C8FC" w:rsidR="00CA349D" w:rsidRPr="0091165D" w:rsidRDefault="00CC0B61" w:rsidP="0091165D">
      <w:pPr>
        <w:spacing w:before="0" w:beforeAutospacing="0" w:after="0" w:afterAutospacing="0" w:line="276" w:lineRule="auto"/>
        <w:ind w:firstLine="0"/>
        <w:jc w:val="center"/>
        <w:rPr>
          <w:rFonts w:ascii="Tahoma" w:eastAsia="Times New Roman" w:hAnsi="Tahoma" w:cs="Tahoma"/>
          <w:lang w:eastAsia="es-MX"/>
        </w:rPr>
      </w:pPr>
      <w:r w:rsidRPr="0091165D">
        <w:rPr>
          <w:rFonts w:ascii="Tahoma" w:eastAsia="Times New Roman" w:hAnsi="Tahoma" w:cs="Tahoma"/>
          <w:bCs/>
          <w:lang w:eastAsia="es-MX"/>
        </w:rPr>
        <w:t>Magistrada</w:t>
      </w:r>
      <w:bookmarkStart w:id="2" w:name="_GoBack"/>
      <w:bookmarkEnd w:id="2"/>
    </w:p>
    <w:sectPr w:rsidR="00CA349D" w:rsidRPr="0091165D" w:rsidSect="008124CF">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43D8" w14:textId="77777777" w:rsidR="00E51F34" w:rsidRDefault="00E51F34" w:rsidP="00CC0B61">
      <w:pPr>
        <w:spacing w:before="0" w:after="0" w:line="240" w:lineRule="auto"/>
      </w:pPr>
      <w:r>
        <w:separator/>
      </w:r>
    </w:p>
  </w:endnote>
  <w:endnote w:type="continuationSeparator" w:id="0">
    <w:p w14:paraId="26D55F5E" w14:textId="77777777" w:rsidR="00E51F34" w:rsidRDefault="00E51F34"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557F" w14:textId="77777777" w:rsidR="00E51F34" w:rsidRDefault="00E51F34" w:rsidP="00CC0B61">
      <w:pPr>
        <w:spacing w:before="0" w:after="0" w:line="240" w:lineRule="auto"/>
      </w:pPr>
      <w:r>
        <w:separator/>
      </w:r>
    </w:p>
  </w:footnote>
  <w:footnote w:type="continuationSeparator" w:id="0">
    <w:p w14:paraId="36FB281C" w14:textId="77777777" w:rsidR="00E51F34" w:rsidRDefault="00E51F34" w:rsidP="00CC0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6DB"/>
    <w:multiLevelType w:val="hybridMultilevel"/>
    <w:tmpl w:val="24EE074A"/>
    <w:lvl w:ilvl="0" w:tplc="3E34B1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61"/>
    <w:rsid w:val="0001605C"/>
    <w:rsid w:val="0004268F"/>
    <w:rsid w:val="00043C6E"/>
    <w:rsid w:val="00056F03"/>
    <w:rsid w:val="000B7956"/>
    <w:rsid w:val="000C4B43"/>
    <w:rsid w:val="00157252"/>
    <w:rsid w:val="001C7AE4"/>
    <w:rsid w:val="001E099B"/>
    <w:rsid w:val="001E2CFB"/>
    <w:rsid w:val="001E526E"/>
    <w:rsid w:val="001F7748"/>
    <w:rsid w:val="00210506"/>
    <w:rsid w:val="00220B82"/>
    <w:rsid w:val="002230FC"/>
    <w:rsid w:val="00263557"/>
    <w:rsid w:val="00295B2B"/>
    <w:rsid w:val="002B464D"/>
    <w:rsid w:val="002C6017"/>
    <w:rsid w:val="003237E3"/>
    <w:rsid w:val="00324CF1"/>
    <w:rsid w:val="003567C6"/>
    <w:rsid w:val="00365046"/>
    <w:rsid w:val="00366CF2"/>
    <w:rsid w:val="0038113E"/>
    <w:rsid w:val="003E4B6A"/>
    <w:rsid w:val="004307FC"/>
    <w:rsid w:val="004343F1"/>
    <w:rsid w:val="00474C60"/>
    <w:rsid w:val="004928E8"/>
    <w:rsid w:val="004A5E75"/>
    <w:rsid w:val="004B5930"/>
    <w:rsid w:val="00502C95"/>
    <w:rsid w:val="0056597D"/>
    <w:rsid w:val="005D052F"/>
    <w:rsid w:val="00614A70"/>
    <w:rsid w:val="00677054"/>
    <w:rsid w:val="006A1AE0"/>
    <w:rsid w:val="006A4D87"/>
    <w:rsid w:val="006F1256"/>
    <w:rsid w:val="00703638"/>
    <w:rsid w:val="0071052F"/>
    <w:rsid w:val="00741EE0"/>
    <w:rsid w:val="008040CB"/>
    <w:rsid w:val="008124CF"/>
    <w:rsid w:val="00824EF4"/>
    <w:rsid w:val="0082691F"/>
    <w:rsid w:val="00826A8F"/>
    <w:rsid w:val="00827995"/>
    <w:rsid w:val="00883348"/>
    <w:rsid w:val="0089189F"/>
    <w:rsid w:val="008B6CD2"/>
    <w:rsid w:val="008C389E"/>
    <w:rsid w:val="008D17B8"/>
    <w:rsid w:val="008E309A"/>
    <w:rsid w:val="0091165D"/>
    <w:rsid w:val="009A1F72"/>
    <w:rsid w:val="009B488D"/>
    <w:rsid w:val="00A3299A"/>
    <w:rsid w:val="00A41DCC"/>
    <w:rsid w:val="00A828CD"/>
    <w:rsid w:val="00A87DDB"/>
    <w:rsid w:val="00AA29E1"/>
    <w:rsid w:val="00AA7016"/>
    <w:rsid w:val="00AD4A9A"/>
    <w:rsid w:val="00B34DA8"/>
    <w:rsid w:val="00B3615A"/>
    <w:rsid w:val="00B4552F"/>
    <w:rsid w:val="00B534BA"/>
    <w:rsid w:val="00BB39E6"/>
    <w:rsid w:val="00BD2319"/>
    <w:rsid w:val="00C0353E"/>
    <w:rsid w:val="00C579D7"/>
    <w:rsid w:val="00C86F00"/>
    <w:rsid w:val="00C97B2D"/>
    <w:rsid w:val="00CA2FF0"/>
    <w:rsid w:val="00CA349D"/>
    <w:rsid w:val="00CC0B61"/>
    <w:rsid w:val="00CC2E09"/>
    <w:rsid w:val="00CC5516"/>
    <w:rsid w:val="00CE50AF"/>
    <w:rsid w:val="00CE79B7"/>
    <w:rsid w:val="00D033F1"/>
    <w:rsid w:val="00DA106F"/>
    <w:rsid w:val="00DB364C"/>
    <w:rsid w:val="00DE75E5"/>
    <w:rsid w:val="00DF49E1"/>
    <w:rsid w:val="00DF5C2D"/>
    <w:rsid w:val="00E20BBE"/>
    <w:rsid w:val="00E266BB"/>
    <w:rsid w:val="00E51F34"/>
    <w:rsid w:val="00EB5CC1"/>
    <w:rsid w:val="00F174F4"/>
    <w:rsid w:val="00F32DEF"/>
    <w:rsid w:val="00F47D42"/>
    <w:rsid w:val="00F9138C"/>
    <w:rsid w:val="00F917B0"/>
    <w:rsid w:val="00FB40B3"/>
    <w:rsid w:val="00FC4887"/>
    <w:rsid w:val="00FF7E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 w:type="character" w:customStyle="1" w:styleId="TextoindependienteCar">
    <w:name w:val="Texto independiente Car"/>
    <w:link w:val="Textoindependiente"/>
    <w:locked/>
    <w:rsid w:val="0082691F"/>
    <w:rPr>
      <w:rFonts w:ascii="Arial" w:hAnsi="Arial" w:cs="Arial"/>
      <w:lang w:val="es-ES_tradnl" w:eastAsia="es-ES"/>
    </w:rPr>
  </w:style>
  <w:style w:type="paragraph" w:styleId="Textoindependiente">
    <w:name w:val="Body Text"/>
    <w:basedOn w:val="Normal"/>
    <w:link w:val="TextoindependienteCar"/>
    <w:rsid w:val="0082691F"/>
    <w:pPr>
      <w:spacing w:before="0" w:beforeAutospacing="0" w:after="0" w:afterAutospacing="0" w:line="240" w:lineRule="auto"/>
      <w:ind w:firstLine="0"/>
    </w:pPr>
    <w:rPr>
      <w:rFonts w:ascii="Arial" w:hAnsi="Arial" w:cs="Arial"/>
      <w:lang w:val="es-ES_tradnl" w:eastAsia="es-ES"/>
    </w:rPr>
  </w:style>
  <w:style w:type="character" w:customStyle="1" w:styleId="TextoindependienteCar1">
    <w:name w:val="Texto independiente Car1"/>
    <w:basedOn w:val="Fuentedeprrafopredeter"/>
    <w:uiPriority w:val="99"/>
    <w:semiHidden/>
    <w:rsid w:val="0082691F"/>
  </w:style>
  <w:style w:type="character" w:styleId="Mencionar">
    <w:name w:val="Mention"/>
    <w:basedOn w:val="Fuentedeprrafopredeter"/>
    <w:uiPriority w:val="99"/>
    <w:unhideWhenUsed/>
    <w:rsid w:val="0082691F"/>
    <w:rPr>
      <w:color w:val="2B579A"/>
      <w:shd w:val="clear" w:color="auto" w:fill="E6E6E6"/>
    </w:rPr>
  </w:style>
  <w:style w:type="paragraph" w:styleId="Prrafodelista">
    <w:name w:val="List Paragraph"/>
    <w:basedOn w:val="Normal"/>
    <w:uiPriority w:val="34"/>
    <w:qFormat/>
    <w:rsid w:val="00F4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A8A3-1AD5-4981-9147-43584B824C3D}">
  <ds:schemaRefs>
    <ds:schemaRef ds:uri="http://schemas.microsoft.com/sharepoint/v3/contenttype/forms"/>
  </ds:schemaRefs>
</ds:datastoreItem>
</file>

<file path=customXml/itemProps2.xml><?xml version="1.0" encoding="utf-8"?>
<ds:datastoreItem xmlns:ds="http://schemas.openxmlformats.org/officeDocument/2006/customXml" ds:itemID="{9E1BE42C-CD15-45FB-8030-181684A6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DD3F2-7251-42E5-98D4-AE0B1ED79BC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F99D3ED2-7015-40D0-8273-E59E680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2</cp:revision>
  <cp:lastPrinted>2023-01-14T00:21:00Z</cp:lastPrinted>
  <dcterms:created xsi:type="dcterms:W3CDTF">2023-04-18T19:54:00Z</dcterms:created>
  <dcterms:modified xsi:type="dcterms:W3CDTF">2023-04-18T19:54:00Z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