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68C2" w14:textId="77777777" w:rsidR="00E823A8" w:rsidRPr="00141264" w:rsidRDefault="00E823A8" w:rsidP="00E823A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14126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90D270" w14:textId="77777777" w:rsidR="00E823A8" w:rsidRPr="00141264" w:rsidRDefault="00E823A8" w:rsidP="00E823A8">
      <w:pPr>
        <w:spacing w:line="240" w:lineRule="auto"/>
        <w:rPr>
          <w:rFonts w:ascii="Arial" w:hAnsi="Arial" w:cs="Arial"/>
          <w:sz w:val="20"/>
          <w:lang w:val="es-419" w:eastAsia="es-ES"/>
        </w:rPr>
      </w:pPr>
    </w:p>
    <w:p w14:paraId="63E5E52F" w14:textId="145AE0FE" w:rsidR="00E823A8" w:rsidRDefault="000B09CB" w:rsidP="00E823A8">
      <w:pPr>
        <w:spacing w:line="240" w:lineRule="auto"/>
        <w:rPr>
          <w:rFonts w:ascii="Arial" w:hAnsi="Arial" w:cs="Arial"/>
          <w:sz w:val="20"/>
          <w:lang w:val="es-419" w:eastAsia="es-ES"/>
        </w:rPr>
      </w:pPr>
      <w:r w:rsidRPr="00141264">
        <w:rPr>
          <w:rFonts w:ascii="Arial" w:hAnsi="Arial" w:cs="Arial"/>
          <w:b/>
          <w:bCs/>
          <w:iCs/>
          <w:sz w:val="20"/>
          <w:u w:val="single"/>
          <w:lang w:val="es-419" w:eastAsia="fr-FR"/>
        </w:rPr>
        <w:t>TEMAS:</w:t>
      </w:r>
      <w:r w:rsidRPr="00141264">
        <w:rPr>
          <w:rFonts w:ascii="Arial" w:hAnsi="Arial" w:cs="Arial"/>
          <w:b/>
          <w:bCs/>
          <w:iCs/>
          <w:sz w:val="20"/>
          <w:lang w:val="es-419" w:eastAsia="fr-FR"/>
        </w:rPr>
        <w:tab/>
      </w:r>
      <w:r>
        <w:rPr>
          <w:rFonts w:ascii="Arial" w:hAnsi="Arial" w:cs="Arial"/>
          <w:b/>
          <w:bCs/>
          <w:iCs/>
          <w:sz w:val="20"/>
          <w:lang w:val="es-419" w:eastAsia="fr-FR"/>
        </w:rPr>
        <w:t>RECURSO DE APELACIÓN / REQUISITOS DE PROCEDIBILIDAD / SUSTENTACIÓN / ÉSTA NO PUEDE SER VAGA O IMPRECISA / DEBE CONTROVERTIR LA DECISIÓN IMPUGNADA / LEGITIMACIÓN / NO PUEDE ATACAR LA EXISTENCIA DEL HECHO PUNIBLE NI LA RESPONSABILIDAD QUIEN ACEPTÓ CARGOS</w:t>
      </w:r>
      <w:r w:rsidR="0070226E">
        <w:rPr>
          <w:rFonts w:ascii="Arial" w:hAnsi="Arial" w:cs="Arial"/>
          <w:b/>
          <w:bCs/>
          <w:iCs/>
          <w:sz w:val="20"/>
          <w:lang w:val="es-419" w:eastAsia="fr-FR"/>
        </w:rPr>
        <w:t xml:space="preserve"> / SE DECLARA DESIERTO.</w:t>
      </w:r>
    </w:p>
    <w:p w14:paraId="05961565" w14:textId="77777777" w:rsidR="00E823A8" w:rsidRDefault="00E823A8" w:rsidP="00E823A8">
      <w:pPr>
        <w:spacing w:line="240" w:lineRule="auto"/>
        <w:rPr>
          <w:rFonts w:ascii="Arial" w:hAnsi="Arial" w:cs="Arial"/>
          <w:sz w:val="20"/>
          <w:lang w:val="es-419" w:eastAsia="es-ES"/>
        </w:rPr>
      </w:pPr>
    </w:p>
    <w:p w14:paraId="69BF6495" w14:textId="440D4BAB" w:rsidR="00E823A8" w:rsidRDefault="00541C0E" w:rsidP="00E823A8">
      <w:pPr>
        <w:spacing w:line="240" w:lineRule="auto"/>
        <w:rPr>
          <w:rFonts w:ascii="Arial" w:hAnsi="Arial" w:cs="Arial"/>
          <w:sz w:val="20"/>
          <w:lang w:val="es-419" w:eastAsia="es-ES"/>
        </w:rPr>
      </w:pPr>
      <w:r w:rsidRPr="00541C0E">
        <w:rPr>
          <w:rFonts w:ascii="Arial" w:hAnsi="Arial" w:cs="Arial"/>
          <w:sz w:val="20"/>
          <w:lang w:val="es-419" w:eastAsia="es-ES"/>
        </w:rPr>
        <w:t>Para el surgimiento de la competencia funcional en segunda instancia, es indispensable la interposición oportuna del recurso de apelación en forma principal o subsidiaria, que la impugnación sea interpuesta por un sujeto procesal habilitado para el efecto, y que la providencia contra la cual se interpone admita esa clase de impugnación; pero además, que la parte inconforme presente adecuada sustentación que dé al superior las bases suficientes para confrontar la posición del inconforme frente aquella asumida por el inferior</w:t>
      </w:r>
      <w:r>
        <w:rPr>
          <w:rFonts w:ascii="Arial" w:hAnsi="Arial" w:cs="Arial"/>
          <w:sz w:val="20"/>
          <w:lang w:val="es-419" w:eastAsia="es-ES"/>
        </w:rPr>
        <w:t>…</w:t>
      </w:r>
    </w:p>
    <w:p w14:paraId="6E829E5D" w14:textId="77777777" w:rsidR="00E823A8" w:rsidRDefault="00E823A8" w:rsidP="00E823A8">
      <w:pPr>
        <w:spacing w:line="240" w:lineRule="auto"/>
        <w:rPr>
          <w:rFonts w:ascii="Arial" w:hAnsi="Arial" w:cs="Arial"/>
          <w:sz w:val="20"/>
          <w:lang w:val="es-419" w:eastAsia="es-ES"/>
        </w:rPr>
      </w:pPr>
    </w:p>
    <w:p w14:paraId="240247C1" w14:textId="41C5144D" w:rsidR="00E823A8" w:rsidRDefault="002E3BAB" w:rsidP="00E823A8">
      <w:pPr>
        <w:spacing w:line="240" w:lineRule="auto"/>
        <w:rPr>
          <w:rFonts w:ascii="Arial" w:hAnsi="Arial" w:cs="Arial"/>
          <w:sz w:val="20"/>
          <w:lang w:val="es-419" w:eastAsia="es-ES"/>
        </w:rPr>
      </w:pPr>
      <w:r>
        <w:rPr>
          <w:rFonts w:ascii="Arial" w:hAnsi="Arial" w:cs="Arial"/>
          <w:sz w:val="20"/>
          <w:lang w:val="es-419" w:eastAsia="es-ES"/>
        </w:rPr>
        <w:t xml:space="preserve">… </w:t>
      </w:r>
      <w:r w:rsidRPr="002E3BAB">
        <w:rPr>
          <w:rFonts w:ascii="Arial" w:hAnsi="Arial" w:cs="Arial"/>
          <w:sz w:val="20"/>
          <w:lang w:val="es-419" w:eastAsia="es-ES"/>
        </w:rPr>
        <w:t>no suplen el requisito de la sustentación expresiones abstractas que por su imprecisión y vaguedad no enuncian ni siquiera implícitamente las razones o motivos de disenso, puesto que deben exponerse las razones de hecho y de derecho que motivan la inconformidad frente a lo resuelto</w:t>
      </w:r>
      <w:r>
        <w:rPr>
          <w:rFonts w:ascii="Arial" w:hAnsi="Arial" w:cs="Arial"/>
          <w:sz w:val="20"/>
          <w:lang w:val="es-419" w:eastAsia="es-ES"/>
        </w:rPr>
        <w:t>…</w:t>
      </w:r>
    </w:p>
    <w:p w14:paraId="0687753C" w14:textId="77777777" w:rsidR="00E823A8" w:rsidRDefault="00E823A8" w:rsidP="00E823A8">
      <w:pPr>
        <w:spacing w:line="240" w:lineRule="auto"/>
        <w:rPr>
          <w:rFonts w:ascii="Arial" w:hAnsi="Arial" w:cs="Arial"/>
          <w:sz w:val="20"/>
          <w:lang w:val="es-419" w:eastAsia="es-ES"/>
        </w:rPr>
      </w:pPr>
    </w:p>
    <w:p w14:paraId="15A9222A" w14:textId="0BFECA5C" w:rsidR="00E823A8" w:rsidRDefault="002E3BAB" w:rsidP="00E823A8">
      <w:pPr>
        <w:spacing w:line="240" w:lineRule="auto"/>
        <w:rPr>
          <w:rFonts w:ascii="Arial" w:hAnsi="Arial" w:cs="Arial"/>
          <w:sz w:val="20"/>
          <w:lang w:val="es-419" w:eastAsia="es-ES"/>
        </w:rPr>
      </w:pPr>
      <w:r w:rsidRPr="002E3BAB">
        <w:rPr>
          <w:rFonts w:ascii="Arial" w:hAnsi="Arial" w:cs="Arial"/>
          <w:sz w:val="20"/>
          <w:lang w:val="es-419" w:eastAsia="es-ES"/>
        </w:rPr>
        <w:t>Sobre el tema el órgano de cierre en materia penal ha indicado que: “el derecho a impugnar las decisiones judiciales entraña correlativamente para quien así procede la carga de exponer la respectiva sustentación, pues de no hacerlo obtendrá como sanción la declaratoria de desierto del recurso”</w:t>
      </w:r>
      <w:r>
        <w:rPr>
          <w:rFonts w:ascii="Arial" w:hAnsi="Arial" w:cs="Arial"/>
          <w:sz w:val="20"/>
          <w:lang w:val="es-419" w:eastAsia="es-ES"/>
        </w:rPr>
        <w:t xml:space="preserve"> …</w:t>
      </w:r>
    </w:p>
    <w:p w14:paraId="149074E9" w14:textId="77777777" w:rsidR="00E823A8" w:rsidRDefault="00E823A8" w:rsidP="00E823A8">
      <w:pPr>
        <w:spacing w:line="240" w:lineRule="auto"/>
        <w:rPr>
          <w:rFonts w:ascii="Arial" w:hAnsi="Arial" w:cs="Arial"/>
          <w:sz w:val="20"/>
          <w:lang w:val="es-419" w:eastAsia="es-ES"/>
        </w:rPr>
      </w:pPr>
    </w:p>
    <w:p w14:paraId="0EE53FED" w14:textId="38FE43AF" w:rsidR="001520F6" w:rsidRPr="001520F6" w:rsidRDefault="001520F6" w:rsidP="001520F6">
      <w:pPr>
        <w:spacing w:line="240" w:lineRule="auto"/>
        <w:rPr>
          <w:rFonts w:ascii="Arial" w:hAnsi="Arial" w:cs="Arial"/>
          <w:sz w:val="20"/>
          <w:lang w:val="es-419" w:eastAsia="es-ES"/>
        </w:rPr>
      </w:pPr>
      <w:r>
        <w:rPr>
          <w:rFonts w:ascii="Arial" w:hAnsi="Arial" w:cs="Arial"/>
          <w:sz w:val="20"/>
          <w:lang w:val="es-419" w:eastAsia="es-ES"/>
        </w:rPr>
        <w:t xml:space="preserve">… </w:t>
      </w:r>
      <w:r w:rsidRPr="001520F6">
        <w:rPr>
          <w:rFonts w:ascii="Arial" w:hAnsi="Arial" w:cs="Arial"/>
          <w:sz w:val="20"/>
          <w:lang w:val="es-419" w:eastAsia="es-ES"/>
        </w:rPr>
        <w:t>en relación con el interés para recurrir, cuando la emisión del fallo de condena surgió como consecuencia de un consenso, la Corte ha sostenido:</w:t>
      </w:r>
    </w:p>
    <w:p w14:paraId="0BD22DAF" w14:textId="77777777" w:rsidR="001520F6" w:rsidRPr="001520F6" w:rsidRDefault="001520F6" w:rsidP="001520F6">
      <w:pPr>
        <w:spacing w:line="240" w:lineRule="auto"/>
        <w:rPr>
          <w:rFonts w:ascii="Arial" w:hAnsi="Arial" w:cs="Arial"/>
          <w:sz w:val="20"/>
          <w:lang w:val="es-419" w:eastAsia="es-ES"/>
        </w:rPr>
      </w:pPr>
    </w:p>
    <w:p w14:paraId="192F4A19" w14:textId="49B80D6A" w:rsidR="001520F6" w:rsidRPr="001520F6" w:rsidRDefault="001520F6" w:rsidP="001520F6">
      <w:pPr>
        <w:spacing w:line="240" w:lineRule="auto"/>
        <w:rPr>
          <w:rFonts w:ascii="Arial" w:hAnsi="Arial" w:cs="Arial"/>
          <w:sz w:val="20"/>
          <w:lang w:val="es-419" w:eastAsia="es-ES"/>
        </w:rPr>
      </w:pPr>
      <w:r w:rsidRPr="001520F6">
        <w:rPr>
          <w:rFonts w:ascii="Arial" w:hAnsi="Arial" w:cs="Arial"/>
          <w:sz w:val="20"/>
          <w:lang w:val="es-419" w:eastAsia="es-ES"/>
        </w:rPr>
        <w:t>“</w:t>
      </w:r>
      <w:r>
        <w:rPr>
          <w:rFonts w:ascii="Arial" w:hAnsi="Arial" w:cs="Arial"/>
          <w:sz w:val="20"/>
          <w:lang w:val="es-419" w:eastAsia="es-ES"/>
        </w:rPr>
        <w:t>…</w:t>
      </w:r>
      <w:r w:rsidR="00DB1CD4">
        <w:rPr>
          <w:rFonts w:ascii="Arial" w:hAnsi="Arial" w:cs="Arial"/>
          <w:sz w:val="20"/>
          <w:lang w:val="es-419" w:eastAsia="es-ES"/>
        </w:rPr>
        <w:t xml:space="preserve"> </w:t>
      </w:r>
      <w:bookmarkStart w:id="0" w:name="_GoBack"/>
      <w:bookmarkEnd w:id="0"/>
      <w:r w:rsidRPr="001520F6">
        <w:rPr>
          <w:rFonts w:ascii="Arial" w:hAnsi="Arial" w:cs="Arial"/>
          <w:sz w:val="20"/>
          <w:lang w:val="es-419" w:eastAsia="es-ES"/>
        </w:rPr>
        <w:t>la aceptación de cargos, como una modalidad de terminación anticipada del proceso, obedece a una política criminal cifrada en el objetivo de lograr eficacia y eficiencia en la administración de justicia, con miras a que el imputado o acusado, según el caso, resulte beneficiado con una sustancial rebaja en la pena que habría de imponérsele si el fallo se profiere como culminación del juicio oral, de una parte y, de otra, que el Estado ahorre esfuerzos y recursos en su investigación y juzgamiento.</w:t>
      </w:r>
    </w:p>
    <w:p w14:paraId="463A6B69" w14:textId="77777777" w:rsidR="001520F6" w:rsidRPr="001520F6" w:rsidRDefault="001520F6" w:rsidP="001520F6">
      <w:pPr>
        <w:spacing w:line="240" w:lineRule="auto"/>
        <w:rPr>
          <w:rFonts w:ascii="Arial" w:hAnsi="Arial" w:cs="Arial"/>
          <w:sz w:val="20"/>
          <w:lang w:val="es-419" w:eastAsia="es-ES"/>
        </w:rPr>
      </w:pPr>
    </w:p>
    <w:p w14:paraId="04E1C559" w14:textId="3B41D97C" w:rsidR="00E823A8" w:rsidRDefault="001520F6" w:rsidP="001520F6">
      <w:pPr>
        <w:spacing w:line="240" w:lineRule="auto"/>
        <w:rPr>
          <w:rFonts w:ascii="Arial" w:hAnsi="Arial" w:cs="Arial"/>
          <w:sz w:val="20"/>
          <w:lang w:val="es-419" w:eastAsia="es-ES"/>
        </w:rPr>
      </w:pPr>
      <w:r>
        <w:rPr>
          <w:rFonts w:ascii="Arial" w:hAnsi="Arial" w:cs="Arial"/>
          <w:sz w:val="20"/>
          <w:lang w:val="es-419" w:eastAsia="es-ES"/>
        </w:rPr>
        <w:t>“</w:t>
      </w:r>
      <w:r w:rsidRPr="001520F6">
        <w:rPr>
          <w:rFonts w:ascii="Arial" w:hAnsi="Arial" w:cs="Arial"/>
          <w:sz w:val="20"/>
          <w:lang w:val="es-419" w:eastAsia="es-ES"/>
        </w:rPr>
        <w:t>En tales condiciones, dentro del marco del principio de lealtad que las partes deben acatar, por surgir la aceptación de cargos de un acto unilateral del imputado o acusado o, de un comportamiento pactado o acordado con el fiscal, no hay lugar a controvertir con posterioridad la misma respecto de la existencia de la conducta punible, así como tampoco la responsabilidad del procesado</w:t>
      </w:r>
      <w:r>
        <w:rPr>
          <w:rFonts w:ascii="Arial" w:hAnsi="Arial" w:cs="Arial"/>
          <w:sz w:val="20"/>
          <w:lang w:val="es-419" w:eastAsia="es-ES"/>
        </w:rPr>
        <w:t>”</w:t>
      </w:r>
      <w:r w:rsidRPr="001520F6">
        <w:rPr>
          <w:rFonts w:ascii="Arial" w:hAnsi="Arial" w:cs="Arial"/>
          <w:sz w:val="20"/>
          <w:lang w:val="es-419" w:eastAsia="es-ES"/>
        </w:rPr>
        <w:t>.</w:t>
      </w:r>
    </w:p>
    <w:p w14:paraId="645C8B5F" w14:textId="77777777" w:rsidR="00E823A8" w:rsidRDefault="00E823A8" w:rsidP="00E823A8">
      <w:pPr>
        <w:spacing w:line="240" w:lineRule="auto"/>
        <w:rPr>
          <w:rFonts w:ascii="Arial" w:hAnsi="Arial" w:cs="Arial"/>
          <w:sz w:val="20"/>
          <w:lang w:val="es-419" w:eastAsia="es-ES"/>
        </w:rPr>
      </w:pPr>
    </w:p>
    <w:p w14:paraId="4D5BA383" w14:textId="77777777" w:rsidR="00E823A8" w:rsidRDefault="00E823A8" w:rsidP="00E823A8">
      <w:pPr>
        <w:spacing w:line="240" w:lineRule="auto"/>
        <w:rPr>
          <w:rFonts w:ascii="Arial" w:hAnsi="Arial" w:cs="Arial"/>
          <w:sz w:val="20"/>
          <w:lang w:val="es-419" w:eastAsia="es-ES"/>
        </w:rPr>
      </w:pPr>
    </w:p>
    <w:p w14:paraId="4F9CB6ED" w14:textId="77777777" w:rsidR="00E823A8" w:rsidRPr="00141264" w:rsidRDefault="00E823A8" w:rsidP="00E823A8">
      <w:pPr>
        <w:spacing w:line="240" w:lineRule="auto"/>
        <w:rPr>
          <w:rFonts w:ascii="Arial" w:hAnsi="Arial" w:cs="Arial"/>
          <w:sz w:val="20"/>
          <w:lang w:val="es-419" w:eastAsia="es-ES"/>
        </w:rPr>
      </w:pPr>
    </w:p>
    <w:p w14:paraId="4A226FDF" w14:textId="77777777" w:rsidR="00E823A8" w:rsidRPr="00141264" w:rsidRDefault="00E823A8" w:rsidP="00E823A8">
      <w:pPr>
        <w:spacing w:line="240" w:lineRule="auto"/>
        <w:jc w:val="center"/>
        <w:rPr>
          <w:b/>
          <w:spacing w:val="2"/>
          <w:sz w:val="16"/>
          <w:szCs w:val="12"/>
        </w:rPr>
      </w:pPr>
      <w:r w:rsidRPr="00141264">
        <w:rPr>
          <w:b/>
          <w:spacing w:val="2"/>
          <w:sz w:val="16"/>
          <w:szCs w:val="12"/>
        </w:rPr>
        <w:t>REPÚBLICA DE COLOMBIA</w:t>
      </w:r>
    </w:p>
    <w:p w14:paraId="262AACAF" w14:textId="77777777" w:rsidR="00E823A8" w:rsidRPr="00141264" w:rsidRDefault="00E823A8" w:rsidP="00E823A8">
      <w:pPr>
        <w:spacing w:line="240" w:lineRule="auto"/>
        <w:jc w:val="center"/>
        <w:rPr>
          <w:b/>
          <w:spacing w:val="2"/>
          <w:sz w:val="16"/>
          <w:szCs w:val="12"/>
        </w:rPr>
      </w:pPr>
      <w:r w:rsidRPr="00141264">
        <w:rPr>
          <w:b/>
          <w:spacing w:val="2"/>
          <w:sz w:val="16"/>
          <w:szCs w:val="12"/>
        </w:rPr>
        <w:t>PEREIRA-RISARALDA</w:t>
      </w:r>
    </w:p>
    <w:p w14:paraId="4E2F73EA" w14:textId="3065C870" w:rsidR="00E823A8" w:rsidRPr="00141264" w:rsidRDefault="00E823A8" w:rsidP="00E823A8">
      <w:pPr>
        <w:spacing w:line="240" w:lineRule="auto"/>
        <w:jc w:val="center"/>
        <w:rPr>
          <w:spacing w:val="2"/>
          <w:sz w:val="16"/>
          <w:szCs w:val="12"/>
        </w:rPr>
      </w:pPr>
      <w:r w:rsidRPr="00141264">
        <w:rPr>
          <w:b/>
          <w:iCs/>
          <w:noProof/>
          <w:sz w:val="16"/>
          <w:szCs w:val="12"/>
        </w:rPr>
        <w:drawing>
          <wp:anchor distT="0" distB="0" distL="114300" distR="114300" simplePos="0" relativeHeight="251658240" behindDoc="1" locked="0" layoutInCell="1" allowOverlap="1" wp14:anchorId="6A8492EC" wp14:editId="3BE08BF3">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264">
        <w:rPr>
          <w:b/>
          <w:spacing w:val="2"/>
          <w:sz w:val="16"/>
          <w:szCs w:val="12"/>
        </w:rPr>
        <w:t>RAMA JUDICIAL</w:t>
      </w:r>
    </w:p>
    <w:p w14:paraId="0D7EB6A5" w14:textId="77777777" w:rsidR="00E823A8" w:rsidRPr="00141264" w:rsidRDefault="00E823A8" w:rsidP="00E823A8">
      <w:pPr>
        <w:spacing w:line="240" w:lineRule="auto"/>
        <w:jc w:val="center"/>
        <w:rPr>
          <w:rFonts w:ascii="Algerian" w:hAnsi="Algerian"/>
          <w:b/>
          <w:sz w:val="28"/>
          <w:szCs w:val="28"/>
        </w:rPr>
      </w:pPr>
      <w:r w:rsidRPr="00141264">
        <w:rPr>
          <w:rFonts w:ascii="Algerian" w:hAnsi="Algerian"/>
          <w:b/>
          <w:smallCaps/>
          <w:color w:val="000000"/>
          <w:spacing w:val="2"/>
          <w:sz w:val="28"/>
          <w:szCs w:val="28"/>
        </w:rPr>
        <w:t>TRIBUNAL SUPERIOR DE PEREIRA</w:t>
      </w:r>
    </w:p>
    <w:p w14:paraId="51319B3A" w14:textId="77777777" w:rsidR="00E823A8" w:rsidRPr="00141264" w:rsidRDefault="00E823A8" w:rsidP="00E823A8">
      <w:pPr>
        <w:tabs>
          <w:tab w:val="left" w:pos="1202"/>
        </w:tabs>
        <w:spacing w:after="120" w:line="240" w:lineRule="auto"/>
        <w:jc w:val="center"/>
        <w:rPr>
          <w:rFonts w:ascii="Algerian" w:hAnsi="Algerian"/>
          <w:b/>
          <w:spacing w:val="2"/>
          <w:sz w:val="28"/>
          <w:szCs w:val="28"/>
        </w:rPr>
      </w:pPr>
      <w:r w:rsidRPr="00141264">
        <w:rPr>
          <w:rFonts w:ascii="Algerian" w:hAnsi="Algerian"/>
          <w:b/>
          <w:spacing w:val="2"/>
          <w:sz w:val="28"/>
          <w:szCs w:val="28"/>
        </w:rPr>
        <w:t>SALA de decisión PENAL</w:t>
      </w:r>
    </w:p>
    <w:p w14:paraId="771CDE41" w14:textId="77777777" w:rsidR="00E823A8" w:rsidRPr="00141264" w:rsidRDefault="00E823A8" w:rsidP="00E823A8">
      <w:pPr>
        <w:spacing w:line="240" w:lineRule="auto"/>
        <w:jc w:val="center"/>
      </w:pPr>
      <w:r w:rsidRPr="00141264">
        <w:t>Magistrado Ponente</w:t>
      </w:r>
    </w:p>
    <w:p w14:paraId="298749D1" w14:textId="77777777" w:rsidR="00E823A8" w:rsidRPr="00141264" w:rsidRDefault="00E823A8" w:rsidP="00E823A8">
      <w:pPr>
        <w:spacing w:line="240" w:lineRule="auto"/>
        <w:jc w:val="center"/>
        <w:rPr>
          <w:b/>
          <w:sz w:val="24"/>
          <w:szCs w:val="24"/>
        </w:rPr>
      </w:pPr>
      <w:r w:rsidRPr="00141264">
        <w:rPr>
          <w:b/>
          <w:sz w:val="24"/>
          <w:szCs w:val="24"/>
        </w:rPr>
        <w:t>CARLOS ALBERTO PAZ ZÚÑIGA</w:t>
      </w:r>
    </w:p>
    <w:p w14:paraId="4627A779" w14:textId="77777777" w:rsidR="00E823A8" w:rsidRPr="002E300E" w:rsidRDefault="00E823A8" w:rsidP="00E823A8">
      <w:pPr>
        <w:spacing w:line="276" w:lineRule="auto"/>
        <w:rPr>
          <w:rFonts w:cs="Tahoma"/>
          <w:spacing w:val="-4"/>
          <w:position w:val="-4"/>
          <w:sz w:val="24"/>
          <w:szCs w:val="24"/>
        </w:rPr>
      </w:pPr>
    </w:p>
    <w:p w14:paraId="7A50B0E8" w14:textId="77777777" w:rsidR="00E823A8" w:rsidRPr="002E300E" w:rsidRDefault="00E823A8" w:rsidP="00E823A8">
      <w:pPr>
        <w:spacing w:line="276" w:lineRule="auto"/>
        <w:rPr>
          <w:rFonts w:cs="Tahoma"/>
          <w:spacing w:val="-4"/>
          <w:position w:val="-4"/>
          <w:sz w:val="24"/>
          <w:szCs w:val="24"/>
        </w:rPr>
      </w:pPr>
    </w:p>
    <w:p w14:paraId="1EC9BC25" w14:textId="4905C028" w:rsidR="00F13C87" w:rsidRPr="003A0B3D" w:rsidRDefault="00F13C87" w:rsidP="003A0B3D">
      <w:pPr>
        <w:spacing w:line="276" w:lineRule="auto"/>
        <w:jc w:val="center"/>
        <w:rPr>
          <w:rFonts w:cs="Tahoma"/>
          <w:sz w:val="24"/>
          <w:szCs w:val="24"/>
        </w:rPr>
      </w:pPr>
      <w:r w:rsidRPr="003A0B3D">
        <w:rPr>
          <w:rFonts w:cs="Tahoma"/>
          <w:sz w:val="24"/>
          <w:szCs w:val="24"/>
        </w:rPr>
        <w:t>Pereira,</w:t>
      </w:r>
      <w:r w:rsidR="00EE1120" w:rsidRPr="003A0B3D">
        <w:rPr>
          <w:rFonts w:cs="Tahoma"/>
          <w:sz w:val="24"/>
          <w:szCs w:val="24"/>
        </w:rPr>
        <w:t xml:space="preserve"> veintisiete</w:t>
      </w:r>
      <w:r w:rsidR="00F33179" w:rsidRPr="003A0B3D">
        <w:rPr>
          <w:rFonts w:cs="Tahoma"/>
          <w:sz w:val="24"/>
          <w:szCs w:val="24"/>
        </w:rPr>
        <w:t xml:space="preserve"> </w:t>
      </w:r>
      <w:r w:rsidRPr="003A0B3D">
        <w:rPr>
          <w:rFonts w:cs="Tahoma"/>
          <w:sz w:val="24"/>
          <w:szCs w:val="24"/>
        </w:rPr>
        <w:t>(</w:t>
      </w:r>
      <w:r w:rsidR="00EE1120" w:rsidRPr="003A0B3D">
        <w:rPr>
          <w:rFonts w:cs="Tahoma"/>
          <w:sz w:val="24"/>
          <w:szCs w:val="24"/>
        </w:rPr>
        <w:t>27</w:t>
      </w:r>
      <w:r w:rsidRPr="003A0B3D">
        <w:rPr>
          <w:rFonts w:cs="Tahoma"/>
          <w:sz w:val="24"/>
          <w:szCs w:val="24"/>
        </w:rPr>
        <w:t xml:space="preserve">) de </w:t>
      </w:r>
      <w:r w:rsidR="00F44DBC" w:rsidRPr="003A0B3D">
        <w:rPr>
          <w:rFonts w:cs="Tahoma"/>
          <w:sz w:val="24"/>
          <w:szCs w:val="24"/>
        </w:rPr>
        <w:t xml:space="preserve">marzo </w:t>
      </w:r>
      <w:r w:rsidR="00B825DE" w:rsidRPr="003A0B3D">
        <w:rPr>
          <w:rFonts w:cs="Tahoma"/>
          <w:sz w:val="24"/>
          <w:szCs w:val="24"/>
        </w:rPr>
        <w:t xml:space="preserve">de dos mil </w:t>
      </w:r>
      <w:r w:rsidR="00F44DBC" w:rsidRPr="003A0B3D">
        <w:rPr>
          <w:rFonts w:cs="Tahoma"/>
          <w:sz w:val="24"/>
          <w:szCs w:val="24"/>
        </w:rPr>
        <w:t xml:space="preserve">veintitrés </w:t>
      </w:r>
      <w:r w:rsidRPr="003A0B3D">
        <w:rPr>
          <w:rFonts w:cs="Tahoma"/>
          <w:sz w:val="24"/>
          <w:szCs w:val="24"/>
        </w:rPr>
        <w:t>(20</w:t>
      </w:r>
      <w:r w:rsidR="00B64F4A" w:rsidRPr="003A0B3D">
        <w:rPr>
          <w:rFonts w:cs="Tahoma"/>
          <w:sz w:val="24"/>
          <w:szCs w:val="24"/>
        </w:rPr>
        <w:t>2</w:t>
      </w:r>
      <w:r w:rsidR="00F44DBC" w:rsidRPr="003A0B3D">
        <w:rPr>
          <w:rFonts w:cs="Tahoma"/>
          <w:sz w:val="24"/>
          <w:szCs w:val="24"/>
        </w:rPr>
        <w:t>3</w:t>
      </w:r>
      <w:r w:rsidRPr="003A0B3D">
        <w:rPr>
          <w:rFonts w:cs="Tahoma"/>
          <w:sz w:val="24"/>
          <w:szCs w:val="24"/>
        </w:rPr>
        <w:t>)</w:t>
      </w:r>
    </w:p>
    <w:p w14:paraId="3C43AB23" w14:textId="77777777" w:rsidR="00F13C87" w:rsidRPr="003A0B3D" w:rsidRDefault="00F13C87" w:rsidP="003A0B3D">
      <w:pPr>
        <w:spacing w:line="276" w:lineRule="auto"/>
        <w:jc w:val="center"/>
        <w:rPr>
          <w:rFonts w:cs="Tahoma"/>
          <w:sz w:val="24"/>
          <w:szCs w:val="24"/>
        </w:rPr>
      </w:pPr>
    </w:p>
    <w:p w14:paraId="0B093370" w14:textId="77777777" w:rsidR="00F13C87" w:rsidRPr="003A0B3D" w:rsidRDefault="00F13C87" w:rsidP="003A0B3D">
      <w:pPr>
        <w:spacing w:line="276" w:lineRule="auto"/>
        <w:jc w:val="center"/>
        <w:rPr>
          <w:rFonts w:cs="Tahoma"/>
          <w:sz w:val="24"/>
          <w:szCs w:val="24"/>
        </w:rPr>
      </w:pPr>
    </w:p>
    <w:p w14:paraId="7B06FB5E" w14:textId="39084B7C" w:rsidR="00F13C87" w:rsidRPr="003A0B3D" w:rsidRDefault="00F13C87" w:rsidP="003A0B3D">
      <w:pPr>
        <w:spacing w:line="276" w:lineRule="auto"/>
        <w:jc w:val="center"/>
        <w:rPr>
          <w:rFonts w:cs="Tahoma"/>
          <w:sz w:val="24"/>
          <w:szCs w:val="24"/>
        </w:rPr>
      </w:pPr>
      <w:r w:rsidRPr="003A0B3D">
        <w:rPr>
          <w:rFonts w:cs="Tahoma"/>
          <w:sz w:val="24"/>
          <w:szCs w:val="24"/>
        </w:rPr>
        <w:t xml:space="preserve">ACTA DE APROBACIÓN No </w:t>
      </w:r>
      <w:r w:rsidR="006064B7" w:rsidRPr="003A0B3D">
        <w:rPr>
          <w:rFonts w:cs="Tahoma"/>
          <w:sz w:val="24"/>
          <w:szCs w:val="24"/>
        </w:rPr>
        <w:t>318</w:t>
      </w:r>
    </w:p>
    <w:p w14:paraId="55E64161" w14:textId="77777777" w:rsidR="00F13C87" w:rsidRPr="003A0B3D" w:rsidRDefault="00F13C87" w:rsidP="003A0B3D">
      <w:pPr>
        <w:spacing w:line="276" w:lineRule="auto"/>
        <w:jc w:val="center"/>
        <w:rPr>
          <w:rFonts w:cs="Tahoma"/>
          <w:sz w:val="24"/>
          <w:szCs w:val="24"/>
        </w:rPr>
      </w:pPr>
      <w:r w:rsidRPr="003A0B3D">
        <w:rPr>
          <w:rFonts w:cs="Tahoma"/>
          <w:sz w:val="24"/>
          <w:szCs w:val="24"/>
        </w:rPr>
        <w:t xml:space="preserve">  SEGUNDA INSTANCIA</w:t>
      </w:r>
    </w:p>
    <w:p w14:paraId="7D67065E" w14:textId="77777777" w:rsidR="00F13C87" w:rsidRPr="003A0B3D" w:rsidRDefault="00F13C87" w:rsidP="003A0B3D">
      <w:pPr>
        <w:spacing w:line="276" w:lineRule="auto"/>
        <w:rPr>
          <w:rFonts w:cs="Tahoma"/>
          <w:sz w:val="24"/>
          <w:szCs w:val="24"/>
          <w:lang w:val="es-CO"/>
        </w:rPr>
      </w:pPr>
    </w:p>
    <w:p w14:paraId="746C4612" w14:textId="77777777" w:rsidR="00F13C87" w:rsidRPr="003A0B3D" w:rsidRDefault="00F13C87" w:rsidP="003A0B3D">
      <w:pPr>
        <w:spacing w:line="276" w:lineRule="auto"/>
        <w:rPr>
          <w:rFonts w:cs="Tahoma"/>
          <w:sz w:val="24"/>
          <w:szCs w:val="24"/>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5387"/>
      </w:tblGrid>
      <w:tr w:rsidR="00F13C87" w:rsidRPr="003A0B3D" w14:paraId="6849C9BF" w14:textId="77777777" w:rsidTr="00682F81">
        <w:trPr>
          <w:trHeight w:val="259"/>
        </w:trPr>
        <w:tc>
          <w:tcPr>
            <w:tcW w:w="3469" w:type="dxa"/>
          </w:tcPr>
          <w:p w14:paraId="78C91F8A" w14:textId="77777777" w:rsidR="00F13C87" w:rsidRPr="00745459" w:rsidRDefault="00267BA6" w:rsidP="00745459">
            <w:pPr>
              <w:pStyle w:val="Tablaidentificadora"/>
              <w:rPr>
                <w:rFonts w:cs="Tahoma"/>
                <w:sz w:val="22"/>
                <w:szCs w:val="24"/>
              </w:rPr>
            </w:pPr>
            <w:r w:rsidRPr="00745459">
              <w:rPr>
                <w:rFonts w:cs="Tahoma"/>
                <w:sz w:val="22"/>
                <w:szCs w:val="24"/>
              </w:rPr>
              <w:t>Procesada</w:t>
            </w:r>
            <w:r w:rsidR="00F13C87" w:rsidRPr="00745459">
              <w:rPr>
                <w:rFonts w:cs="Tahoma"/>
                <w:sz w:val="22"/>
                <w:szCs w:val="24"/>
              </w:rPr>
              <w:t xml:space="preserve">: </w:t>
            </w:r>
          </w:p>
        </w:tc>
        <w:tc>
          <w:tcPr>
            <w:tcW w:w="5387" w:type="dxa"/>
          </w:tcPr>
          <w:p w14:paraId="56CBECD7" w14:textId="295B6455" w:rsidR="00F13C87" w:rsidRPr="00745459" w:rsidRDefault="00732414" w:rsidP="00745459">
            <w:pPr>
              <w:pStyle w:val="Tablaidentificadora"/>
              <w:rPr>
                <w:rFonts w:cs="Tahoma"/>
                <w:sz w:val="22"/>
                <w:szCs w:val="24"/>
              </w:rPr>
            </w:pPr>
            <w:r>
              <w:rPr>
                <w:rFonts w:cs="Tahoma"/>
                <w:sz w:val="22"/>
                <w:szCs w:val="24"/>
              </w:rPr>
              <w:t>OAJS</w:t>
            </w:r>
          </w:p>
        </w:tc>
      </w:tr>
      <w:tr w:rsidR="00F13C87" w:rsidRPr="003A0B3D" w14:paraId="6647C60B" w14:textId="77777777" w:rsidTr="00682F81">
        <w:trPr>
          <w:trHeight w:val="275"/>
        </w:trPr>
        <w:tc>
          <w:tcPr>
            <w:tcW w:w="3469" w:type="dxa"/>
          </w:tcPr>
          <w:p w14:paraId="71CD95D3" w14:textId="77777777" w:rsidR="00F13C87" w:rsidRPr="00745459" w:rsidRDefault="00F13C87" w:rsidP="00745459">
            <w:pPr>
              <w:pStyle w:val="Tablaidentificadora"/>
              <w:rPr>
                <w:rFonts w:cs="Tahoma"/>
                <w:sz w:val="22"/>
                <w:szCs w:val="24"/>
              </w:rPr>
            </w:pPr>
            <w:r w:rsidRPr="00745459">
              <w:rPr>
                <w:rFonts w:cs="Tahoma"/>
                <w:sz w:val="22"/>
                <w:szCs w:val="24"/>
              </w:rPr>
              <w:t>Cédula de ciudadanía:</w:t>
            </w:r>
          </w:p>
        </w:tc>
        <w:tc>
          <w:tcPr>
            <w:tcW w:w="5387" w:type="dxa"/>
          </w:tcPr>
          <w:p w14:paraId="76F9C000" w14:textId="185A1050" w:rsidR="00F13C87" w:rsidRPr="00745459" w:rsidRDefault="00F13C87" w:rsidP="00745459">
            <w:pPr>
              <w:pStyle w:val="Tablaidentificadora"/>
              <w:rPr>
                <w:rFonts w:cs="Tahoma"/>
                <w:sz w:val="22"/>
                <w:szCs w:val="24"/>
              </w:rPr>
            </w:pPr>
          </w:p>
        </w:tc>
      </w:tr>
      <w:tr w:rsidR="00F13C87" w:rsidRPr="003A0B3D" w14:paraId="2E1F7653" w14:textId="77777777" w:rsidTr="00682F81">
        <w:trPr>
          <w:trHeight w:val="259"/>
        </w:trPr>
        <w:tc>
          <w:tcPr>
            <w:tcW w:w="3469" w:type="dxa"/>
          </w:tcPr>
          <w:p w14:paraId="6A85928C" w14:textId="77777777" w:rsidR="00F13C87" w:rsidRPr="00745459" w:rsidRDefault="00F13C87" w:rsidP="00745459">
            <w:pPr>
              <w:pStyle w:val="Tablaidentificadora"/>
              <w:rPr>
                <w:rFonts w:cs="Tahoma"/>
                <w:sz w:val="22"/>
                <w:szCs w:val="24"/>
              </w:rPr>
            </w:pPr>
            <w:r w:rsidRPr="00745459">
              <w:rPr>
                <w:rFonts w:cs="Tahoma"/>
                <w:sz w:val="22"/>
                <w:szCs w:val="24"/>
              </w:rPr>
              <w:lastRenderedPageBreak/>
              <w:t>Delito:</w:t>
            </w:r>
          </w:p>
        </w:tc>
        <w:tc>
          <w:tcPr>
            <w:tcW w:w="5387" w:type="dxa"/>
          </w:tcPr>
          <w:p w14:paraId="2153FD0C" w14:textId="77777777" w:rsidR="00F13C87" w:rsidRPr="00745459" w:rsidRDefault="00A7544F" w:rsidP="00745459">
            <w:pPr>
              <w:pStyle w:val="Tablaidentificadora"/>
              <w:rPr>
                <w:rFonts w:cs="Tahoma"/>
                <w:sz w:val="22"/>
                <w:szCs w:val="24"/>
              </w:rPr>
            </w:pPr>
            <w:r w:rsidRPr="00745459">
              <w:rPr>
                <w:rFonts w:cs="Tahoma"/>
                <w:sz w:val="22"/>
                <w:szCs w:val="24"/>
              </w:rPr>
              <w:t xml:space="preserve">Homicidio </w:t>
            </w:r>
            <w:r w:rsidR="00F44DBC" w:rsidRPr="00745459">
              <w:rPr>
                <w:rFonts w:cs="Tahoma"/>
                <w:sz w:val="22"/>
                <w:szCs w:val="24"/>
              </w:rPr>
              <w:t>en grado de tentativa</w:t>
            </w:r>
          </w:p>
        </w:tc>
      </w:tr>
      <w:tr w:rsidR="00F13C87" w:rsidRPr="003A0B3D" w14:paraId="08BBDC48" w14:textId="77777777" w:rsidTr="00682F81">
        <w:trPr>
          <w:trHeight w:val="259"/>
        </w:trPr>
        <w:tc>
          <w:tcPr>
            <w:tcW w:w="3469" w:type="dxa"/>
          </w:tcPr>
          <w:p w14:paraId="080B1424" w14:textId="77777777" w:rsidR="00F13C87" w:rsidRPr="00745459" w:rsidRDefault="00F13C87" w:rsidP="00745459">
            <w:pPr>
              <w:pStyle w:val="Tablaidentificadora"/>
              <w:rPr>
                <w:rFonts w:cs="Tahoma"/>
                <w:sz w:val="22"/>
                <w:szCs w:val="24"/>
              </w:rPr>
            </w:pPr>
            <w:r w:rsidRPr="00745459">
              <w:rPr>
                <w:rFonts w:cs="Tahoma"/>
                <w:sz w:val="22"/>
                <w:szCs w:val="24"/>
              </w:rPr>
              <w:t>Víctima:</w:t>
            </w:r>
          </w:p>
        </w:tc>
        <w:tc>
          <w:tcPr>
            <w:tcW w:w="5387" w:type="dxa"/>
          </w:tcPr>
          <w:p w14:paraId="2C104F38" w14:textId="77777777" w:rsidR="00F13C87" w:rsidRPr="00745459" w:rsidRDefault="00F44DBC" w:rsidP="00745459">
            <w:pPr>
              <w:pStyle w:val="Tablaidentificadora"/>
              <w:rPr>
                <w:rFonts w:cs="Tahoma"/>
                <w:sz w:val="22"/>
                <w:szCs w:val="24"/>
              </w:rPr>
            </w:pPr>
            <w:r w:rsidRPr="00745459">
              <w:rPr>
                <w:rFonts w:cs="Tahoma"/>
                <w:sz w:val="22"/>
                <w:szCs w:val="24"/>
              </w:rPr>
              <w:t>Francia Lizbeth Chaverra</w:t>
            </w:r>
          </w:p>
        </w:tc>
      </w:tr>
      <w:tr w:rsidR="00F13C87" w:rsidRPr="003A0B3D" w14:paraId="3BD740F2" w14:textId="77777777" w:rsidTr="00682F81">
        <w:trPr>
          <w:trHeight w:val="275"/>
        </w:trPr>
        <w:tc>
          <w:tcPr>
            <w:tcW w:w="3469" w:type="dxa"/>
          </w:tcPr>
          <w:p w14:paraId="29FE6DD4" w14:textId="77777777" w:rsidR="00F13C87" w:rsidRPr="00745459" w:rsidRDefault="00F13C87" w:rsidP="00745459">
            <w:pPr>
              <w:pStyle w:val="Tablaidentificadora"/>
              <w:rPr>
                <w:rFonts w:cs="Tahoma"/>
                <w:sz w:val="22"/>
                <w:szCs w:val="24"/>
              </w:rPr>
            </w:pPr>
            <w:r w:rsidRPr="00745459">
              <w:rPr>
                <w:rFonts w:cs="Tahoma"/>
                <w:sz w:val="22"/>
                <w:szCs w:val="24"/>
              </w:rPr>
              <w:t>Procedencia:</w:t>
            </w:r>
          </w:p>
        </w:tc>
        <w:tc>
          <w:tcPr>
            <w:tcW w:w="5387" w:type="dxa"/>
          </w:tcPr>
          <w:p w14:paraId="20C83649" w14:textId="77777777" w:rsidR="00F13C87" w:rsidRPr="00745459" w:rsidRDefault="00F13C87" w:rsidP="00745459">
            <w:pPr>
              <w:pStyle w:val="Tablaidentificadora"/>
              <w:rPr>
                <w:rFonts w:cs="Tahoma"/>
                <w:sz w:val="22"/>
                <w:szCs w:val="24"/>
              </w:rPr>
            </w:pPr>
            <w:r w:rsidRPr="00745459">
              <w:rPr>
                <w:rFonts w:cs="Tahoma"/>
                <w:sz w:val="22"/>
                <w:szCs w:val="24"/>
              </w:rPr>
              <w:t xml:space="preserve">Juzgado </w:t>
            </w:r>
            <w:r w:rsidR="00F44DBC" w:rsidRPr="00745459">
              <w:rPr>
                <w:rFonts w:cs="Tahoma"/>
                <w:sz w:val="22"/>
                <w:szCs w:val="24"/>
              </w:rPr>
              <w:t xml:space="preserve">Primero </w:t>
            </w:r>
            <w:r w:rsidR="000D42A3" w:rsidRPr="00745459">
              <w:rPr>
                <w:rFonts w:cs="Tahoma"/>
                <w:sz w:val="22"/>
                <w:szCs w:val="24"/>
              </w:rPr>
              <w:t xml:space="preserve">Penal del </w:t>
            </w:r>
            <w:r w:rsidRPr="00745459">
              <w:rPr>
                <w:rFonts w:cs="Tahoma"/>
                <w:sz w:val="22"/>
                <w:szCs w:val="24"/>
              </w:rPr>
              <w:t xml:space="preserve">Circuito de </w:t>
            </w:r>
            <w:r w:rsidR="000D42A3" w:rsidRPr="00745459">
              <w:rPr>
                <w:rFonts w:cs="Tahoma"/>
                <w:sz w:val="22"/>
                <w:szCs w:val="24"/>
              </w:rPr>
              <w:t xml:space="preserve">Pereira </w:t>
            </w:r>
            <w:r w:rsidRPr="00745459">
              <w:rPr>
                <w:rFonts w:cs="Tahoma"/>
                <w:sz w:val="22"/>
                <w:szCs w:val="24"/>
              </w:rPr>
              <w:t>(Rda.)</w:t>
            </w:r>
          </w:p>
        </w:tc>
      </w:tr>
      <w:tr w:rsidR="00F13C87" w:rsidRPr="003A0B3D" w14:paraId="57F15ABE" w14:textId="77777777" w:rsidTr="00682F81">
        <w:trPr>
          <w:trHeight w:val="275"/>
        </w:trPr>
        <w:tc>
          <w:tcPr>
            <w:tcW w:w="3469" w:type="dxa"/>
          </w:tcPr>
          <w:p w14:paraId="4BE3671E" w14:textId="77777777" w:rsidR="00F13C87" w:rsidRPr="00745459" w:rsidRDefault="00F13C87" w:rsidP="00745459">
            <w:pPr>
              <w:pStyle w:val="Tablaidentificadora"/>
              <w:rPr>
                <w:rFonts w:cs="Tahoma"/>
                <w:sz w:val="22"/>
                <w:szCs w:val="24"/>
              </w:rPr>
            </w:pPr>
            <w:r w:rsidRPr="00745459">
              <w:rPr>
                <w:rFonts w:cs="Tahoma"/>
                <w:sz w:val="22"/>
                <w:szCs w:val="24"/>
              </w:rPr>
              <w:t>Asunto:</w:t>
            </w:r>
          </w:p>
        </w:tc>
        <w:tc>
          <w:tcPr>
            <w:tcW w:w="5387" w:type="dxa"/>
          </w:tcPr>
          <w:p w14:paraId="6DF7D69E" w14:textId="77777777" w:rsidR="00F13C87" w:rsidRPr="00745459" w:rsidRDefault="00F13C87" w:rsidP="00745459">
            <w:pPr>
              <w:pStyle w:val="Tablaidentificadora"/>
              <w:rPr>
                <w:rFonts w:cs="Tahoma"/>
                <w:sz w:val="22"/>
                <w:szCs w:val="24"/>
              </w:rPr>
            </w:pPr>
            <w:r w:rsidRPr="00745459">
              <w:rPr>
                <w:rFonts w:cs="Tahoma"/>
                <w:sz w:val="22"/>
                <w:szCs w:val="24"/>
              </w:rPr>
              <w:t xml:space="preserve">Decide apelación interpuesta por la defensa contra el fallo </w:t>
            </w:r>
            <w:r w:rsidR="000D42A3" w:rsidRPr="00745459">
              <w:rPr>
                <w:rFonts w:cs="Tahoma"/>
                <w:sz w:val="22"/>
                <w:szCs w:val="24"/>
              </w:rPr>
              <w:t>condenatori</w:t>
            </w:r>
            <w:r w:rsidR="0003774F" w:rsidRPr="00745459">
              <w:rPr>
                <w:rFonts w:cs="Tahoma"/>
                <w:sz w:val="22"/>
                <w:szCs w:val="24"/>
              </w:rPr>
              <w:t>o</w:t>
            </w:r>
            <w:r w:rsidR="007A3336" w:rsidRPr="00745459">
              <w:rPr>
                <w:rFonts w:cs="Tahoma"/>
                <w:sz w:val="22"/>
                <w:szCs w:val="24"/>
              </w:rPr>
              <w:t xml:space="preserve"> de fecha</w:t>
            </w:r>
            <w:r w:rsidR="00A7544F" w:rsidRPr="00745459">
              <w:rPr>
                <w:rFonts w:cs="Tahoma"/>
                <w:sz w:val="22"/>
                <w:szCs w:val="24"/>
              </w:rPr>
              <w:t xml:space="preserve"> </w:t>
            </w:r>
            <w:r w:rsidR="00F44DBC" w:rsidRPr="00745459">
              <w:rPr>
                <w:rFonts w:cs="Tahoma"/>
                <w:sz w:val="22"/>
                <w:szCs w:val="24"/>
              </w:rPr>
              <w:t>octubre 28 de 2021</w:t>
            </w:r>
            <w:r w:rsidRPr="00745459">
              <w:rPr>
                <w:rFonts w:cs="Tahoma"/>
                <w:sz w:val="22"/>
                <w:szCs w:val="24"/>
              </w:rPr>
              <w:t>. SE CONFIRMA</w:t>
            </w:r>
          </w:p>
        </w:tc>
      </w:tr>
    </w:tbl>
    <w:p w14:paraId="613301DD" w14:textId="77777777" w:rsidR="00F13C87" w:rsidRPr="003A0B3D" w:rsidRDefault="00F13C87" w:rsidP="003A0B3D">
      <w:pPr>
        <w:spacing w:line="276" w:lineRule="auto"/>
        <w:rPr>
          <w:rFonts w:cs="Tahoma"/>
          <w:spacing w:val="-4"/>
          <w:sz w:val="24"/>
          <w:szCs w:val="24"/>
        </w:rPr>
      </w:pPr>
    </w:p>
    <w:p w14:paraId="7CDB6920" w14:textId="77777777" w:rsidR="00F13C87" w:rsidRPr="003A0B3D" w:rsidRDefault="00F13C87" w:rsidP="003A0B3D">
      <w:pPr>
        <w:spacing w:line="276" w:lineRule="auto"/>
        <w:rPr>
          <w:rFonts w:cs="Tahoma"/>
          <w:sz w:val="24"/>
          <w:szCs w:val="24"/>
        </w:rPr>
      </w:pPr>
      <w:r w:rsidRPr="003A0B3D">
        <w:rPr>
          <w:rFonts w:cs="Tahoma"/>
          <w:sz w:val="24"/>
          <w:szCs w:val="24"/>
        </w:rPr>
        <w:t>El Tribunal Superior del Distrito Judicial de Pereira pronuncia la sentencia en los siguientes términos:</w:t>
      </w:r>
    </w:p>
    <w:p w14:paraId="085CFBC5" w14:textId="77777777" w:rsidR="00F13C87" w:rsidRPr="003A0B3D" w:rsidRDefault="00F13C87" w:rsidP="003A0B3D">
      <w:pPr>
        <w:pStyle w:val="Textoindependiente2"/>
        <w:spacing w:line="276" w:lineRule="auto"/>
        <w:rPr>
          <w:rFonts w:ascii="Tahoma" w:hAnsi="Tahoma" w:cs="Tahoma"/>
          <w:szCs w:val="24"/>
        </w:rPr>
      </w:pPr>
    </w:p>
    <w:p w14:paraId="723373E1" w14:textId="1E716F8B" w:rsidR="00F13C87" w:rsidRPr="003A0B3D" w:rsidRDefault="00F13C87" w:rsidP="003A0B3D">
      <w:pPr>
        <w:spacing w:line="276" w:lineRule="auto"/>
        <w:rPr>
          <w:rFonts w:ascii="Algerian" w:hAnsi="Algerian"/>
          <w:sz w:val="30"/>
          <w:szCs w:val="20"/>
        </w:rPr>
      </w:pPr>
      <w:r w:rsidRPr="003A0B3D">
        <w:rPr>
          <w:rFonts w:ascii="Algerian" w:hAnsi="Algerian"/>
          <w:sz w:val="30"/>
          <w:szCs w:val="20"/>
        </w:rPr>
        <w:t xml:space="preserve">1.- </w:t>
      </w:r>
      <w:r w:rsidR="003A0B3D" w:rsidRPr="003A0B3D">
        <w:rPr>
          <w:rFonts w:ascii="Algerian" w:hAnsi="Algerian"/>
          <w:sz w:val="30"/>
          <w:szCs w:val="20"/>
        </w:rPr>
        <w:t>HECHOS Y ACTUACIONES PROCESALES</w:t>
      </w:r>
    </w:p>
    <w:p w14:paraId="3AF16B3C" w14:textId="77777777" w:rsidR="00F13C87" w:rsidRPr="003A0B3D" w:rsidRDefault="00F13C87" w:rsidP="003A0B3D">
      <w:pPr>
        <w:spacing w:line="276" w:lineRule="auto"/>
        <w:rPr>
          <w:rFonts w:cs="Tahoma"/>
          <w:sz w:val="24"/>
          <w:szCs w:val="24"/>
        </w:rPr>
      </w:pPr>
    </w:p>
    <w:p w14:paraId="314D98FB" w14:textId="77777777" w:rsidR="00F44DBC" w:rsidRPr="003A0B3D" w:rsidRDefault="008C102D" w:rsidP="003A0B3D">
      <w:pPr>
        <w:spacing w:line="276" w:lineRule="auto"/>
        <w:rPr>
          <w:rStyle w:val="Numeracinttulo"/>
          <w:rFonts w:cs="Tahoma"/>
          <w:b w:val="0"/>
          <w:szCs w:val="24"/>
        </w:rPr>
      </w:pPr>
      <w:r w:rsidRPr="003A0B3D">
        <w:rPr>
          <w:rStyle w:val="Numeracinttulo"/>
          <w:rFonts w:cs="Tahoma"/>
          <w:szCs w:val="24"/>
        </w:rPr>
        <w:t>1.1.-</w:t>
      </w:r>
      <w:r w:rsidR="00F33179" w:rsidRPr="003A0B3D">
        <w:rPr>
          <w:rStyle w:val="Numeracinttulo"/>
          <w:rFonts w:cs="Tahoma"/>
          <w:szCs w:val="24"/>
        </w:rPr>
        <w:t xml:space="preserve"> </w:t>
      </w:r>
      <w:r w:rsidR="00267BA6" w:rsidRPr="003A0B3D">
        <w:rPr>
          <w:rStyle w:val="Numeracinttulo"/>
          <w:rFonts w:cs="Tahoma"/>
          <w:b w:val="0"/>
          <w:szCs w:val="24"/>
        </w:rPr>
        <w:t>L</w:t>
      </w:r>
      <w:r w:rsidR="00F44DBC" w:rsidRPr="003A0B3D">
        <w:rPr>
          <w:rStyle w:val="Numeracinttulo"/>
          <w:rFonts w:cs="Tahoma"/>
          <w:b w:val="0"/>
          <w:szCs w:val="24"/>
        </w:rPr>
        <w:t>os hechos fueron plasmados por el funcionario de primer nivel en el fallo confutado de la siguiente manera:</w:t>
      </w:r>
    </w:p>
    <w:p w14:paraId="08F2A669" w14:textId="77777777" w:rsidR="00F44DBC" w:rsidRPr="003A0B3D" w:rsidRDefault="00F44DBC" w:rsidP="003A0B3D">
      <w:pPr>
        <w:spacing w:line="276" w:lineRule="auto"/>
        <w:rPr>
          <w:rStyle w:val="Numeracinttulo"/>
          <w:rFonts w:cs="Tahoma"/>
          <w:b w:val="0"/>
          <w:szCs w:val="24"/>
        </w:rPr>
      </w:pPr>
    </w:p>
    <w:p w14:paraId="5FE6B9B9" w14:textId="4BDA9733" w:rsidR="00F44DBC" w:rsidRPr="00253C21" w:rsidRDefault="00F44DBC" w:rsidP="00682F81">
      <w:pPr>
        <w:spacing w:line="240" w:lineRule="auto"/>
        <w:ind w:left="426" w:right="420"/>
        <w:rPr>
          <w:rStyle w:val="Numeracinttulo"/>
          <w:rFonts w:ascii="Arial" w:hAnsi="Arial" w:cs="Arial"/>
          <w:b w:val="0"/>
          <w:sz w:val="22"/>
          <w:szCs w:val="24"/>
        </w:rPr>
      </w:pPr>
      <w:r w:rsidRPr="00253C21">
        <w:rPr>
          <w:rStyle w:val="Numeracinttulo"/>
          <w:rFonts w:ascii="Arial" w:hAnsi="Arial" w:cs="Arial"/>
          <w:b w:val="0"/>
          <w:sz w:val="22"/>
          <w:szCs w:val="24"/>
        </w:rPr>
        <w:t xml:space="preserve">“El día 23 de mayo del año 2021, siendo las 14:45 horas aproximadamente, </w:t>
      </w:r>
      <w:r w:rsidR="00732414">
        <w:rPr>
          <w:rStyle w:val="Numeracinttulo"/>
          <w:rFonts w:ascii="Arial" w:hAnsi="Arial" w:cs="Arial"/>
          <w:b w:val="0"/>
          <w:sz w:val="22"/>
          <w:szCs w:val="24"/>
        </w:rPr>
        <w:t>OAJS</w:t>
      </w:r>
      <w:r w:rsidRPr="00253C21">
        <w:rPr>
          <w:rStyle w:val="Numeracinttulo"/>
          <w:rFonts w:ascii="Arial" w:hAnsi="Arial" w:cs="Arial"/>
          <w:b w:val="0"/>
          <w:sz w:val="22"/>
          <w:szCs w:val="24"/>
        </w:rPr>
        <w:t xml:space="preserve"> lesionó en el cuello con arma blanca (machete) a la señora Francia Lisbeth Chaverra, luego de que esta le reclamó porque estaba lanzando escombros en su lote. La víctima fue trasladada al Hospital San Joaquín y posteriormente al Hospital San Jorge de esta ciudad donde ante la oportuna atención médica se evitó su deceso”.</w:t>
      </w:r>
    </w:p>
    <w:p w14:paraId="316FD529" w14:textId="77777777" w:rsidR="006A0A2F" w:rsidRPr="003A0B3D" w:rsidRDefault="006A0A2F" w:rsidP="003A0B3D">
      <w:pPr>
        <w:spacing w:line="276" w:lineRule="auto"/>
        <w:rPr>
          <w:rStyle w:val="Numeracinttulo"/>
          <w:rFonts w:cs="Tahoma"/>
          <w:b w:val="0"/>
          <w:szCs w:val="24"/>
        </w:rPr>
      </w:pPr>
    </w:p>
    <w:p w14:paraId="2A514F67" w14:textId="3E5CA8F3" w:rsidR="000D42A3" w:rsidRPr="003A0B3D" w:rsidRDefault="008C102D" w:rsidP="003A0B3D">
      <w:pPr>
        <w:spacing w:line="276" w:lineRule="auto"/>
        <w:rPr>
          <w:rStyle w:val="Numeracinttulo"/>
          <w:rFonts w:cs="Tahoma"/>
          <w:b w:val="0"/>
          <w:szCs w:val="24"/>
        </w:rPr>
      </w:pPr>
      <w:r w:rsidRPr="003A0B3D">
        <w:rPr>
          <w:rStyle w:val="Numeracinttulo"/>
          <w:rFonts w:cs="Tahoma"/>
          <w:szCs w:val="24"/>
        </w:rPr>
        <w:t>1.2.-</w:t>
      </w:r>
      <w:r w:rsidR="00A7544F" w:rsidRPr="003A0B3D">
        <w:rPr>
          <w:rStyle w:val="Numeracinttulo"/>
          <w:rFonts w:cs="Tahoma"/>
          <w:szCs w:val="24"/>
        </w:rPr>
        <w:t xml:space="preserve"> </w:t>
      </w:r>
      <w:r w:rsidR="006A0A2F" w:rsidRPr="003A0B3D">
        <w:rPr>
          <w:rStyle w:val="Numeracinttulo"/>
          <w:rFonts w:cs="Tahoma"/>
          <w:b w:val="0"/>
          <w:szCs w:val="24"/>
        </w:rPr>
        <w:t>Una vez desarrollad</w:t>
      </w:r>
      <w:r w:rsidR="004C0656" w:rsidRPr="003A0B3D">
        <w:rPr>
          <w:rStyle w:val="Numeracinttulo"/>
          <w:rFonts w:cs="Tahoma"/>
          <w:b w:val="0"/>
          <w:szCs w:val="24"/>
        </w:rPr>
        <w:t>o</w:t>
      </w:r>
      <w:r w:rsidR="006A0A2F" w:rsidRPr="003A0B3D">
        <w:rPr>
          <w:rStyle w:val="Numeracinttulo"/>
          <w:rFonts w:cs="Tahoma"/>
          <w:b w:val="0"/>
          <w:szCs w:val="24"/>
        </w:rPr>
        <w:t xml:space="preserve"> el programa metodológico de investigación, y </w:t>
      </w:r>
      <w:r w:rsidR="00E90B03" w:rsidRPr="003A0B3D">
        <w:rPr>
          <w:rStyle w:val="Numeracinttulo"/>
          <w:rFonts w:cs="Tahoma"/>
          <w:b w:val="0"/>
          <w:szCs w:val="24"/>
        </w:rPr>
        <w:t xml:space="preserve">ejecutada la  orden  de </w:t>
      </w:r>
      <w:r w:rsidR="006A0A2F" w:rsidRPr="003A0B3D">
        <w:rPr>
          <w:rStyle w:val="Numeracinttulo"/>
          <w:rFonts w:cs="Tahoma"/>
          <w:b w:val="0"/>
          <w:szCs w:val="24"/>
        </w:rPr>
        <w:t xml:space="preserve">captura del señor </w:t>
      </w:r>
      <w:r w:rsidR="00732414">
        <w:rPr>
          <w:rStyle w:val="Numeracinttulo"/>
          <w:rFonts w:cs="Tahoma"/>
          <w:szCs w:val="24"/>
        </w:rPr>
        <w:t>OAJS</w:t>
      </w:r>
      <w:r w:rsidR="006A0A2F" w:rsidRPr="003A0B3D">
        <w:rPr>
          <w:rStyle w:val="Numeracinttulo"/>
          <w:rFonts w:cs="Tahoma"/>
          <w:b w:val="0"/>
          <w:szCs w:val="24"/>
        </w:rPr>
        <w:t>, se llevaron a cabo a</w:t>
      </w:r>
      <w:r w:rsidR="00037096" w:rsidRPr="003A0B3D">
        <w:rPr>
          <w:rStyle w:val="Numeracinttulo"/>
          <w:rFonts w:cs="Tahoma"/>
          <w:b w:val="0"/>
          <w:szCs w:val="24"/>
        </w:rPr>
        <w:t xml:space="preserve">nte el Juzgado </w:t>
      </w:r>
      <w:r w:rsidR="00420D38" w:rsidRPr="003A0B3D">
        <w:rPr>
          <w:rStyle w:val="Numeracinttulo"/>
          <w:rFonts w:cs="Tahoma"/>
          <w:b w:val="0"/>
          <w:szCs w:val="24"/>
        </w:rPr>
        <w:t>Único Promiscuo Municipal de Guática (Rda.), en turno de</w:t>
      </w:r>
      <w:r w:rsidR="000208BC" w:rsidRPr="003A0B3D">
        <w:rPr>
          <w:rStyle w:val="Numeracinttulo"/>
          <w:rFonts w:cs="Tahoma"/>
          <w:b w:val="0"/>
          <w:szCs w:val="24"/>
        </w:rPr>
        <w:t xml:space="preserve"> fin de semana</w:t>
      </w:r>
      <w:r w:rsidR="00420D38" w:rsidRPr="003A0B3D">
        <w:rPr>
          <w:rStyle w:val="Numeracinttulo"/>
          <w:rFonts w:cs="Tahoma"/>
          <w:b w:val="0"/>
          <w:szCs w:val="24"/>
        </w:rPr>
        <w:t xml:space="preserve">, </w:t>
      </w:r>
      <w:r w:rsidR="00037096" w:rsidRPr="003A0B3D">
        <w:rPr>
          <w:rStyle w:val="Numeracinttulo"/>
          <w:rFonts w:cs="Tahoma"/>
          <w:b w:val="0"/>
          <w:szCs w:val="24"/>
        </w:rPr>
        <w:t>las audiencias preliminares</w:t>
      </w:r>
      <w:r w:rsidR="004C0656" w:rsidRPr="003A0B3D">
        <w:rPr>
          <w:rStyle w:val="Numeracinttulo"/>
          <w:rFonts w:cs="Tahoma"/>
          <w:b w:val="0"/>
          <w:szCs w:val="24"/>
        </w:rPr>
        <w:t xml:space="preserve"> </w:t>
      </w:r>
      <w:r w:rsidR="00037096" w:rsidRPr="003A0B3D">
        <w:rPr>
          <w:rStyle w:val="Numeracinttulo"/>
          <w:rFonts w:cs="Tahoma"/>
          <w:b w:val="0"/>
          <w:szCs w:val="24"/>
        </w:rPr>
        <w:t>(</w:t>
      </w:r>
      <w:r w:rsidR="00420D38" w:rsidRPr="003A0B3D">
        <w:rPr>
          <w:rStyle w:val="Numeracinttulo"/>
          <w:rFonts w:cs="Tahoma"/>
          <w:b w:val="0"/>
          <w:szCs w:val="24"/>
        </w:rPr>
        <w:t>junio 27 de 2021)</w:t>
      </w:r>
      <w:r w:rsidR="00037096" w:rsidRPr="003A0B3D">
        <w:rPr>
          <w:rStyle w:val="Numeracinttulo"/>
          <w:rFonts w:cs="Tahoma"/>
          <w:b w:val="0"/>
          <w:szCs w:val="24"/>
        </w:rPr>
        <w:t xml:space="preserve">,  por medio de las cuales: (i) se declaró la legalidad de la captura; (ii) </w:t>
      </w:r>
      <w:r w:rsidR="000D42A3" w:rsidRPr="003A0B3D">
        <w:rPr>
          <w:rStyle w:val="Numeracinttulo"/>
          <w:rFonts w:cs="Tahoma"/>
          <w:b w:val="0"/>
          <w:szCs w:val="24"/>
        </w:rPr>
        <w:t xml:space="preserve">se </w:t>
      </w:r>
      <w:r w:rsidR="00037096" w:rsidRPr="003A0B3D">
        <w:rPr>
          <w:rStyle w:val="Numeracinttulo"/>
          <w:rFonts w:cs="Tahoma"/>
          <w:b w:val="0"/>
          <w:szCs w:val="24"/>
        </w:rPr>
        <w:t xml:space="preserve">le </w:t>
      </w:r>
      <w:r w:rsidR="007B35C8" w:rsidRPr="003A0B3D">
        <w:rPr>
          <w:rStyle w:val="Numeracinttulo"/>
          <w:rFonts w:cs="Tahoma"/>
          <w:b w:val="0"/>
          <w:szCs w:val="24"/>
        </w:rPr>
        <w:t xml:space="preserve">formuló imputación </w:t>
      </w:r>
      <w:r w:rsidR="0085017F" w:rsidRPr="003A0B3D">
        <w:rPr>
          <w:rStyle w:val="Numeracinttulo"/>
          <w:rFonts w:cs="Tahoma"/>
          <w:b w:val="0"/>
          <w:szCs w:val="24"/>
        </w:rPr>
        <w:t xml:space="preserve">a </w:t>
      </w:r>
      <w:r w:rsidR="0085017F" w:rsidRPr="003A0B3D">
        <w:rPr>
          <w:rStyle w:val="Numeracinttulo"/>
          <w:rFonts w:cs="Tahoma"/>
          <w:szCs w:val="24"/>
        </w:rPr>
        <w:t>JS</w:t>
      </w:r>
      <w:r w:rsidR="0085017F" w:rsidRPr="003A0B3D">
        <w:rPr>
          <w:rStyle w:val="Numeracinttulo"/>
          <w:rFonts w:cs="Tahoma"/>
          <w:b w:val="0"/>
          <w:szCs w:val="24"/>
        </w:rPr>
        <w:t xml:space="preserve"> </w:t>
      </w:r>
      <w:r w:rsidR="00037096" w:rsidRPr="003A0B3D">
        <w:rPr>
          <w:rStyle w:val="Numeracinttulo"/>
          <w:rFonts w:cs="Tahoma"/>
          <w:b w:val="0"/>
          <w:szCs w:val="24"/>
        </w:rPr>
        <w:t>como probable autor a título de dolo del delito de homicidio en</w:t>
      </w:r>
      <w:r w:rsidR="00420D38" w:rsidRPr="003A0B3D">
        <w:rPr>
          <w:rStyle w:val="Numeracinttulo"/>
          <w:rFonts w:cs="Tahoma"/>
          <w:b w:val="0"/>
          <w:szCs w:val="24"/>
        </w:rPr>
        <w:t xml:space="preserve"> grado de tentativa </w:t>
      </w:r>
      <w:r w:rsidR="00E90B03" w:rsidRPr="003A0B3D">
        <w:rPr>
          <w:rStyle w:val="Numeracinttulo"/>
          <w:rFonts w:cs="Tahoma"/>
          <w:b w:val="0"/>
          <w:szCs w:val="24"/>
        </w:rPr>
        <w:t>-art</w:t>
      </w:r>
      <w:r w:rsidR="00420D38" w:rsidRPr="003A0B3D">
        <w:rPr>
          <w:rStyle w:val="Numeracinttulo"/>
          <w:rFonts w:cs="Tahoma"/>
          <w:b w:val="0"/>
          <w:szCs w:val="24"/>
        </w:rPr>
        <w:t>s</w:t>
      </w:r>
      <w:r w:rsidR="00E90B03" w:rsidRPr="003A0B3D">
        <w:rPr>
          <w:rStyle w:val="Numeracinttulo"/>
          <w:rFonts w:cs="Tahoma"/>
          <w:b w:val="0"/>
          <w:szCs w:val="24"/>
        </w:rPr>
        <w:t xml:space="preserve">. </w:t>
      </w:r>
      <w:r w:rsidR="00420D38" w:rsidRPr="003A0B3D">
        <w:rPr>
          <w:rStyle w:val="Numeracinttulo"/>
          <w:rFonts w:cs="Tahoma"/>
          <w:b w:val="0"/>
          <w:szCs w:val="24"/>
        </w:rPr>
        <w:t xml:space="preserve">27 y </w:t>
      </w:r>
      <w:r w:rsidR="00E90B03" w:rsidRPr="003A0B3D">
        <w:rPr>
          <w:rStyle w:val="Numeracinttulo"/>
          <w:rFonts w:cs="Tahoma"/>
          <w:b w:val="0"/>
          <w:szCs w:val="24"/>
        </w:rPr>
        <w:t>103 C.P.-</w:t>
      </w:r>
      <w:r w:rsidR="00037096" w:rsidRPr="003A0B3D">
        <w:rPr>
          <w:rStyle w:val="Numeracinttulo"/>
          <w:rFonts w:cs="Tahoma"/>
          <w:b w:val="0"/>
          <w:szCs w:val="24"/>
        </w:rPr>
        <w:t xml:space="preserve">, </w:t>
      </w:r>
      <w:r w:rsidR="00420D38" w:rsidRPr="003A0B3D">
        <w:rPr>
          <w:rStyle w:val="Numeracinttulo"/>
          <w:rFonts w:cs="Tahoma"/>
          <w:b w:val="0"/>
          <w:szCs w:val="24"/>
        </w:rPr>
        <w:t xml:space="preserve"> cargos que ACEPTÓ de manera libre, voluntaria y consciente por la </w:t>
      </w:r>
      <w:r w:rsidR="00420D38" w:rsidRPr="003A0B3D">
        <w:rPr>
          <w:rStyle w:val="Numeracinttulo"/>
          <w:rFonts w:cs="Tahoma"/>
          <w:b w:val="0"/>
          <w:i/>
          <w:iCs/>
          <w:szCs w:val="24"/>
        </w:rPr>
        <w:t>vía del preacuerdo</w:t>
      </w:r>
      <w:r w:rsidR="00420D38" w:rsidRPr="003A0B3D">
        <w:rPr>
          <w:rStyle w:val="Numeracinttulo"/>
          <w:rFonts w:cs="Tahoma"/>
          <w:b w:val="0"/>
          <w:szCs w:val="24"/>
        </w:rPr>
        <w:t>, consiste</w:t>
      </w:r>
      <w:r w:rsidR="0085017F" w:rsidRPr="003A0B3D">
        <w:rPr>
          <w:rStyle w:val="Numeracinttulo"/>
          <w:rFonts w:cs="Tahoma"/>
          <w:b w:val="0"/>
          <w:szCs w:val="24"/>
        </w:rPr>
        <w:t xml:space="preserve">nte </w:t>
      </w:r>
      <w:r w:rsidR="00420D38" w:rsidRPr="003A0B3D">
        <w:rPr>
          <w:rStyle w:val="Numeracinttulo"/>
          <w:rFonts w:cs="Tahoma"/>
          <w:b w:val="0"/>
          <w:szCs w:val="24"/>
        </w:rPr>
        <w:t>en que se le otorgará una rebaja del 50% de la pena a imponer, la cual se fi</w:t>
      </w:r>
      <w:r w:rsidR="001610A3" w:rsidRPr="003A0B3D">
        <w:rPr>
          <w:rStyle w:val="Numeracinttulo"/>
          <w:rFonts w:cs="Tahoma"/>
          <w:b w:val="0"/>
          <w:szCs w:val="24"/>
        </w:rPr>
        <w:t>jó</w:t>
      </w:r>
      <w:r w:rsidR="00420D38" w:rsidRPr="003A0B3D">
        <w:rPr>
          <w:rStyle w:val="Numeracinttulo"/>
          <w:rFonts w:cs="Tahoma"/>
          <w:b w:val="0"/>
          <w:szCs w:val="24"/>
        </w:rPr>
        <w:t xml:space="preserve"> en 52 meses de prisión</w:t>
      </w:r>
      <w:r w:rsidR="000D42A3" w:rsidRPr="003A0B3D">
        <w:rPr>
          <w:rStyle w:val="Numeracinttulo"/>
          <w:rFonts w:cs="Tahoma"/>
          <w:b w:val="0"/>
          <w:szCs w:val="24"/>
        </w:rPr>
        <w:t xml:space="preserve">; y (iii) </w:t>
      </w:r>
      <w:r w:rsidR="00F554E0" w:rsidRPr="003A0B3D">
        <w:rPr>
          <w:rStyle w:val="Numeracinttulo"/>
          <w:rFonts w:cs="Tahoma"/>
          <w:b w:val="0"/>
          <w:szCs w:val="24"/>
        </w:rPr>
        <w:t xml:space="preserve"> se </w:t>
      </w:r>
      <w:r w:rsidR="00037096" w:rsidRPr="003A0B3D">
        <w:rPr>
          <w:rStyle w:val="Numeracinttulo"/>
          <w:rFonts w:cs="Tahoma"/>
          <w:b w:val="0"/>
          <w:szCs w:val="24"/>
        </w:rPr>
        <w:t xml:space="preserve">le </w:t>
      </w:r>
      <w:r w:rsidR="00F554E0" w:rsidRPr="003A0B3D">
        <w:rPr>
          <w:rStyle w:val="Numeracinttulo"/>
          <w:rFonts w:cs="Tahoma"/>
          <w:b w:val="0"/>
          <w:szCs w:val="24"/>
        </w:rPr>
        <w:t xml:space="preserve">impuso </w:t>
      </w:r>
      <w:r w:rsidR="00037096" w:rsidRPr="003A0B3D">
        <w:rPr>
          <w:rStyle w:val="Numeracinttulo"/>
          <w:rFonts w:cs="Tahoma"/>
          <w:b w:val="0"/>
          <w:szCs w:val="24"/>
        </w:rPr>
        <w:t xml:space="preserve">medida de aseguramiento de detención preventiva </w:t>
      </w:r>
      <w:r w:rsidR="00420D38" w:rsidRPr="003A0B3D">
        <w:rPr>
          <w:rStyle w:val="Numeracinttulo"/>
          <w:rFonts w:cs="Tahoma"/>
          <w:b w:val="0"/>
          <w:szCs w:val="24"/>
        </w:rPr>
        <w:t>en establecimiento carcelario.</w:t>
      </w:r>
    </w:p>
    <w:p w14:paraId="0C5FDD2A" w14:textId="77777777" w:rsidR="00BB1377" w:rsidRPr="003A0B3D" w:rsidRDefault="00BB1377" w:rsidP="003A0B3D">
      <w:pPr>
        <w:pStyle w:val="Prrafodelista"/>
        <w:spacing w:line="276" w:lineRule="auto"/>
        <w:rPr>
          <w:rFonts w:cs="Tahoma"/>
          <w:sz w:val="24"/>
          <w:szCs w:val="24"/>
        </w:rPr>
      </w:pPr>
    </w:p>
    <w:p w14:paraId="54B45751" w14:textId="35F5AC50" w:rsidR="000D42A3" w:rsidRPr="003A0B3D" w:rsidRDefault="000D42A3" w:rsidP="003A0B3D">
      <w:pPr>
        <w:spacing w:line="276" w:lineRule="auto"/>
        <w:rPr>
          <w:rStyle w:val="Numeracinttulo"/>
          <w:rFonts w:cs="Tahoma"/>
          <w:b w:val="0"/>
          <w:szCs w:val="24"/>
        </w:rPr>
      </w:pPr>
      <w:r w:rsidRPr="003A0B3D">
        <w:rPr>
          <w:rStyle w:val="Numeracinttulo"/>
          <w:rFonts w:cs="Tahoma"/>
          <w:szCs w:val="24"/>
        </w:rPr>
        <w:t>1.3.-</w:t>
      </w:r>
      <w:r w:rsidR="00F554E0" w:rsidRPr="003A0B3D">
        <w:rPr>
          <w:rStyle w:val="Numeracinttulo"/>
          <w:rFonts w:cs="Tahoma"/>
          <w:b w:val="0"/>
          <w:szCs w:val="24"/>
        </w:rPr>
        <w:t xml:space="preserve"> </w:t>
      </w:r>
      <w:r w:rsidR="009319F8" w:rsidRPr="003A0B3D">
        <w:rPr>
          <w:rStyle w:val="Numeracinttulo"/>
          <w:rFonts w:cs="Tahoma"/>
          <w:b w:val="0"/>
          <w:szCs w:val="24"/>
        </w:rPr>
        <w:t>L</w:t>
      </w:r>
      <w:r w:rsidR="00420D38" w:rsidRPr="003A0B3D">
        <w:rPr>
          <w:rStyle w:val="Numeracinttulo"/>
          <w:rFonts w:cs="Tahoma"/>
          <w:b w:val="0"/>
          <w:szCs w:val="24"/>
        </w:rPr>
        <w:t xml:space="preserve">a Fiscalía presentó escrito de acusación </w:t>
      </w:r>
      <w:r w:rsidR="007B35C8" w:rsidRPr="003A0B3D">
        <w:rPr>
          <w:rStyle w:val="Numeracinttulo"/>
          <w:rFonts w:cs="Tahoma"/>
          <w:b w:val="0"/>
          <w:szCs w:val="24"/>
        </w:rPr>
        <w:t>(</w:t>
      </w:r>
      <w:r w:rsidR="00420D38" w:rsidRPr="003A0B3D">
        <w:rPr>
          <w:rStyle w:val="Numeracinttulo"/>
          <w:rFonts w:cs="Tahoma"/>
          <w:b w:val="0"/>
          <w:szCs w:val="24"/>
        </w:rPr>
        <w:t>julio 27 de 2021)</w:t>
      </w:r>
      <w:r w:rsidR="00BB1377" w:rsidRPr="003A0B3D">
        <w:rPr>
          <w:rStyle w:val="Numeracinttulo"/>
          <w:rFonts w:cs="Tahoma"/>
          <w:b w:val="0"/>
          <w:szCs w:val="24"/>
        </w:rPr>
        <w:t xml:space="preserve"> </w:t>
      </w:r>
      <w:r w:rsidR="007B35C8" w:rsidRPr="003A0B3D">
        <w:rPr>
          <w:rStyle w:val="Numeracinttulo"/>
          <w:rFonts w:cs="Tahoma"/>
          <w:b w:val="0"/>
          <w:szCs w:val="24"/>
        </w:rPr>
        <w:t xml:space="preserve">cuyo conocimiento le fue asignado al Juzgado </w:t>
      </w:r>
      <w:r w:rsidR="00420D38" w:rsidRPr="003A0B3D">
        <w:rPr>
          <w:rStyle w:val="Numeracinttulo"/>
          <w:rFonts w:cs="Tahoma"/>
          <w:b w:val="0"/>
          <w:szCs w:val="24"/>
        </w:rPr>
        <w:t xml:space="preserve">Primero </w:t>
      </w:r>
      <w:r w:rsidR="007B35C8" w:rsidRPr="003A0B3D">
        <w:rPr>
          <w:rStyle w:val="Numeracinttulo"/>
          <w:rFonts w:cs="Tahoma"/>
          <w:b w:val="0"/>
          <w:szCs w:val="24"/>
        </w:rPr>
        <w:t>Penal del Circuito de esta capital, autoridad que</w:t>
      </w:r>
      <w:r w:rsidR="00420D38" w:rsidRPr="003A0B3D">
        <w:rPr>
          <w:rStyle w:val="Numeracinttulo"/>
          <w:rFonts w:cs="Tahoma"/>
          <w:b w:val="0"/>
          <w:szCs w:val="24"/>
        </w:rPr>
        <w:t>, no obstante haberse aceptado cargos en la audiencia preliminar,</w:t>
      </w:r>
      <w:r w:rsidR="007B35C8" w:rsidRPr="003A0B3D">
        <w:rPr>
          <w:rStyle w:val="Numeracinttulo"/>
          <w:rFonts w:cs="Tahoma"/>
          <w:b w:val="0"/>
          <w:szCs w:val="24"/>
        </w:rPr>
        <w:t xml:space="preserve"> convocó para la</w:t>
      </w:r>
      <w:r w:rsidR="009A2E0E" w:rsidRPr="003A0B3D">
        <w:rPr>
          <w:rStyle w:val="Numeracinttulo"/>
          <w:rFonts w:cs="Tahoma"/>
          <w:b w:val="0"/>
          <w:szCs w:val="24"/>
        </w:rPr>
        <w:t xml:space="preserve"> correspondiente</w:t>
      </w:r>
      <w:r w:rsidR="007B35C8" w:rsidRPr="003A0B3D">
        <w:rPr>
          <w:rStyle w:val="Numeracinttulo"/>
          <w:rFonts w:cs="Tahoma"/>
          <w:b w:val="0"/>
          <w:szCs w:val="24"/>
        </w:rPr>
        <w:t xml:space="preserve"> audiencia de formulación de acusación (</w:t>
      </w:r>
      <w:r w:rsidR="00420D38" w:rsidRPr="003A0B3D">
        <w:rPr>
          <w:rStyle w:val="Numeracinttulo"/>
          <w:rFonts w:cs="Tahoma"/>
          <w:b w:val="0"/>
          <w:szCs w:val="24"/>
        </w:rPr>
        <w:t>septiembre 23 de 2021</w:t>
      </w:r>
      <w:r w:rsidR="00E90B03" w:rsidRPr="003A0B3D">
        <w:rPr>
          <w:rStyle w:val="Numeracinttulo"/>
          <w:rFonts w:cs="Tahoma"/>
          <w:b w:val="0"/>
          <w:szCs w:val="24"/>
        </w:rPr>
        <w:t>)</w:t>
      </w:r>
      <w:r w:rsidR="00FD525A" w:rsidRPr="003A0B3D">
        <w:rPr>
          <w:rStyle w:val="Numeracinttulo"/>
          <w:rFonts w:cs="Tahoma"/>
          <w:b w:val="0"/>
          <w:szCs w:val="24"/>
        </w:rPr>
        <w:t>,</w:t>
      </w:r>
      <w:r w:rsidR="00420D38" w:rsidRPr="003A0B3D">
        <w:rPr>
          <w:rStyle w:val="Numeracinttulo"/>
          <w:rFonts w:cs="Tahoma"/>
          <w:b w:val="0"/>
          <w:szCs w:val="24"/>
        </w:rPr>
        <w:t xml:space="preserve"> donde pese a percatarse de tal situación, ante la asistencia de </w:t>
      </w:r>
      <w:r w:rsidR="005923B1" w:rsidRPr="003A0B3D">
        <w:rPr>
          <w:rStyle w:val="Numeracinttulo"/>
          <w:rFonts w:cs="Tahoma"/>
          <w:b w:val="0"/>
          <w:szCs w:val="24"/>
        </w:rPr>
        <w:t xml:space="preserve">otra </w:t>
      </w:r>
      <w:r w:rsidR="00420D38" w:rsidRPr="003A0B3D">
        <w:rPr>
          <w:rStyle w:val="Numeracinttulo"/>
          <w:rFonts w:cs="Tahoma"/>
          <w:b w:val="0"/>
          <w:szCs w:val="24"/>
        </w:rPr>
        <w:t xml:space="preserve">defensora, </w:t>
      </w:r>
      <w:r w:rsidR="005923B1" w:rsidRPr="003A0B3D">
        <w:rPr>
          <w:rStyle w:val="Numeracinttulo"/>
          <w:rFonts w:cs="Tahoma"/>
          <w:b w:val="0"/>
          <w:szCs w:val="24"/>
        </w:rPr>
        <w:t xml:space="preserve">se </w:t>
      </w:r>
      <w:r w:rsidR="00420D38" w:rsidRPr="003A0B3D">
        <w:rPr>
          <w:rStyle w:val="Numeracinttulo"/>
          <w:rFonts w:cs="Tahoma"/>
          <w:b w:val="0"/>
          <w:szCs w:val="24"/>
        </w:rPr>
        <w:t xml:space="preserve">procedió </w:t>
      </w:r>
      <w:r w:rsidR="005923B1" w:rsidRPr="003A0B3D">
        <w:rPr>
          <w:rStyle w:val="Numeracinttulo"/>
          <w:rFonts w:cs="Tahoma"/>
          <w:b w:val="0"/>
          <w:szCs w:val="24"/>
        </w:rPr>
        <w:t xml:space="preserve">por parte de </w:t>
      </w:r>
      <w:r w:rsidR="00420D38" w:rsidRPr="003A0B3D">
        <w:rPr>
          <w:rStyle w:val="Numeracinttulo"/>
          <w:rFonts w:cs="Tahoma"/>
          <w:b w:val="0"/>
          <w:szCs w:val="24"/>
        </w:rPr>
        <w:t>la Fiscalía hiciera un relato de lo acaecido</w:t>
      </w:r>
      <w:r w:rsidR="00BB1377" w:rsidRPr="003A0B3D">
        <w:rPr>
          <w:rStyle w:val="Numeracinttulo"/>
          <w:rFonts w:cs="Tahoma"/>
          <w:b w:val="0"/>
          <w:szCs w:val="24"/>
        </w:rPr>
        <w:t xml:space="preserve"> </w:t>
      </w:r>
      <w:r w:rsidR="00420D38" w:rsidRPr="003A0B3D">
        <w:rPr>
          <w:rStyle w:val="Numeracinttulo"/>
          <w:rFonts w:cs="Tahoma"/>
          <w:b w:val="0"/>
          <w:szCs w:val="24"/>
        </w:rPr>
        <w:t xml:space="preserve">y los cargos endilgados y aceptados, </w:t>
      </w:r>
      <w:r w:rsidR="005923B1" w:rsidRPr="003A0B3D">
        <w:rPr>
          <w:rStyle w:val="Numeracinttulo"/>
          <w:rFonts w:cs="Tahoma"/>
          <w:b w:val="0"/>
          <w:szCs w:val="24"/>
        </w:rPr>
        <w:t xml:space="preserve">luego </w:t>
      </w:r>
      <w:r w:rsidR="009319F8" w:rsidRPr="003A0B3D">
        <w:rPr>
          <w:rStyle w:val="Numeracinttulo"/>
          <w:rFonts w:cs="Tahoma"/>
          <w:b w:val="0"/>
          <w:szCs w:val="24"/>
        </w:rPr>
        <w:t xml:space="preserve">de </w:t>
      </w:r>
      <w:r w:rsidR="005923B1" w:rsidRPr="003A0B3D">
        <w:rPr>
          <w:rStyle w:val="Numeracinttulo"/>
          <w:rFonts w:cs="Tahoma"/>
          <w:b w:val="0"/>
          <w:szCs w:val="24"/>
        </w:rPr>
        <w:t xml:space="preserve">lo cual se </w:t>
      </w:r>
      <w:r w:rsidR="00420D38" w:rsidRPr="003A0B3D">
        <w:rPr>
          <w:rStyle w:val="Numeracinttulo"/>
          <w:rFonts w:cs="Tahoma"/>
          <w:b w:val="0"/>
          <w:szCs w:val="24"/>
        </w:rPr>
        <w:t>suspen</w:t>
      </w:r>
      <w:r w:rsidR="005923B1" w:rsidRPr="003A0B3D">
        <w:rPr>
          <w:rStyle w:val="Numeracinttulo"/>
          <w:rFonts w:cs="Tahoma"/>
          <w:b w:val="0"/>
          <w:szCs w:val="24"/>
        </w:rPr>
        <w:t xml:space="preserve">dió </w:t>
      </w:r>
      <w:r w:rsidR="00420D38" w:rsidRPr="003A0B3D">
        <w:rPr>
          <w:rStyle w:val="Numeracinttulo"/>
          <w:rFonts w:cs="Tahoma"/>
          <w:b w:val="0"/>
          <w:szCs w:val="24"/>
        </w:rPr>
        <w:t>la audiencia,</w:t>
      </w:r>
      <w:r w:rsidR="005923B1" w:rsidRPr="003A0B3D">
        <w:rPr>
          <w:rStyle w:val="Numeracinttulo"/>
          <w:rFonts w:cs="Tahoma"/>
          <w:b w:val="0"/>
          <w:szCs w:val="24"/>
        </w:rPr>
        <w:t xml:space="preserve"> a petición de la defensa,</w:t>
      </w:r>
      <w:r w:rsidR="00420D38" w:rsidRPr="003A0B3D">
        <w:rPr>
          <w:rStyle w:val="Numeracinttulo"/>
          <w:rFonts w:cs="Tahoma"/>
          <w:b w:val="0"/>
          <w:szCs w:val="24"/>
        </w:rPr>
        <w:t xml:space="preserve"> sin </w:t>
      </w:r>
      <w:r w:rsidR="005923B1" w:rsidRPr="003A0B3D">
        <w:rPr>
          <w:rStyle w:val="Numeracinttulo"/>
          <w:rFonts w:cs="Tahoma"/>
          <w:b w:val="0"/>
          <w:szCs w:val="24"/>
        </w:rPr>
        <w:t xml:space="preserve">que por parte de la </w:t>
      </w:r>
      <w:r w:rsidR="00420D38" w:rsidRPr="003A0B3D">
        <w:rPr>
          <w:rStyle w:val="Numeracinttulo"/>
          <w:rFonts w:cs="Tahoma"/>
          <w:b w:val="0"/>
          <w:szCs w:val="24"/>
        </w:rPr>
        <w:t xml:space="preserve">apoderada de víctimas ni el Ministerio Público </w:t>
      </w:r>
      <w:r w:rsidR="005923B1" w:rsidRPr="003A0B3D">
        <w:rPr>
          <w:rStyle w:val="Numeracinttulo"/>
          <w:rFonts w:cs="Tahoma"/>
          <w:b w:val="0"/>
          <w:szCs w:val="24"/>
        </w:rPr>
        <w:t xml:space="preserve">se presentara oposición </w:t>
      </w:r>
      <w:r w:rsidR="00420D38" w:rsidRPr="003A0B3D">
        <w:rPr>
          <w:rStyle w:val="Numeracinttulo"/>
          <w:rFonts w:cs="Tahoma"/>
          <w:b w:val="0"/>
          <w:szCs w:val="24"/>
        </w:rPr>
        <w:t>respecto del preacuerdo celebrado. Reanudada la actuación (octubre 25 de 2021), el a quo</w:t>
      </w:r>
      <w:r w:rsidR="000208BC" w:rsidRPr="003A0B3D">
        <w:rPr>
          <w:rStyle w:val="Numeracinttulo"/>
          <w:rFonts w:cs="Tahoma"/>
          <w:b w:val="0"/>
          <w:szCs w:val="24"/>
        </w:rPr>
        <w:t xml:space="preserve"> aprobó el </w:t>
      </w:r>
      <w:r w:rsidR="009319F8" w:rsidRPr="003A0B3D">
        <w:rPr>
          <w:rStyle w:val="Numeracinttulo"/>
          <w:rFonts w:cs="Tahoma"/>
          <w:b w:val="0"/>
          <w:szCs w:val="24"/>
        </w:rPr>
        <w:t>referido preacuerdo</w:t>
      </w:r>
      <w:r w:rsidR="000208BC" w:rsidRPr="003A0B3D">
        <w:rPr>
          <w:rStyle w:val="Numeracinttulo"/>
          <w:rFonts w:cs="Tahoma"/>
          <w:b w:val="0"/>
          <w:szCs w:val="24"/>
        </w:rPr>
        <w:t xml:space="preserve">, pero se suspendió </w:t>
      </w:r>
      <w:r w:rsidR="005923B1" w:rsidRPr="003A0B3D">
        <w:rPr>
          <w:rStyle w:val="Numeracinttulo"/>
          <w:rFonts w:cs="Tahoma"/>
          <w:b w:val="0"/>
          <w:szCs w:val="24"/>
        </w:rPr>
        <w:t xml:space="preserve">la misma por </w:t>
      </w:r>
      <w:r w:rsidR="000208BC" w:rsidRPr="003A0B3D">
        <w:rPr>
          <w:rStyle w:val="Numeracinttulo"/>
          <w:rFonts w:cs="Tahoma"/>
          <w:b w:val="0"/>
          <w:szCs w:val="24"/>
        </w:rPr>
        <w:t xml:space="preserve">petición del </w:t>
      </w:r>
      <w:r w:rsidR="0085017F" w:rsidRPr="003A0B3D">
        <w:rPr>
          <w:rStyle w:val="Numeracinttulo"/>
          <w:rFonts w:cs="Tahoma"/>
          <w:b w:val="0"/>
          <w:szCs w:val="24"/>
        </w:rPr>
        <w:t xml:space="preserve">nuevo </w:t>
      </w:r>
      <w:r w:rsidR="000208BC" w:rsidRPr="003A0B3D">
        <w:rPr>
          <w:rStyle w:val="Numeracinttulo"/>
          <w:rFonts w:cs="Tahoma"/>
          <w:b w:val="0"/>
          <w:szCs w:val="24"/>
        </w:rPr>
        <w:t xml:space="preserve">defensor </w:t>
      </w:r>
      <w:r w:rsidR="0085017F" w:rsidRPr="003A0B3D">
        <w:rPr>
          <w:rStyle w:val="Numeracinttulo"/>
          <w:rFonts w:cs="Tahoma"/>
          <w:b w:val="0"/>
          <w:szCs w:val="24"/>
        </w:rPr>
        <w:t xml:space="preserve">contractual </w:t>
      </w:r>
      <w:r w:rsidR="000208BC" w:rsidRPr="003A0B3D">
        <w:rPr>
          <w:rStyle w:val="Numeracinttulo"/>
          <w:rFonts w:cs="Tahoma"/>
          <w:b w:val="0"/>
          <w:szCs w:val="24"/>
        </w:rPr>
        <w:t>para discutir el tema del resarcimiento de perjuicios</w:t>
      </w:r>
      <w:r w:rsidR="0085017F" w:rsidRPr="003A0B3D">
        <w:rPr>
          <w:rStyle w:val="Numeracinttulo"/>
          <w:rFonts w:cs="Tahoma"/>
          <w:b w:val="0"/>
          <w:szCs w:val="24"/>
        </w:rPr>
        <w:t xml:space="preserve">. Al </w:t>
      </w:r>
      <w:r w:rsidR="005923B1" w:rsidRPr="003A0B3D">
        <w:rPr>
          <w:rStyle w:val="Numeracinttulo"/>
          <w:rFonts w:cs="Tahoma"/>
          <w:b w:val="0"/>
          <w:szCs w:val="24"/>
        </w:rPr>
        <w:t>dar continuidad al trámite</w:t>
      </w:r>
      <w:r w:rsidR="000208BC" w:rsidRPr="003A0B3D">
        <w:rPr>
          <w:rStyle w:val="Numeracinttulo"/>
          <w:rFonts w:cs="Tahoma"/>
          <w:b w:val="0"/>
          <w:szCs w:val="24"/>
        </w:rPr>
        <w:t xml:space="preserve"> (octubre 28 de 2021)</w:t>
      </w:r>
      <w:r w:rsidR="0085017F" w:rsidRPr="003A0B3D">
        <w:rPr>
          <w:rStyle w:val="Numeracinttulo"/>
          <w:rFonts w:cs="Tahoma"/>
          <w:b w:val="0"/>
          <w:szCs w:val="24"/>
        </w:rPr>
        <w:t xml:space="preserve"> se efectuó la</w:t>
      </w:r>
      <w:r w:rsidR="000208BC" w:rsidRPr="003A0B3D">
        <w:rPr>
          <w:rStyle w:val="Numeracinttulo"/>
          <w:rFonts w:cs="Tahoma"/>
          <w:b w:val="0"/>
          <w:szCs w:val="24"/>
        </w:rPr>
        <w:t xml:space="preserve"> </w:t>
      </w:r>
      <w:r w:rsidR="00AF3D1E" w:rsidRPr="003A0B3D">
        <w:rPr>
          <w:rStyle w:val="Numeracinttulo"/>
          <w:rFonts w:cs="Tahoma"/>
          <w:b w:val="0"/>
          <w:szCs w:val="24"/>
        </w:rPr>
        <w:t>audiencia a que alude el art. 447 C.P.P</w:t>
      </w:r>
      <w:r w:rsidR="004C0656" w:rsidRPr="003A0B3D">
        <w:rPr>
          <w:rStyle w:val="Numeracinttulo"/>
          <w:rFonts w:cs="Tahoma"/>
          <w:b w:val="0"/>
          <w:szCs w:val="24"/>
        </w:rPr>
        <w:t>, y</w:t>
      </w:r>
      <w:r w:rsidR="000208BC" w:rsidRPr="003A0B3D">
        <w:rPr>
          <w:rStyle w:val="Numeracinttulo"/>
          <w:rFonts w:cs="Tahoma"/>
          <w:b w:val="0"/>
          <w:szCs w:val="24"/>
        </w:rPr>
        <w:t xml:space="preserve"> se </w:t>
      </w:r>
      <w:r w:rsidR="0085017F" w:rsidRPr="003A0B3D">
        <w:rPr>
          <w:rStyle w:val="Numeracinttulo"/>
          <w:rFonts w:cs="Tahoma"/>
          <w:b w:val="0"/>
          <w:szCs w:val="24"/>
        </w:rPr>
        <w:t xml:space="preserve">emitió </w:t>
      </w:r>
      <w:r w:rsidR="000208BC" w:rsidRPr="003A0B3D">
        <w:rPr>
          <w:rStyle w:val="Numeracinttulo"/>
          <w:rFonts w:cs="Tahoma"/>
          <w:b w:val="0"/>
          <w:szCs w:val="24"/>
        </w:rPr>
        <w:t>el fallo respectivo</w:t>
      </w:r>
      <w:r w:rsidR="004C4DE5" w:rsidRPr="003A0B3D">
        <w:rPr>
          <w:rStyle w:val="Numeracinttulo"/>
          <w:rFonts w:cs="Tahoma"/>
          <w:b w:val="0"/>
          <w:szCs w:val="24"/>
        </w:rPr>
        <w:t xml:space="preserve">, </w:t>
      </w:r>
      <w:r w:rsidR="00FD525A" w:rsidRPr="003A0B3D">
        <w:rPr>
          <w:rStyle w:val="Numeracinttulo"/>
          <w:rFonts w:cs="Tahoma"/>
          <w:b w:val="0"/>
          <w:szCs w:val="24"/>
        </w:rPr>
        <w:t>por medio del cual:</w:t>
      </w:r>
      <w:r w:rsidR="00BB1377" w:rsidRPr="003A0B3D">
        <w:rPr>
          <w:rStyle w:val="Numeracinttulo"/>
          <w:rFonts w:cs="Tahoma"/>
          <w:b w:val="0"/>
          <w:szCs w:val="24"/>
        </w:rPr>
        <w:t xml:space="preserve"> (i) </w:t>
      </w:r>
      <w:r w:rsidR="00DC511D" w:rsidRPr="003A0B3D">
        <w:rPr>
          <w:rStyle w:val="Numeracinttulo"/>
          <w:rFonts w:cs="Tahoma"/>
          <w:b w:val="0"/>
          <w:szCs w:val="24"/>
        </w:rPr>
        <w:t xml:space="preserve">se </w:t>
      </w:r>
      <w:r w:rsidRPr="003A0B3D">
        <w:rPr>
          <w:rStyle w:val="Numeracinttulo"/>
          <w:rFonts w:cs="Tahoma"/>
          <w:b w:val="0"/>
          <w:szCs w:val="24"/>
        </w:rPr>
        <w:t xml:space="preserve">declaró penalmente responsable </w:t>
      </w:r>
      <w:r w:rsidR="00594738" w:rsidRPr="003A0B3D">
        <w:rPr>
          <w:rStyle w:val="Numeracinttulo"/>
          <w:rFonts w:cs="Tahoma"/>
          <w:b w:val="0"/>
          <w:szCs w:val="24"/>
        </w:rPr>
        <w:t>a</w:t>
      </w:r>
      <w:r w:rsidR="00E17E13" w:rsidRPr="003A0B3D">
        <w:rPr>
          <w:rStyle w:val="Numeracinttulo"/>
          <w:rFonts w:cs="Tahoma"/>
          <w:b w:val="0"/>
          <w:szCs w:val="24"/>
        </w:rPr>
        <w:t xml:space="preserve">l señor </w:t>
      </w:r>
      <w:r w:rsidR="00732414">
        <w:rPr>
          <w:rStyle w:val="Numeracinttulo"/>
          <w:rFonts w:cs="Tahoma"/>
          <w:szCs w:val="24"/>
        </w:rPr>
        <w:t>OAJS</w:t>
      </w:r>
      <w:r w:rsidR="000208BC" w:rsidRPr="003A0B3D">
        <w:rPr>
          <w:rStyle w:val="Numeracinttulo"/>
          <w:rFonts w:cs="Tahoma"/>
          <w:szCs w:val="24"/>
        </w:rPr>
        <w:t xml:space="preserve"> </w:t>
      </w:r>
      <w:r w:rsidR="000208BC" w:rsidRPr="003A0B3D">
        <w:rPr>
          <w:rStyle w:val="Numeracinttulo"/>
          <w:rFonts w:cs="Tahoma"/>
          <w:b w:val="0"/>
          <w:szCs w:val="24"/>
        </w:rPr>
        <w:t>del delito de homicidio en grado de tentativa</w:t>
      </w:r>
      <w:r w:rsidR="00E17E13" w:rsidRPr="003A0B3D">
        <w:rPr>
          <w:rStyle w:val="Numeracinttulo"/>
          <w:rFonts w:cs="Tahoma"/>
          <w:b w:val="0"/>
          <w:szCs w:val="24"/>
        </w:rPr>
        <w:t xml:space="preserve">; (ii) </w:t>
      </w:r>
      <w:r w:rsidR="008C102D" w:rsidRPr="003A0B3D">
        <w:rPr>
          <w:rStyle w:val="Numeracinttulo"/>
          <w:rFonts w:cs="Tahoma"/>
          <w:b w:val="0"/>
          <w:szCs w:val="24"/>
        </w:rPr>
        <w:t xml:space="preserve">se le impuso </w:t>
      </w:r>
      <w:r w:rsidR="00A85757" w:rsidRPr="003A0B3D">
        <w:rPr>
          <w:rStyle w:val="Numeracinttulo"/>
          <w:rFonts w:cs="Tahoma"/>
          <w:b w:val="0"/>
          <w:szCs w:val="24"/>
        </w:rPr>
        <w:t xml:space="preserve">una </w:t>
      </w:r>
      <w:r w:rsidR="00127B0F" w:rsidRPr="003A0B3D">
        <w:rPr>
          <w:rStyle w:val="Numeracinttulo"/>
          <w:rFonts w:cs="Tahoma"/>
          <w:b w:val="0"/>
          <w:szCs w:val="24"/>
        </w:rPr>
        <w:t xml:space="preserve">pena de </w:t>
      </w:r>
      <w:r w:rsidR="000208BC" w:rsidRPr="003A0B3D">
        <w:rPr>
          <w:rStyle w:val="Numeracinttulo"/>
          <w:rFonts w:cs="Tahoma"/>
          <w:b w:val="0"/>
          <w:szCs w:val="24"/>
        </w:rPr>
        <w:t>52</w:t>
      </w:r>
      <w:r w:rsidR="0085017F" w:rsidRPr="003A0B3D">
        <w:rPr>
          <w:rStyle w:val="Numeracinttulo"/>
          <w:rFonts w:cs="Tahoma"/>
          <w:b w:val="0"/>
          <w:szCs w:val="24"/>
        </w:rPr>
        <w:t xml:space="preserve"> meses de prisión</w:t>
      </w:r>
      <w:r w:rsidR="000208BC" w:rsidRPr="003A0B3D">
        <w:rPr>
          <w:rStyle w:val="Numeracinttulo"/>
          <w:rFonts w:cs="Tahoma"/>
          <w:b w:val="0"/>
          <w:szCs w:val="24"/>
        </w:rPr>
        <w:t xml:space="preserve">, acorde con lo pactado, así como a la </w:t>
      </w:r>
      <w:r w:rsidRPr="003A0B3D">
        <w:rPr>
          <w:rStyle w:val="Numeracinttulo"/>
          <w:rFonts w:cs="Tahoma"/>
          <w:b w:val="0"/>
          <w:szCs w:val="24"/>
        </w:rPr>
        <w:t xml:space="preserve">inhabilitación en el ejercicio de derechos y funciones públicas por un tiempo igual al </w:t>
      </w:r>
      <w:r w:rsidRPr="003A0B3D">
        <w:rPr>
          <w:rStyle w:val="Numeracinttulo"/>
          <w:rFonts w:cs="Tahoma"/>
          <w:b w:val="0"/>
          <w:szCs w:val="24"/>
        </w:rPr>
        <w:lastRenderedPageBreak/>
        <w:t>de la sanción principal</w:t>
      </w:r>
      <w:r w:rsidR="00905E81" w:rsidRPr="003A0B3D">
        <w:rPr>
          <w:rStyle w:val="Numeracinttulo"/>
          <w:rFonts w:cs="Tahoma"/>
          <w:b w:val="0"/>
          <w:szCs w:val="24"/>
        </w:rPr>
        <w:t>;</w:t>
      </w:r>
      <w:r w:rsidR="004C4DE5" w:rsidRPr="003A0B3D">
        <w:rPr>
          <w:rStyle w:val="Numeracinttulo"/>
          <w:rFonts w:cs="Tahoma"/>
          <w:b w:val="0"/>
          <w:szCs w:val="24"/>
        </w:rPr>
        <w:t xml:space="preserve"> y</w:t>
      </w:r>
      <w:r w:rsidR="00E17E13" w:rsidRPr="003A0B3D">
        <w:rPr>
          <w:rStyle w:val="Numeracinttulo"/>
          <w:rFonts w:cs="Tahoma"/>
          <w:b w:val="0"/>
          <w:szCs w:val="24"/>
        </w:rPr>
        <w:t xml:space="preserve"> </w:t>
      </w:r>
      <w:r w:rsidR="00594738" w:rsidRPr="003A0B3D">
        <w:rPr>
          <w:rStyle w:val="Numeracinttulo"/>
          <w:rFonts w:cs="Tahoma"/>
          <w:b w:val="0"/>
          <w:szCs w:val="24"/>
        </w:rPr>
        <w:t>(i</w:t>
      </w:r>
      <w:r w:rsidR="00E17E13" w:rsidRPr="003A0B3D">
        <w:rPr>
          <w:rStyle w:val="Numeracinttulo"/>
          <w:rFonts w:cs="Tahoma"/>
          <w:b w:val="0"/>
          <w:szCs w:val="24"/>
        </w:rPr>
        <w:t>ii</w:t>
      </w:r>
      <w:r w:rsidR="00594738" w:rsidRPr="003A0B3D">
        <w:rPr>
          <w:rStyle w:val="Numeracinttulo"/>
          <w:rFonts w:cs="Tahoma"/>
          <w:b w:val="0"/>
          <w:szCs w:val="24"/>
        </w:rPr>
        <w:t xml:space="preserve">) se le </w:t>
      </w:r>
      <w:r w:rsidRPr="003A0B3D">
        <w:rPr>
          <w:rStyle w:val="Numeracinttulo"/>
          <w:rFonts w:cs="Tahoma"/>
          <w:b w:val="0"/>
          <w:szCs w:val="24"/>
        </w:rPr>
        <w:t xml:space="preserve">negó el subrogado de la suspensión condicional de la ejecución de la pena </w:t>
      </w:r>
      <w:r w:rsidR="002F2C30" w:rsidRPr="003A0B3D">
        <w:rPr>
          <w:rStyle w:val="Numeracinttulo"/>
          <w:rFonts w:cs="Tahoma"/>
          <w:b w:val="0"/>
          <w:szCs w:val="24"/>
        </w:rPr>
        <w:t>y</w:t>
      </w:r>
      <w:r w:rsidR="00B33AEC" w:rsidRPr="003A0B3D">
        <w:rPr>
          <w:rStyle w:val="Numeracinttulo"/>
          <w:rFonts w:cs="Tahoma"/>
          <w:b w:val="0"/>
          <w:szCs w:val="24"/>
        </w:rPr>
        <w:t xml:space="preserve"> la prisión domiciliaria</w:t>
      </w:r>
      <w:r w:rsidR="004C4DE5" w:rsidRPr="003A0B3D">
        <w:rPr>
          <w:rStyle w:val="Numeracinttulo"/>
          <w:rFonts w:cs="Tahoma"/>
          <w:b w:val="0"/>
          <w:szCs w:val="24"/>
        </w:rPr>
        <w:t>.</w:t>
      </w:r>
    </w:p>
    <w:p w14:paraId="2586AE12" w14:textId="77777777" w:rsidR="000D42A3" w:rsidRPr="003A0B3D" w:rsidRDefault="000D42A3" w:rsidP="003A0B3D">
      <w:pPr>
        <w:spacing w:line="276" w:lineRule="auto"/>
        <w:rPr>
          <w:rFonts w:cs="Tahoma"/>
          <w:sz w:val="24"/>
          <w:szCs w:val="24"/>
        </w:rPr>
      </w:pPr>
    </w:p>
    <w:p w14:paraId="3AD0B4BE" w14:textId="77777777" w:rsidR="000D42A3" w:rsidRPr="003A0B3D" w:rsidRDefault="000D42A3" w:rsidP="003A0B3D">
      <w:pPr>
        <w:spacing w:line="276" w:lineRule="auto"/>
        <w:rPr>
          <w:rStyle w:val="Numeracinttulo"/>
          <w:rFonts w:cs="Tahoma"/>
          <w:b w:val="0"/>
          <w:szCs w:val="24"/>
        </w:rPr>
      </w:pPr>
      <w:r w:rsidRPr="003A0B3D">
        <w:rPr>
          <w:rStyle w:val="Numeracinttulo"/>
          <w:rFonts w:cs="Tahoma"/>
          <w:szCs w:val="24"/>
        </w:rPr>
        <w:t>1.4.-</w:t>
      </w:r>
      <w:r w:rsidR="00594738" w:rsidRPr="003A0B3D">
        <w:rPr>
          <w:rStyle w:val="Numeracinttulo"/>
          <w:rFonts w:cs="Tahoma"/>
          <w:b w:val="0"/>
          <w:szCs w:val="24"/>
        </w:rPr>
        <w:t xml:space="preserve"> Contra tal </w:t>
      </w:r>
      <w:r w:rsidR="000C5F4B" w:rsidRPr="003A0B3D">
        <w:rPr>
          <w:rStyle w:val="Numeracinttulo"/>
          <w:rFonts w:cs="Tahoma"/>
          <w:b w:val="0"/>
          <w:szCs w:val="24"/>
        </w:rPr>
        <w:t xml:space="preserve">fallo </w:t>
      </w:r>
      <w:r w:rsidR="00594738" w:rsidRPr="003A0B3D">
        <w:rPr>
          <w:rStyle w:val="Numeracinttulo"/>
          <w:rFonts w:cs="Tahoma"/>
          <w:b w:val="0"/>
          <w:szCs w:val="24"/>
        </w:rPr>
        <w:t xml:space="preserve">se mostró inconforme </w:t>
      </w:r>
      <w:r w:rsidR="004C4DE5" w:rsidRPr="003A0B3D">
        <w:rPr>
          <w:rStyle w:val="Numeracinttulo"/>
          <w:rFonts w:cs="Tahoma"/>
          <w:b w:val="0"/>
          <w:szCs w:val="24"/>
        </w:rPr>
        <w:t>el</w:t>
      </w:r>
      <w:r w:rsidR="00E17E13" w:rsidRPr="003A0B3D">
        <w:rPr>
          <w:rStyle w:val="Numeracinttulo"/>
          <w:rFonts w:cs="Tahoma"/>
          <w:b w:val="0"/>
          <w:szCs w:val="24"/>
        </w:rPr>
        <w:t xml:space="preserve"> </w:t>
      </w:r>
      <w:r w:rsidR="00594738" w:rsidRPr="003A0B3D">
        <w:rPr>
          <w:rStyle w:val="Numeracinttulo"/>
          <w:rFonts w:cs="Tahoma"/>
          <w:b w:val="0"/>
          <w:szCs w:val="24"/>
        </w:rPr>
        <w:t>apoderad</w:t>
      </w:r>
      <w:r w:rsidR="004C4DE5" w:rsidRPr="003A0B3D">
        <w:rPr>
          <w:rStyle w:val="Numeracinttulo"/>
          <w:rFonts w:cs="Tahoma"/>
          <w:b w:val="0"/>
          <w:szCs w:val="24"/>
        </w:rPr>
        <w:t>o</w:t>
      </w:r>
      <w:r w:rsidR="00E17E13" w:rsidRPr="003A0B3D">
        <w:rPr>
          <w:rStyle w:val="Numeracinttulo"/>
          <w:rFonts w:cs="Tahoma"/>
          <w:b w:val="0"/>
          <w:szCs w:val="24"/>
        </w:rPr>
        <w:t xml:space="preserve"> d</w:t>
      </w:r>
      <w:r w:rsidR="004C4DE5" w:rsidRPr="003A0B3D">
        <w:rPr>
          <w:rStyle w:val="Numeracinttulo"/>
          <w:rFonts w:cs="Tahoma"/>
          <w:b w:val="0"/>
          <w:szCs w:val="24"/>
        </w:rPr>
        <w:t>el sentenciad</w:t>
      </w:r>
      <w:r w:rsidR="000208BC" w:rsidRPr="003A0B3D">
        <w:rPr>
          <w:rStyle w:val="Numeracinttulo"/>
          <w:rFonts w:cs="Tahoma"/>
          <w:b w:val="0"/>
          <w:szCs w:val="24"/>
        </w:rPr>
        <w:t>o</w:t>
      </w:r>
      <w:r w:rsidR="00594738" w:rsidRPr="003A0B3D">
        <w:rPr>
          <w:rStyle w:val="Numeracinttulo"/>
          <w:rFonts w:cs="Tahoma"/>
          <w:b w:val="0"/>
          <w:szCs w:val="24"/>
        </w:rPr>
        <w:t xml:space="preserve">, </w:t>
      </w:r>
      <w:r w:rsidR="00877822" w:rsidRPr="003A0B3D">
        <w:rPr>
          <w:rStyle w:val="Numeracinttulo"/>
          <w:rFonts w:cs="Tahoma"/>
          <w:b w:val="0"/>
          <w:szCs w:val="24"/>
        </w:rPr>
        <w:t xml:space="preserve">quien </w:t>
      </w:r>
      <w:r w:rsidR="00594738" w:rsidRPr="003A0B3D">
        <w:rPr>
          <w:rStyle w:val="Numeracinttulo"/>
          <w:rFonts w:cs="Tahoma"/>
          <w:b w:val="0"/>
          <w:szCs w:val="24"/>
        </w:rPr>
        <w:t xml:space="preserve">la </w:t>
      </w:r>
      <w:r w:rsidRPr="003A0B3D">
        <w:rPr>
          <w:rStyle w:val="Numeracinttulo"/>
          <w:rFonts w:cs="Tahoma"/>
          <w:b w:val="0"/>
          <w:szCs w:val="24"/>
        </w:rPr>
        <w:t>impugnó</w:t>
      </w:r>
      <w:r w:rsidR="00AE3785" w:rsidRPr="003A0B3D">
        <w:rPr>
          <w:rStyle w:val="Numeracinttulo"/>
          <w:rFonts w:cs="Tahoma"/>
          <w:b w:val="0"/>
          <w:szCs w:val="24"/>
        </w:rPr>
        <w:t xml:space="preserve"> </w:t>
      </w:r>
      <w:r w:rsidR="00877822" w:rsidRPr="003A0B3D">
        <w:rPr>
          <w:rStyle w:val="Numeracinttulo"/>
          <w:rFonts w:cs="Tahoma"/>
          <w:b w:val="0"/>
          <w:szCs w:val="24"/>
        </w:rPr>
        <w:t xml:space="preserve">y procedió a </w:t>
      </w:r>
      <w:r w:rsidR="00AE3785" w:rsidRPr="003A0B3D">
        <w:rPr>
          <w:rStyle w:val="Numeracinttulo"/>
          <w:rFonts w:cs="Tahoma"/>
          <w:b w:val="0"/>
          <w:szCs w:val="24"/>
        </w:rPr>
        <w:t>sustenta</w:t>
      </w:r>
      <w:r w:rsidR="00877822" w:rsidRPr="003A0B3D">
        <w:rPr>
          <w:rStyle w:val="Numeracinttulo"/>
          <w:rFonts w:cs="Tahoma"/>
          <w:b w:val="0"/>
          <w:szCs w:val="24"/>
        </w:rPr>
        <w:t xml:space="preserve">rla </w:t>
      </w:r>
      <w:r w:rsidR="00AE3785" w:rsidRPr="003A0B3D">
        <w:rPr>
          <w:rStyle w:val="Numeracinttulo"/>
          <w:rFonts w:cs="Tahoma"/>
          <w:b w:val="0"/>
          <w:szCs w:val="24"/>
        </w:rPr>
        <w:t>por escrito.</w:t>
      </w:r>
    </w:p>
    <w:p w14:paraId="73B2AC72" w14:textId="77777777" w:rsidR="002F2C30" w:rsidRPr="003A0B3D" w:rsidRDefault="002F2C30" w:rsidP="003A0B3D">
      <w:pPr>
        <w:spacing w:line="276" w:lineRule="auto"/>
        <w:rPr>
          <w:rStyle w:val="Numeracinttulo"/>
          <w:rFonts w:cs="Tahoma"/>
          <w:b w:val="0"/>
          <w:szCs w:val="24"/>
        </w:rPr>
      </w:pPr>
    </w:p>
    <w:p w14:paraId="288E7FEF" w14:textId="33262070" w:rsidR="00F13C87" w:rsidRPr="003A0B3D" w:rsidRDefault="00F13C87" w:rsidP="003A0B3D">
      <w:pPr>
        <w:spacing w:line="276" w:lineRule="auto"/>
        <w:rPr>
          <w:rFonts w:ascii="Algerian" w:hAnsi="Algerian"/>
          <w:sz w:val="30"/>
          <w:szCs w:val="20"/>
        </w:rPr>
      </w:pPr>
      <w:r w:rsidRPr="003A0B3D">
        <w:rPr>
          <w:rFonts w:ascii="Algerian" w:hAnsi="Algerian"/>
          <w:sz w:val="30"/>
          <w:szCs w:val="20"/>
        </w:rPr>
        <w:t xml:space="preserve">2.- </w:t>
      </w:r>
      <w:r w:rsidR="003A0B3D" w:rsidRPr="003A0B3D">
        <w:rPr>
          <w:rFonts w:ascii="Algerian" w:hAnsi="Algerian"/>
          <w:sz w:val="30"/>
          <w:szCs w:val="20"/>
        </w:rPr>
        <w:t>DEBATE</w:t>
      </w:r>
    </w:p>
    <w:p w14:paraId="7DCECAAA" w14:textId="77777777" w:rsidR="00B31B9A" w:rsidRPr="003A0B3D" w:rsidRDefault="00B31B9A" w:rsidP="003A0B3D">
      <w:pPr>
        <w:spacing w:line="276" w:lineRule="auto"/>
        <w:rPr>
          <w:rFonts w:cs="Tahoma"/>
          <w:b/>
          <w:sz w:val="24"/>
          <w:szCs w:val="24"/>
        </w:rPr>
      </w:pPr>
    </w:p>
    <w:p w14:paraId="0141C99B" w14:textId="77777777" w:rsidR="00F13C87" w:rsidRPr="003A0B3D" w:rsidRDefault="00F13C87" w:rsidP="003A0B3D">
      <w:pPr>
        <w:spacing w:line="276" w:lineRule="auto"/>
        <w:rPr>
          <w:rFonts w:cs="Tahoma"/>
          <w:sz w:val="24"/>
          <w:szCs w:val="24"/>
        </w:rPr>
      </w:pPr>
      <w:r w:rsidRPr="003A0B3D">
        <w:rPr>
          <w:rFonts w:cs="Tahoma"/>
          <w:b/>
          <w:sz w:val="24"/>
          <w:szCs w:val="24"/>
        </w:rPr>
        <w:t>2.1.-</w:t>
      </w:r>
      <w:r w:rsidRPr="003A0B3D">
        <w:rPr>
          <w:rFonts w:cs="Tahoma"/>
          <w:sz w:val="24"/>
          <w:szCs w:val="24"/>
        </w:rPr>
        <w:t xml:space="preserve"> Defensa -como recurrente</w:t>
      </w:r>
      <w:r w:rsidRPr="003A0B3D">
        <w:rPr>
          <w:rFonts w:cs="Tahoma"/>
          <w:i/>
          <w:sz w:val="24"/>
          <w:szCs w:val="24"/>
        </w:rPr>
        <w:t xml:space="preserve">- </w:t>
      </w:r>
    </w:p>
    <w:p w14:paraId="53DFFDDF" w14:textId="77777777" w:rsidR="003F2F2C" w:rsidRPr="003A0B3D" w:rsidRDefault="003F2F2C" w:rsidP="003A0B3D">
      <w:pPr>
        <w:spacing w:line="276" w:lineRule="auto"/>
        <w:rPr>
          <w:rFonts w:cs="Tahoma"/>
          <w:sz w:val="24"/>
          <w:szCs w:val="24"/>
        </w:rPr>
      </w:pPr>
    </w:p>
    <w:p w14:paraId="531B478D" w14:textId="77777777" w:rsidR="000208BC" w:rsidRPr="003A0B3D" w:rsidRDefault="00421500" w:rsidP="003A0B3D">
      <w:pPr>
        <w:spacing w:line="276" w:lineRule="auto"/>
        <w:rPr>
          <w:rFonts w:cs="Tahoma"/>
          <w:sz w:val="24"/>
          <w:szCs w:val="24"/>
        </w:rPr>
      </w:pPr>
      <w:r w:rsidRPr="003A0B3D">
        <w:rPr>
          <w:rFonts w:cs="Tahoma"/>
          <w:sz w:val="24"/>
          <w:szCs w:val="24"/>
        </w:rPr>
        <w:t xml:space="preserve">Pide se </w:t>
      </w:r>
      <w:r w:rsidR="000208BC" w:rsidRPr="003A0B3D">
        <w:rPr>
          <w:rFonts w:cs="Tahoma"/>
          <w:sz w:val="24"/>
          <w:szCs w:val="24"/>
        </w:rPr>
        <w:t>revoquen los numerales 1º y 2º del fallo de condena, donde se le niega la libertad a su defendido y se le priva de cualquier beneficio.</w:t>
      </w:r>
    </w:p>
    <w:p w14:paraId="5894D4F9" w14:textId="77777777" w:rsidR="000208BC" w:rsidRPr="003A0B3D" w:rsidRDefault="000208BC" w:rsidP="003A0B3D">
      <w:pPr>
        <w:spacing w:line="276" w:lineRule="auto"/>
        <w:rPr>
          <w:rFonts w:cs="Tahoma"/>
          <w:sz w:val="24"/>
          <w:szCs w:val="24"/>
        </w:rPr>
      </w:pPr>
    </w:p>
    <w:p w14:paraId="60BB2BBF" w14:textId="77777777" w:rsidR="000208BC" w:rsidRPr="003A0B3D" w:rsidRDefault="000208BC" w:rsidP="003A0B3D">
      <w:pPr>
        <w:spacing w:line="276" w:lineRule="auto"/>
        <w:rPr>
          <w:rFonts w:cs="Tahoma"/>
          <w:sz w:val="24"/>
          <w:szCs w:val="24"/>
        </w:rPr>
      </w:pPr>
      <w:r w:rsidRPr="003A0B3D">
        <w:rPr>
          <w:rFonts w:cs="Tahoma"/>
          <w:sz w:val="24"/>
          <w:szCs w:val="24"/>
        </w:rPr>
        <w:t xml:space="preserve">Dado lo escueto del recurso arrimado, la Sala transcribirá </w:t>
      </w:r>
      <w:r w:rsidR="00603093" w:rsidRPr="003A0B3D">
        <w:rPr>
          <w:rFonts w:cs="Tahoma"/>
          <w:sz w:val="24"/>
          <w:szCs w:val="24"/>
        </w:rPr>
        <w:t xml:space="preserve">la parte pertinente </w:t>
      </w:r>
      <w:r w:rsidRPr="003A0B3D">
        <w:rPr>
          <w:rFonts w:cs="Tahoma"/>
          <w:sz w:val="24"/>
          <w:szCs w:val="24"/>
        </w:rPr>
        <w:t>en su integridad</w:t>
      </w:r>
      <w:r w:rsidR="00603093" w:rsidRPr="003A0B3D">
        <w:rPr>
          <w:rFonts w:cs="Tahoma"/>
          <w:sz w:val="24"/>
          <w:szCs w:val="24"/>
        </w:rPr>
        <w:t xml:space="preserve">, donde el </w:t>
      </w:r>
      <w:r w:rsidRPr="003A0B3D">
        <w:rPr>
          <w:rFonts w:cs="Tahoma"/>
          <w:sz w:val="24"/>
          <w:szCs w:val="24"/>
        </w:rPr>
        <w:t xml:space="preserve">letrado </w:t>
      </w:r>
      <w:r w:rsidR="00263332" w:rsidRPr="003A0B3D">
        <w:rPr>
          <w:rFonts w:cs="Tahoma"/>
          <w:sz w:val="24"/>
          <w:szCs w:val="24"/>
        </w:rPr>
        <w:t>plasmó</w:t>
      </w:r>
      <w:r w:rsidRPr="003A0B3D">
        <w:rPr>
          <w:rFonts w:cs="Tahoma"/>
          <w:sz w:val="24"/>
          <w:szCs w:val="24"/>
        </w:rPr>
        <w:t>:</w:t>
      </w:r>
    </w:p>
    <w:p w14:paraId="078A2FAF" w14:textId="77777777" w:rsidR="000208BC" w:rsidRPr="003A0B3D" w:rsidRDefault="000208BC" w:rsidP="003A0B3D">
      <w:pPr>
        <w:spacing w:line="276" w:lineRule="auto"/>
        <w:rPr>
          <w:rFonts w:cs="Tahoma"/>
          <w:sz w:val="24"/>
          <w:szCs w:val="24"/>
        </w:rPr>
      </w:pPr>
    </w:p>
    <w:p w14:paraId="5B53F243" w14:textId="2AACA827" w:rsidR="000208BC" w:rsidRPr="00682F81" w:rsidRDefault="003977A4" w:rsidP="00682F81">
      <w:pPr>
        <w:spacing w:line="240" w:lineRule="auto"/>
        <w:ind w:left="426" w:right="420"/>
        <w:rPr>
          <w:rStyle w:val="Numeracinttulo"/>
          <w:rFonts w:ascii="Arial" w:hAnsi="Arial" w:cs="Arial"/>
          <w:b w:val="0"/>
          <w:sz w:val="22"/>
          <w:szCs w:val="24"/>
        </w:rPr>
      </w:pPr>
      <w:r w:rsidRPr="00682F81">
        <w:rPr>
          <w:rStyle w:val="Numeracinttulo"/>
          <w:rFonts w:ascii="Arial" w:hAnsi="Arial" w:cs="Arial"/>
          <w:b w:val="0"/>
          <w:sz w:val="22"/>
          <w:szCs w:val="24"/>
        </w:rPr>
        <w:t>“</w:t>
      </w:r>
      <w:r w:rsidR="00603093" w:rsidRPr="00682F81">
        <w:rPr>
          <w:rStyle w:val="Numeracinttulo"/>
          <w:rFonts w:ascii="Arial" w:hAnsi="Arial" w:cs="Arial"/>
          <w:b w:val="0"/>
          <w:sz w:val="22"/>
          <w:szCs w:val="24"/>
        </w:rPr>
        <w:t xml:space="preserve">[…] </w:t>
      </w:r>
      <w:r w:rsidR="000208BC" w:rsidRPr="00682F81">
        <w:rPr>
          <w:rStyle w:val="Numeracinttulo"/>
          <w:rFonts w:ascii="Arial" w:hAnsi="Arial" w:cs="Arial"/>
          <w:b w:val="0"/>
          <w:sz w:val="22"/>
          <w:szCs w:val="24"/>
        </w:rPr>
        <w:t xml:space="preserve">Las inconformidades básicamente se encuentran, en no haber escuchado la versión del señor ORLANDO ANTONIO se </w:t>
      </w:r>
      <w:proofErr w:type="spellStart"/>
      <w:r w:rsidR="000208BC" w:rsidRPr="00682F81">
        <w:rPr>
          <w:rStyle w:val="Numeracinttulo"/>
          <w:rFonts w:ascii="Arial" w:hAnsi="Arial" w:cs="Arial"/>
          <w:b w:val="0"/>
          <w:sz w:val="22"/>
          <w:szCs w:val="24"/>
        </w:rPr>
        <w:t>baso</w:t>
      </w:r>
      <w:proofErr w:type="spellEnd"/>
      <w:r w:rsidR="000208BC" w:rsidRPr="00682F81">
        <w:rPr>
          <w:rStyle w:val="Numeracinttulo"/>
          <w:rFonts w:ascii="Arial" w:hAnsi="Arial" w:cs="Arial"/>
          <w:b w:val="0"/>
          <w:sz w:val="22"/>
          <w:szCs w:val="24"/>
        </w:rPr>
        <w:t xml:space="preserve"> </w:t>
      </w:r>
      <w:r w:rsidR="00FA0775" w:rsidRPr="00682F81">
        <w:rPr>
          <w:rStyle w:val="Numeracinttulo"/>
          <w:rFonts w:ascii="Arial" w:hAnsi="Arial" w:cs="Arial"/>
          <w:b w:val="0"/>
          <w:sz w:val="22"/>
          <w:szCs w:val="24"/>
        </w:rPr>
        <w:t xml:space="preserve">(sic) </w:t>
      </w:r>
      <w:r w:rsidR="000208BC" w:rsidRPr="00682F81">
        <w:rPr>
          <w:rStyle w:val="Numeracinttulo"/>
          <w:rFonts w:ascii="Arial" w:hAnsi="Arial" w:cs="Arial"/>
          <w:b w:val="0"/>
          <w:sz w:val="22"/>
          <w:szCs w:val="24"/>
        </w:rPr>
        <w:t xml:space="preserve">solo en los hechos de la </w:t>
      </w:r>
      <w:proofErr w:type="spellStart"/>
      <w:r w:rsidR="000208BC" w:rsidRPr="00682F81">
        <w:rPr>
          <w:rStyle w:val="Numeracinttulo"/>
          <w:rFonts w:ascii="Arial" w:hAnsi="Arial" w:cs="Arial"/>
          <w:b w:val="0"/>
          <w:sz w:val="22"/>
          <w:szCs w:val="24"/>
        </w:rPr>
        <w:t>victima</w:t>
      </w:r>
      <w:proofErr w:type="spellEnd"/>
      <w:r w:rsidR="00FA0775" w:rsidRPr="00682F81">
        <w:rPr>
          <w:rStyle w:val="Numeracinttulo"/>
          <w:rFonts w:ascii="Arial" w:hAnsi="Arial" w:cs="Arial"/>
          <w:b w:val="0"/>
          <w:sz w:val="22"/>
          <w:szCs w:val="24"/>
        </w:rPr>
        <w:t xml:space="preserve"> (sic)</w:t>
      </w:r>
      <w:r w:rsidR="000208BC" w:rsidRPr="00682F81">
        <w:rPr>
          <w:rStyle w:val="Numeracinttulo"/>
          <w:rFonts w:ascii="Arial" w:hAnsi="Arial" w:cs="Arial"/>
          <w:b w:val="0"/>
          <w:sz w:val="22"/>
          <w:szCs w:val="24"/>
        </w:rPr>
        <w:t xml:space="preserve"> sin darle oportunidad a mi defendido ya que hay testigo que afirma todo lo contrario de lo que la </w:t>
      </w:r>
      <w:proofErr w:type="spellStart"/>
      <w:r w:rsidR="000208BC" w:rsidRPr="00682F81">
        <w:rPr>
          <w:rStyle w:val="Numeracinttulo"/>
          <w:rFonts w:ascii="Arial" w:hAnsi="Arial" w:cs="Arial"/>
          <w:b w:val="0"/>
          <w:sz w:val="22"/>
          <w:szCs w:val="24"/>
        </w:rPr>
        <w:t>victima</w:t>
      </w:r>
      <w:proofErr w:type="spellEnd"/>
      <w:r w:rsidR="000208BC" w:rsidRPr="00682F81">
        <w:rPr>
          <w:rStyle w:val="Numeracinttulo"/>
          <w:rFonts w:ascii="Arial" w:hAnsi="Arial" w:cs="Arial"/>
          <w:b w:val="0"/>
          <w:sz w:val="22"/>
          <w:szCs w:val="24"/>
        </w:rPr>
        <w:t xml:space="preserve"> </w:t>
      </w:r>
      <w:r w:rsidR="00FA0775" w:rsidRPr="00682F81">
        <w:rPr>
          <w:rStyle w:val="Numeracinttulo"/>
          <w:rFonts w:ascii="Arial" w:hAnsi="Arial" w:cs="Arial"/>
          <w:b w:val="0"/>
          <w:sz w:val="22"/>
          <w:szCs w:val="24"/>
        </w:rPr>
        <w:t xml:space="preserve">(sic) </w:t>
      </w:r>
      <w:r w:rsidR="000208BC" w:rsidRPr="00682F81">
        <w:rPr>
          <w:rStyle w:val="Numeracinttulo"/>
          <w:rFonts w:ascii="Arial" w:hAnsi="Arial" w:cs="Arial"/>
          <w:b w:val="0"/>
          <w:sz w:val="22"/>
          <w:szCs w:val="24"/>
        </w:rPr>
        <w:t>asegura que paso</w:t>
      </w:r>
      <w:r w:rsidR="00FA0775" w:rsidRPr="00682F81">
        <w:rPr>
          <w:rStyle w:val="Numeracinttulo"/>
          <w:rFonts w:ascii="Arial" w:hAnsi="Arial" w:cs="Arial"/>
          <w:b w:val="0"/>
          <w:sz w:val="22"/>
          <w:szCs w:val="24"/>
        </w:rPr>
        <w:t xml:space="preserve"> (sic)</w:t>
      </w:r>
      <w:r w:rsidR="000208BC" w:rsidRPr="00682F81">
        <w:rPr>
          <w:rStyle w:val="Numeracinttulo"/>
          <w:rFonts w:ascii="Arial" w:hAnsi="Arial" w:cs="Arial"/>
          <w:b w:val="0"/>
          <w:sz w:val="22"/>
          <w:szCs w:val="24"/>
        </w:rPr>
        <w:t>, el señor ORLANDO solo se defendió de una agresión, de varios meses insulto y de malos tratos de parte de la señora Francis</w:t>
      </w:r>
      <w:r w:rsidR="00EE1120" w:rsidRPr="00682F81">
        <w:rPr>
          <w:rStyle w:val="Numeracinttulo"/>
          <w:rFonts w:ascii="Arial" w:hAnsi="Arial" w:cs="Arial"/>
          <w:b w:val="0"/>
          <w:sz w:val="22"/>
          <w:szCs w:val="24"/>
        </w:rPr>
        <w:t xml:space="preserve"> (sic)</w:t>
      </w:r>
      <w:r w:rsidR="000208BC" w:rsidRPr="00682F81">
        <w:rPr>
          <w:rStyle w:val="Numeracinttulo"/>
          <w:rFonts w:ascii="Arial" w:hAnsi="Arial" w:cs="Arial"/>
          <w:b w:val="0"/>
          <w:sz w:val="22"/>
          <w:szCs w:val="24"/>
        </w:rPr>
        <w:t>. El señor RAMOS ELÍAS ARIAS AMEZQUITA c.c.15.985.034 es la persona que fue testigo de todo lo que ha pasado entre el señor Orlando y Francis</w:t>
      </w:r>
      <w:r w:rsidR="00EE1120" w:rsidRPr="00682F81">
        <w:rPr>
          <w:rStyle w:val="Numeracinttulo"/>
          <w:rFonts w:ascii="Arial" w:hAnsi="Arial" w:cs="Arial"/>
          <w:b w:val="0"/>
          <w:sz w:val="22"/>
          <w:szCs w:val="24"/>
        </w:rPr>
        <w:t xml:space="preserve"> (sic)</w:t>
      </w:r>
      <w:r w:rsidR="000208BC" w:rsidRPr="00682F81">
        <w:rPr>
          <w:rStyle w:val="Numeracinttulo"/>
          <w:rFonts w:ascii="Arial" w:hAnsi="Arial" w:cs="Arial"/>
          <w:b w:val="0"/>
          <w:sz w:val="22"/>
          <w:szCs w:val="24"/>
        </w:rPr>
        <w:t xml:space="preserve"> </w:t>
      </w:r>
      <w:r w:rsidR="00FA0775" w:rsidRPr="00682F81">
        <w:rPr>
          <w:rStyle w:val="Numeracinttulo"/>
          <w:rFonts w:ascii="Arial" w:hAnsi="Arial" w:cs="Arial"/>
          <w:b w:val="0"/>
          <w:sz w:val="22"/>
          <w:szCs w:val="24"/>
        </w:rPr>
        <w:t xml:space="preserve">además </w:t>
      </w:r>
      <w:r w:rsidR="000208BC" w:rsidRPr="00682F81">
        <w:rPr>
          <w:rStyle w:val="Numeracinttulo"/>
          <w:rFonts w:ascii="Arial" w:hAnsi="Arial" w:cs="Arial"/>
          <w:b w:val="0"/>
          <w:sz w:val="22"/>
          <w:szCs w:val="24"/>
        </w:rPr>
        <w:t>tengo una lista de testigos donde dan fe de la calidad de persona que es el señor Orlando</w:t>
      </w:r>
      <w:r w:rsidR="00FA0775" w:rsidRPr="00682F81">
        <w:rPr>
          <w:rStyle w:val="Numeracinttulo"/>
          <w:rFonts w:ascii="Arial" w:hAnsi="Arial" w:cs="Arial"/>
          <w:b w:val="0"/>
          <w:sz w:val="22"/>
          <w:szCs w:val="24"/>
        </w:rPr>
        <w:t>.</w:t>
      </w:r>
      <w:r w:rsidR="000208BC" w:rsidRPr="00682F81">
        <w:rPr>
          <w:rStyle w:val="Numeracinttulo"/>
          <w:rFonts w:ascii="Arial" w:hAnsi="Arial" w:cs="Arial"/>
          <w:b w:val="0"/>
          <w:sz w:val="22"/>
          <w:szCs w:val="24"/>
        </w:rPr>
        <w:t xml:space="preserve">” </w:t>
      </w:r>
    </w:p>
    <w:p w14:paraId="3E81DC31" w14:textId="77777777" w:rsidR="000208BC" w:rsidRPr="003A0B3D" w:rsidRDefault="000208BC" w:rsidP="003A0B3D">
      <w:pPr>
        <w:spacing w:line="276" w:lineRule="auto"/>
        <w:rPr>
          <w:rFonts w:cs="Tahoma"/>
          <w:sz w:val="24"/>
          <w:szCs w:val="24"/>
        </w:rPr>
      </w:pPr>
    </w:p>
    <w:p w14:paraId="16E91434" w14:textId="77777777" w:rsidR="00D0224F" w:rsidRPr="003A0B3D" w:rsidRDefault="00D0224F" w:rsidP="003A0B3D">
      <w:pPr>
        <w:spacing w:line="276" w:lineRule="auto"/>
        <w:rPr>
          <w:rFonts w:cs="Tahoma"/>
          <w:sz w:val="24"/>
          <w:szCs w:val="24"/>
        </w:rPr>
      </w:pPr>
      <w:r w:rsidRPr="003A0B3D">
        <w:rPr>
          <w:rFonts w:cs="Tahoma"/>
          <w:b/>
          <w:sz w:val="24"/>
          <w:szCs w:val="24"/>
        </w:rPr>
        <w:t>2.2.-</w:t>
      </w:r>
      <w:r w:rsidRPr="003A0B3D">
        <w:rPr>
          <w:rFonts w:cs="Tahoma"/>
          <w:sz w:val="24"/>
          <w:szCs w:val="24"/>
        </w:rPr>
        <w:t xml:space="preserve"> Ministerio Público -no recurrente- </w:t>
      </w:r>
    </w:p>
    <w:p w14:paraId="06B8BE8D" w14:textId="77777777" w:rsidR="00B4772B" w:rsidRPr="003A0B3D" w:rsidRDefault="00B4772B" w:rsidP="003A0B3D">
      <w:pPr>
        <w:spacing w:line="276" w:lineRule="auto"/>
        <w:rPr>
          <w:rFonts w:cs="Tahoma"/>
          <w:sz w:val="24"/>
          <w:szCs w:val="24"/>
        </w:rPr>
      </w:pPr>
    </w:p>
    <w:p w14:paraId="7872C86A" w14:textId="77777777" w:rsidR="00D0224F" w:rsidRPr="003A0B3D" w:rsidRDefault="003977A4" w:rsidP="003A0B3D">
      <w:pPr>
        <w:spacing w:line="276" w:lineRule="auto"/>
        <w:rPr>
          <w:rFonts w:cs="Tahoma"/>
          <w:sz w:val="24"/>
          <w:szCs w:val="24"/>
        </w:rPr>
      </w:pPr>
      <w:r w:rsidRPr="003A0B3D">
        <w:rPr>
          <w:rFonts w:cs="Tahoma"/>
          <w:sz w:val="24"/>
          <w:szCs w:val="24"/>
        </w:rPr>
        <w:t>El</w:t>
      </w:r>
      <w:r w:rsidR="00D0224F" w:rsidRPr="003A0B3D">
        <w:rPr>
          <w:rFonts w:cs="Tahoma"/>
          <w:sz w:val="24"/>
          <w:szCs w:val="24"/>
        </w:rPr>
        <w:t xml:space="preserve"> Procurador </w:t>
      </w:r>
      <w:r w:rsidRPr="003A0B3D">
        <w:rPr>
          <w:rFonts w:cs="Tahoma"/>
          <w:sz w:val="24"/>
          <w:szCs w:val="24"/>
        </w:rPr>
        <w:t>149</w:t>
      </w:r>
      <w:r w:rsidR="00D0224F" w:rsidRPr="003A0B3D">
        <w:rPr>
          <w:rFonts w:cs="Tahoma"/>
          <w:sz w:val="24"/>
          <w:szCs w:val="24"/>
        </w:rPr>
        <w:t xml:space="preserve"> Judicial </w:t>
      </w:r>
      <w:r w:rsidRPr="003A0B3D">
        <w:rPr>
          <w:rFonts w:cs="Tahoma"/>
          <w:sz w:val="24"/>
          <w:szCs w:val="24"/>
        </w:rPr>
        <w:t>I</w:t>
      </w:r>
      <w:r w:rsidR="00D0224F" w:rsidRPr="003A0B3D">
        <w:rPr>
          <w:rFonts w:cs="Tahoma"/>
          <w:sz w:val="24"/>
          <w:szCs w:val="24"/>
        </w:rPr>
        <w:t>I Penal</w:t>
      </w:r>
      <w:r w:rsidR="00345BEC" w:rsidRPr="003A0B3D">
        <w:rPr>
          <w:rFonts w:cs="Tahoma"/>
          <w:sz w:val="24"/>
          <w:szCs w:val="24"/>
        </w:rPr>
        <w:t xml:space="preserve"> solicita se confirme </w:t>
      </w:r>
      <w:r w:rsidR="00F70935" w:rsidRPr="003A0B3D">
        <w:rPr>
          <w:rFonts w:cs="Tahoma"/>
          <w:sz w:val="24"/>
          <w:szCs w:val="24"/>
        </w:rPr>
        <w:t>la sentencia proferida por el funcionario de primer nivel, para lo cual sostuvo</w:t>
      </w:r>
      <w:r w:rsidR="00345BEC" w:rsidRPr="003A0B3D">
        <w:rPr>
          <w:rFonts w:cs="Tahoma"/>
          <w:sz w:val="24"/>
          <w:szCs w:val="24"/>
        </w:rPr>
        <w:t>:</w:t>
      </w:r>
    </w:p>
    <w:p w14:paraId="667F7641" w14:textId="77777777" w:rsidR="0052030F" w:rsidRPr="003A0B3D" w:rsidRDefault="0052030F" w:rsidP="003A0B3D">
      <w:pPr>
        <w:spacing w:line="276" w:lineRule="auto"/>
        <w:rPr>
          <w:rFonts w:cs="Tahoma"/>
          <w:sz w:val="24"/>
          <w:szCs w:val="24"/>
        </w:rPr>
      </w:pPr>
    </w:p>
    <w:p w14:paraId="42E87D3F" w14:textId="77777777" w:rsidR="003977A4" w:rsidRPr="003A0B3D" w:rsidRDefault="0052030F" w:rsidP="003A0B3D">
      <w:pPr>
        <w:spacing w:line="276" w:lineRule="auto"/>
        <w:rPr>
          <w:rFonts w:cs="Tahoma"/>
          <w:sz w:val="24"/>
          <w:szCs w:val="24"/>
        </w:rPr>
      </w:pPr>
      <w:r w:rsidRPr="003A0B3D">
        <w:rPr>
          <w:rFonts w:cs="Tahoma"/>
          <w:sz w:val="24"/>
          <w:szCs w:val="24"/>
        </w:rPr>
        <w:t xml:space="preserve">Con el allanamiento a cargos </w:t>
      </w:r>
      <w:proofErr w:type="spellStart"/>
      <w:r w:rsidRPr="003A0B3D">
        <w:rPr>
          <w:rFonts w:cs="Tahoma"/>
          <w:sz w:val="24"/>
          <w:szCs w:val="24"/>
        </w:rPr>
        <w:t>preacordado</w:t>
      </w:r>
      <w:proofErr w:type="spellEnd"/>
      <w:r w:rsidRPr="003A0B3D">
        <w:rPr>
          <w:rFonts w:cs="Tahoma"/>
          <w:sz w:val="24"/>
          <w:szCs w:val="24"/>
        </w:rPr>
        <w:t xml:space="preserve">, luego de constatarse que la aceptación fue libre, voluntaria e informada, así como determinarse la existencia de EMP que establecían la materialidad de la conducta de homicidio y comprometían la responsabilidad del procesado, se renuncia a un juicio público y a ejercer el derecho de contradicción o la </w:t>
      </w:r>
      <w:r w:rsidR="003977A4" w:rsidRPr="003A0B3D">
        <w:rPr>
          <w:rFonts w:cs="Tahoma"/>
          <w:sz w:val="24"/>
          <w:szCs w:val="24"/>
        </w:rPr>
        <w:t>posibilidad de aportar medios de</w:t>
      </w:r>
      <w:r w:rsidRPr="003A0B3D">
        <w:rPr>
          <w:rFonts w:cs="Tahoma"/>
          <w:sz w:val="24"/>
          <w:szCs w:val="24"/>
        </w:rPr>
        <w:t xml:space="preserve"> </w:t>
      </w:r>
      <w:r w:rsidR="003977A4" w:rsidRPr="003A0B3D">
        <w:rPr>
          <w:rFonts w:cs="Tahoma"/>
          <w:sz w:val="24"/>
          <w:szCs w:val="24"/>
        </w:rPr>
        <w:t>convicción con el propósito de desvirtuar los que se incorporen en contra</w:t>
      </w:r>
      <w:r w:rsidRPr="003A0B3D">
        <w:rPr>
          <w:rFonts w:cs="Tahoma"/>
          <w:sz w:val="24"/>
          <w:szCs w:val="24"/>
        </w:rPr>
        <w:t xml:space="preserve">. En ese entendido, no puede pretenderse, </w:t>
      </w:r>
      <w:r w:rsidR="003977A4" w:rsidRPr="003A0B3D">
        <w:rPr>
          <w:rFonts w:cs="Tahoma"/>
          <w:sz w:val="24"/>
          <w:szCs w:val="24"/>
        </w:rPr>
        <w:t>vía recurso de apelación, revocar la sentencia condenatoria</w:t>
      </w:r>
      <w:r w:rsidRPr="003A0B3D">
        <w:rPr>
          <w:rFonts w:cs="Tahoma"/>
          <w:sz w:val="24"/>
          <w:szCs w:val="24"/>
        </w:rPr>
        <w:t xml:space="preserve"> </w:t>
      </w:r>
      <w:r w:rsidR="003977A4" w:rsidRPr="003A0B3D">
        <w:rPr>
          <w:rFonts w:cs="Tahoma"/>
          <w:sz w:val="24"/>
          <w:szCs w:val="24"/>
        </w:rPr>
        <w:t>so pretexto de no haberse escuchado al procesado ni haberse practicado</w:t>
      </w:r>
      <w:r w:rsidRPr="003A0B3D">
        <w:rPr>
          <w:rFonts w:cs="Tahoma"/>
          <w:sz w:val="24"/>
          <w:szCs w:val="24"/>
        </w:rPr>
        <w:t xml:space="preserve"> </w:t>
      </w:r>
      <w:r w:rsidR="003977A4" w:rsidRPr="003A0B3D">
        <w:rPr>
          <w:rFonts w:cs="Tahoma"/>
          <w:sz w:val="24"/>
          <w:szCs w:val="24"/>
        </w:rPr>
        <w:t>pruebas en su favor.</w:t>
      </w:r>
    </w:p>
    <w:p w14:paraId="6C19A75C" w14:textId="77777777" w:rsidR="0052030F" w:rsidRPr="003A0B3D" w:rsidRDefault="0052030F" w:rsidP="003A0B3D">
      <w:pPr>
        <w:spacing w:line="276" w:lineRule="auto"/>
        <w:rPr>
          <w:rFonts w:cs="Tahoma"/>
          <w:sz w:val="24"/>
          <w:szCs w:val="24"/>
        </w:rPr>
      </w:pPr>
    </w:p>
    <w:p w14:paraId="2F366D95" w14:textId="793CCE83" w:rsidR="003977A4" w:rsidRPr="003A0B3D" w:rsidRDefault="0052030F" w:rsidP="003A0B3D">
      <w:pPr>
        <w:spacing w:line="276" w:lineRule="auto"/>
        <w:rPr>
          <w:rFonts w:cs="Tahoma"/>
          <w:sz w:val="24"/>
          <w:szCs w:val="24"/>
        </w:rPr>
      </w:pPr>
      <w:r w:rsidRPr="003A0B3D">
        <w:rPr>
          <w:rFonts w:cs="Tahoma"/>
          <w:sz w:val="24"/>
          <w:szCs w:val="24"/>
        </w:rPr>
        <w:t>En cuanto a la suspensión de la ejecución de la pena, la misma no podía concederse al no acreditarse el requisito objetivo, por cuanto la pena impuesta superó los cuatro años, como tampoco el sustituto de la prisión domiciliaria por cuanto el homicidio en grado de tentativa tiene una pena mínima que supera la reglada en el numeral 1º del artículo 38B CP</w:t>
      </w:r>
      <w:r w:rsidR="008E030B" w:rsidRPr="003A0B3D">
        <w:rPr>
          <w:rFonts w:cs="Tahoma"/>
          <w:sz w:val="24"/>
          <w:szCs w:val="24"/>
        </w:rPr>
        <w:t>.</w:t>
      </w:r>
    </w:p>
    <w:p w14:paraId="5616BC07" w14:textId="77777777" w:rsidR="003977A4" w:rsidRPr="003A0B3D" w:rsidRDefault="003977A4" w:rsidP="003A0B3D">
      <w:pPr>
        <w:spacing w:line="276" w:lineRule="auto"/>
        <w:rPr>
          <w:rFonts w:cs="Tahoma"/>
          <w:sz w:val="24"/>
          <w:szCs w:val="24"/>
        </w:rPr>
      </w:pPr>
    </w:p>
    <w:p w14:paraId="41383CA6" w14:textId="77777777" w:rsidR="00901375" w:rsidRPr="003A0B3D" w:rsidRDefault="00901375" w:rsidP="003A0B3D">
      <w:pPr>
        <w:spacing w:line="276" w:lineRule="auto"/>
        <w:rPr>
          <w:rFonts w:cs="Tahoma"/>
          <w:spacing w:val="2"/>
          <w:sz w:val="24"/>
          <w:szCs w:val="24"/>
        </w:rPr>
      </w:pPr>
      <w:r w:rsidRPr="003A0B3D">
        <w:rPr>
          <w:rFonts w:cs="Tahoma"/>
          <w:b/>
          <w:spacing w:val="2"/>
          <w:sz w:val="24"/>
          <w:szCs w:val="24"/>
        </w:rPr>
        <w:lastRenderedPageBreak/>
        <w:t>2.</w:t>
      </w:r>
      <w:r w:rsidR="00B01ECE" w:rsidRPr="003A0B3D">
        <w:rPr>
          <w:rFonts w:cs="Tahoma"/>
          <w:b/>
          <w:spacing w:val="2"/>
          <w:sz w:val="24"/>
          <w:szCs w:val="24"/>
        </w:rPr>
        <w:t>3</w:t>
      </w:r>
      <w:r w:rsidRPr="003A0B3D">
        <w:rPr>
          <w:rFonts w:cs="Tahoma"/>
          <w:b/>
          <w:spacing w:val="2"/>
          <w:sz w:val="24"/>
          <w:szCs w:val="24"/>
        </w:rPr>
        <w:t>.-</w:t>
      </w:r>
      <w:r w:rsidRPr="003A0B3D">
        <w:rPr>
          <w:rFonts w:cs="Tahoma"/>
          <w:spacing w:val="2"/>
          <w:sz w:val="24"/>
          <w:szCs w:val="24"/>
        </w:rPr>
        <w:t xml:space="preserve"> </w:t>
      </w:r>
      <w:r w:rsidR="000208BC" w:rsidRPr="003A0B3D">
        <w:rPr>
          <w:rFonts w:cs="Tahoma"/>
          <w:spacing w:val="2"/>
          <w:sz w:val="24"/>
          <w:szCs w:val="24"/>
        </w:rPr>
        <w:t>S</w:t>
      </w:r>
      <w:r w:rsidRPr="003A0B3D">
        <w:rPr>
          <w:rFonts w:cs="Tahoma"/>
          <w:spacing w:val="2"/>
          <w:sz w:val="24"/>
          <w:szCs w:val="24"/>
        </w:rPr>
        <w:t xml:space="preserve">ustentado </w:t>
      </w:r>
      <w:r w:rsidR="002663D8" w:rsidRPr="003A0B3D">
        <w:rPr>
          <w:rFonts w:cs="Tahoma"/>
          <w:spacing w:val="2"/>
          <w:sz w:val="24"/>
          <w:szCs w:val="24"/>
        </w:rPr>
        <w:t>el recurso</w:t>
      </w:r>
      <w:r w:rsidRPr="003A0B3D">
        <w:rPr>
          <w:rFonts w:cs="Tahoma"/>
          <w:spacing w:val="2"/>
          <w:sz w:val="24"/>
          <w:szCs w:val="24"/>
        </w:rPr>
        <w:t xml:space="preserve">, </w:t>
      </w:r>
      <w:r w:rsidR="00265699" w:rsidRPr="003A0B3D">
        <w:rPr>
          <w:rFonts w:cs="Tahoma"/>
          <w:spacing w:val="2"/>
          <w:sz w:val="24"/>
          <w:szCs w:val="24"/>
        </w:rPr>
        <w:t xml:space="preserve">el a quo </w:t>
      </w:r>
      <w:r w:rsidRPr="003A0B3D">
        <w:rPr>
          <w:rFonts w:cs="Tahoma"/>
          <w:spacing w:val="2"/>
          <w:sz w:val="24"/>
          <w:szCs w:val="24"/>
        </w:rPr>
        <w:t>lo concedió en el efectivo susp</w:t>
      </w:r>
      <w:r w:rsidR="003F2F2C" w:rsidRPr="003A0B3D">
        <w:rPr>
          <w:rFonts w:cs="Tahoma"/>
          <w:spacing w:val="2"/>
          <w:sz w:val="24"/>
          <w:szCs w:val="24"/>
        </w:rPr>
        <w:t xml:space="preserve">ensivo y dispuso la remisión del expediente </w:t>
      </w:r>
      <w:r w:rsidR="009F3B38" w:rsidRPr="003A0B3D">
        <w:rPr>
          <w:rFonts w:cs="Tahoma"/>
          <w:spacing w:val="2"/>
          <w:sz w:val="24"/>
          <w:szCs w:val="24"/>
        </w:rPr>
        <w:t xml:space="preserve">digital </w:t>
      </w:r>
      <w:r w:rsidR="003F2F2C" w:rsidRPr="003A0B3D">
        <w:rPr>
          <w:rFonts w:cs="Tahoma"/>
          <w:spacing w:val="2"/>
          <w:sz w:val="24"/>
          <w:szCs w:val="24"/>
        </w:rPr>
        <w:t xml:space="preserve">y de </w:t>
      </w:r>
      <w:r w:rsidRPr="003A0B3D">
        <w:rPr>
          <w:rFonts w:cs="Tahoma"/>
          <w:spacing w:val="2"/>
          <w:sz w:val="24"/>
          <w:szCs w:val="24"/>
        </w:rPr>
        <w:t xml:space="preserve">los registros </w:t>
      </w:r>
      <w:r w:rsidR="000C5F4B" w:rsidRPr="003A0B3D">
        <w:rPr>
          <w:rFonts w:cs="Tahoma"/>
          <w:spacing w:val="2"/>
          <w:sz w:val="24"/>
          <w:szCs w:val="24"/>
        </w:rPr>
        <w:t xml:space="preserve">respectivos </w:t>
      </w:r>
      <w:r w:rsidRPr="003A0B3D">
        <w:rPr>
          <w:rFonts w:cs="Tahoma"/>
          <w:spacing w:val="2"/>
          <w:sz w:val="24"/>
          <w:szCs w:val="24"/>
        </w:rPr>
        <w:t xml:space="preserve">ante esta </w:t>
      </w:r>
      <w:r w:rsidR="009C487D" w:rsidRPr="003A0B3D">
        <w:rPr>
          <w:rFonts w:cs="Tahoma"/>
          <w:spacing w:val="2"/>
          <w:sz w:val="24"/>
          <w:szCs w:val="24"/>
        </w:rPr>
        <w:t xml:space="preserve">Sala </w:t>
      </w:r>
      <w:r w:rsidRPr="003A0B3D">
        <w:rPr>
          <w:rFonts w:cs="Tahoma"/>
          <w:spacing w:val="2"/>
          <w:sz w:val="24"/>
          <w:szCs w:val="24"/>
        </w:rPr>
        <w:t>con el fin de desatar la alzada.</w:t>
      </w:r>
    </w:p>
    <w:p w14:paraId="257B798F" w14:textId="77777777" w:rsidR="009F3B38" w:rsidRPr="003A0B3D" w:rsidRDefault="009F3B38" w:rsidP="003A0B3D">
      <w:pPr>
        <w:spacing w:line="276" w:lineRule="auto"/>
        <w:rPr>
          <w:rFonts w:cs="Tahoma"/>
          <w:spacing w:val="-4"/>
          <w:sz w:val="24"/>
          <w:szCs w:val="24"/>
          <w:lang w:val="es-ES_tradnl"/>
        </w:rPr>
      </w:pPr>
    </w:p>
    <w:p w14:paraId="0CF320D8" w14:textId="77777777" w:rsidR="009F3B38" w:rsidRPr="003A0B3D" w:rsidRDefault="009F3B38" w:rsidP="003A0B3D">
      <w:pPr>
        <w:spacing w:line="276" w:lineRule="auto"/>
        <w:rPr>
          <w:rStyle w:val="Algerian"/>
          <w:rFonts w:ascii="Tahoma" w:hAnsi="Tahoma" w:cs="Tahoma"/>
          <w:spacing w:val="-4"/>
          <w:sz w:val="24"/>
          <w:szCs w:val="24"/>
        </w:rPr>
      </w:pPr>
      <w:r w:rsidRPr="003A0B3D">
        <w:rPr>
          <w:rFonts w:ascii="Algerian" w:hAnsi="Algerian"/>
          <w:sz w:val="30"/>
          <w:szCs w:val="20"/>
        </w:rPr>
        <w:t>3.-</w:t>
      </w:r>
      <w:r w:rsidRPr="003A0B3D">
        <w:rPr>
          <w:rStyle w:val="Algerian"/>
          <w:rFonts w:ascii="Tahoma" w:hAnsi="Tahoma" w:cs="Tahoma"/>
          <w:spacing w:val="-4"/>
          <w:sz w:val="24"/>
          <w:szCs w:val="24"/>
        </w:rPr>
        <w:t xml:space="preserve"> </w:t>
      </w:r>
      <w:r w:rsidRPr="003A0B3D">
        <w:rPr>
          <w:rFonts w:cs="Tahoma"/>
          <w:spacing w:val="2"/>
          <w:sz w:val="24"/>
          <w:szCs w:val="24"/>
        </w:rPr>
        <w:t>Para resolver,</w:t>
      </w:r>
      <w:r w:rsidRPr="003A0B3D">
        <w:rPr>
          <w:rStyle w:val="Algerian"/>
          <w:rFonts w:ascii="Tahoma" w:hAnsi="Tahoma" w:cs="Tahoma"/>
          <w:spacing w:val="-4"/>
          <w:sz w:val="24"/>
          <w:szCs w:val="24"/>
        </w:rPr>
        <w:t xml:space="preserve"> </w:t>
      </w:r>
      <w:r w:rsidRPr="003A0B3D">
        <w:rPr>
          <w:rFonts w:ascii="Algerian" w:hAnsi="Algerian"/>
          <w:sz w:val="30"/>
          <w:szCs w:val="20"/>
        </w:rPr>
        <w:t>se considera</w:t>
      </w:r>
    </w:p>
    <w:p w14:paraId="663FB34B" w14:textId="77777777" w:rsidR="009F3B38" w:rsidRPr="003A0B3D" w:rsidRDefault="009F3B38" w:rsidP="003A0B3D">
      <w:pPr>
        <w:spacing w:line="276" w:lineRule="auto"/>
        <w:rPr>
          <w:rFonts w:cs="Tahoma"/>
          <w:spacing w:val="-4"/>
          <w:sz w:val="24"/>
          <w:szCs w:val="24"/>
        </w:rPr>
      </w:pPr>
    </w:p>
    <w:p w14:paraId="34CE2042" w14:textId="6620EA38" w:rsidR="009F3B38" w:rsidRPr="003A0B3D" w:rsidRDefault="009F3B38" w:rsidP="003A0B3D">
      <w:pPr>
        <w:spacing w:line="276" w:lineRule="auto"/>
        <w:rPr>
          <w:rFonts w:cs="Tahoma"/>
          <w:spacing w:val="-4"/>
          <w:sz w:val="24"/>
          <w:szCs w:val="24"/>
        </w:rPr>
      </w:pPr>
      <w:r w:rsidRPr="003A0B3D">
        <w:rPr>
          <w:rFonts w:cs="Tahoma"/>
          <w:spacing w:val="-4"/>
          <w:sz w:val="24"/>
          <w:szCs w:val="24"/>
        </w:rPr>
        <w:t>Para el surgimiento de la competencia funcional en segunda instancia, es indispensable</w:t>
      </w:r>
      <w:r w:rsidR="008E030B" w:rsidRPr="003A0B3D">
        <w:rPr>
          <w:rFonts w:cs="Tahoma"/>
          <w:spacing w:val="-4"/>
          <w:sz w:val="24"/>
          <w:szCs w:val="24"/>
        </w:rPr>
        <w:t xml:space="preserve"> </w:t>
      </w:r>
      <w:r w:rsidRPr="003A0B3D">
        <w:rPr>
          <w:rFonts w:cs="Tahoma"/>
          <w:spacing w:val="-4"/>
          <w:sz w:val="24"/>
          <w:szCs w:val="24"/>
        </w:rPr>
        <w:t xml:space="preserve">la interposición oportuna del recurso de apelación en forma principal o subsidiaria, que la impugnación sea interpuesta por un sujeto procesal habilitado para el efecto, y que la providencia contra la cual se interpone admita esa clase de impugnación; pero además, que la parte inconforme presente adecuada sustentación que dé al superior las bases suficientes para confrontar la posición del inconforme frente aquella asumida por el inferior, porque es la oportunidad única en que debe dar a conocer al </w:t>
      </w:r>
      <w:r w:rsidR="008E030B" w:rsidRPr="003A0B3D">
        <w:rPr>
          <w:rFonts w:cs="Tahoma"/>
          <w:i/>
          <w:iCs/>
          <w:spacing w:val="-4"/>
          <w:sz w:val="24"/>
          <w:szCs w:val="24"/>
        </w:rPr>
        <w:t>A</w:t>
      </w:r>
      <w:r w:rsidRPr="003A0B3D">
        <w:rPr>
          <w:rFonts w:cs="Tahoma"/>
          <w:i/>
          <w:iCs/>
          <w:spacing w:val="-4"/>
          <w:sz w:val="24"/>
          <w:szCs w:val="24"/>
        </w:rPr>
        <w:t>d</w:t>
      </w:r>
      <w:r w:rsidR="008E030B" w:rsidRPr="003A0B3D">
        <w:rPr>
          <w:rFonts w:cs="Tahoma"/>
          <w:i/>
          <w:iCs/>
          <w:spacing w:val="-4"/>
          <w:sz w:val="24"/>
          <w:szCs w:val="24"/>
        </w:rPr>
        <w:t xml:space="preserve"> </w:t>
      </w:r>
      <w:proofErr w:type="spellStart"/>
      <w:r w:rsidRPr="003A0B3D">
        <w:rPr>
          <w:rFonts w:cs="Tahoma"/>
          <w:i/>
          <w:iCs/>
          <w:spacing w:val="-4"/>
          <w:sz w:val="24"/>
          <w:szCs w:val="24"/>
        </w:rPr>
        <w:t>quem</w:t>
      </w:r>
      <w:proofErr w:type="spellEnd"/>
      <w:r w:rsidRPr="003A0B3D">
        <w:rPr>
          <w:rFonts w:cs="Tahoma"/>
          <w:spacing w:val="-4"/>
          <w:sz w:val="24"/>
          <w:szCs w:val="24"/>
        </w:rPr>
        <w:t xml:space="preserve"> los elementos de juicio en que se funda la censura.</w:t>
      </w:r>
    </w:p>
    <w:p w14:paraId="62B85FE9" w14:textId="77777777" w:rsidR="009F3B38" w:rsidRPr="003A0B3D" w:rsidRDefault="009F3B38" w:rsidP="003A0B3D">
      <w:pPr>
        <w:spacing w:line="276" w:lineRule="auto"/>
        <w:rPr>
          <w:rFonts w:cs="Tahoma"/>
          <w:spacing w:val="-4"/>
          <w:sz w:val="24"/>
          <w:szCs w:val="24"/>
        </w:rPr>
      </w:pPr>
    </w:p>
    <w:p w14:paraId="564468FA" w14:textId="77777777" w:rsidR="009F3B38" w:rsidRPr="003A0B3D" w:rsidRDefault="009F3B38" w:rsidP="003A0B3D">
      <w:pPr>
        <w:spacing w:line="276" w:lineRule="auto"/>
        <w:rPr>
          <w:rFonts w:cs="Tahoma"/>
          <w:spacing w:val="-4"/>
          <w:sz w:val="24"/>
          <w:szCs w:val="24"/>
        </w:rPr>
      </w:pPr>
      <w:r w:rsidRPr="003A0B3D">
        <w:rPr>
          <w:rFonts w:cs="Tahoma"/>
          <w:spacing w:val="-4"/>
          <w:sz w:val="24"/>
          <w:szCs w:val="24"/>
        </w:rPr>
        <w:t>No se trata de un requisito meramente formal, sino de la razón de ser del principio de la doble instancia, por cuanto no se puede pretender el examen de una decisión judicial que se presume ajustada a derecho, sin exponer los motivos que se tienen para el disenso. Precisamente el artículo 179 de la Ley 906/04 establece la obligación de sustentar el recurso por la parte o interviniente que lo interpone, so pena de declararlo desierto conforme lo previsto en el artículo 179</w:t>
      </w:r>
      <w:r w:rsidR="001E6E93" w:rsidRPr="003A0B3D">
        <w:rPr>
          <w:rFonts w:cs="Tahoma"/>
          <w:spacing w:val="-4"/>
          <w:sz w:val="24"/>
          <w:szCs w:val="24"/>
        </w:rPr>
        <w:t>A</w:t>
      </w:r>
      <w:r w:rsidRPr="003A0B3D">
        <w:rPr>
          <w:rFonts w:cs="Tahoma"/>
          <w:spacing w:val="-4"/>
          <w:sz w:val="24"/>
          <w:szCs w:val="24"/>
        </w:rPr>
        <w:t>.</w:t>
      </w:r>
    </w:p>
    <w:p w14:paraId="197C17EA" w14:textId="77777777" w:rsidR="009F3B38" w:rsidRPr="003A0B3D" w:rsidRDefault="009F3B38" w:rsidP="003A0B3D">
      <w:pPr>
        <w:spacing w:line="276" w:lineRule="auto"/>
        <w:rPr>
          <w:rFonts w:cs="Tahoma"/>
          <w:spacing w:val="-4"/>
          <w:sz w:val="24"/>
          <w:szCs w:val="24"/>
        </w:rPr>
      </w:pPr>
    </w:p>
    <w:p w14:paraId="48AE1E5C" w14:textId="17C65D2F" w:rsidR="009F3B38" w:rsidRPr="003A0B3D" w:rsidRDefault="009F3B38" w:rsidP="003A0B3D">
      <w:pPr>
        <w:spacing w:line="276" w:lineRule="auto"/>
        <w:rPr>
          <w:rFonts w:cs="Tahoma"/>
          <w:sz w:val="24"/>
          <w:szCs w:val="24"/>
        </w:rPr>
      </w:pPr>
      <w:r w:rsidRPr="003A0B3D">
        <w:rPr>
          <w:rFonts w:cs="Tahoma"/>
          <w:spacing w:val="-4"/>
          <w:sz w:val="24"/>
          <w:szCs w:val="24"/>
        </w:rPr>
        <w:t>Significa entonces, que no suplen el requisito de la sustentación expresiones abstractas que por su imprecisión y vaguedad no e</w:t>
      </w:r>
      <w:r w:rsidR="007231CB" w:rsidRPr="003A0B3D">
        <w:rPr>
          <w:rFonts w:cs="Tahoma"/>
          <w:spacing w:val="-4"/>
          <w:sz w:val="24"/>
          <w:szCs w:val="24"/>
        </w:rPr>
        <w:t xml:space="preserve">nuncian </w:t>
      </w:r>
      <w:r w:rsidRPr="003A0B3D">
        <w:rPr>
          <w:rFonts w:cs="Tahoma"/>
          <w:spacing w:val="-4"/>
          <w:sz w:val="24"/>
          <w:szCs w:val="24"/>
        </w:rPr>
        <w:t xml:space="preserve">ni siquiera implícitamente las razones o motivos de disenso, puesto que deben exponerse las razones de hecho y de derecho que motivan la inconformidad frente a lo resuelto, y presentar contraargumentos respecto al fundamento de la </w:t>
      </w:r>
      <w:r w:rsidR="000C5F4B" w:rsidRPr="003A0B3D">
        <w:rPr>
          <w:rFonts w:cs="Tahoma"/>
          <w:spacing w:val="-4"/>
          <w:sz w:val="24"/>
          <w:szCs w:val="24"/>
        </w:rPr>
        <w:t xml:space="preserve">sentencia </w:t>
      </w:r>
      <w:r w:rsidRPr="003A0B3D">
        <w:rPr>
          <w:rFonts w:cs="Tahoma"/>
          <w:spacing w:val="-4"/>
          <w:sz w:val="24"/>
          <w:szCs w:val="24"/>
        </w:rPr>
        <w:t>adoptada</w:t>
      </w:r>
      <w:r w:rsidR="000C5F4B" w:rsidRPr="003A0B3D">
        <w:rPr>
          <w:rFonts w:cs="Tahoma"/>
          <w:spacing w:val="-4"/>
          <w:sz w:val="24"/>
          <w:szCs w:val="24"/>
        </w:rPr>
        <w:t>.</w:t>
      </w:r>
    </w:p>
    <w:p w14:paraId="5ACF8BA8" w14:textId="77777777" w:rsidR="009F3B38" w:rsidRPr="003A0B3D" w:rsidRDefault="009F3B38" w:rsidP="003A0B3D">
      <w:pPr>
        <w:spacing w:line="276" w:lineRule="auto"/>
        <w:rPr>
          <w:rFonts w:cs="Tahoma"/>
          <w:spacing w:val="-4"/>
          <w:sz w:val="24"/>
          <w:szCs w:val="24"/>
        </w:rPr>
      </w:pPr>
    </w:p>
    <w:p w14:paraId="672D9CDF" w14:textId="77777777" w:rsidR="009F3B38" w:rsidRPr="003A0B3D" w:rsidRDefault="009F3B38" w:rsidP="003A0B3D">
      <w:pPr>
        <w:spacing w:line="276" w:lineRule="auto"/>
        <w:rPr>
          <w:rFonts w:cs="Tahoma"/>
          <w:spacing w:val="-4"/>
          <w:sz w:val="24"/>
          <w:szCs w:val="24"/>
        </w:rPr>
      </w:pPr>
      <w:r w:rsidRPr="003A0B3D">
        <w:rPr>
          <w:rFonts w:cs="Tahoma"/>
          <w:spacing w:val="-4"/>
          <w:sz w:val="24"/>
          <w:szCs w:val="24"/>
        </w:rPr>
        <w:t>Sobre el tema el órgano de cierre en materia penal ha indicado</w:t>
      </w:r>
      <w:r w:rsidRPr="003A0B3D">
        <w:rPr>
          <w:rStyle w:val="Refdenotaalpie"/>
          <w:rFonts w:ascii="Tahoma" w:eastAsia="Batang" w:hAnsi="Tahoma" w:cs="Tahoma"/>
          <w:bCs/>
          <w:sz w:val="24"/>
          <w:szCs w:val="24"/>
        </w:rPr>
        <w:footnoteReference w:id="1"/>
      </w:r>
      <w:r w:rsidRPr="003A0B3D">
        <w:rPr>
          <w:rFonts w:cs="Tahoma"/>
          <w:spacing w:val="-4"/>
          <w:sz w:val="24"/>
          <w:szCs w:val="24"/>
        </w:rPr>
        <w:t xml:space="preserve"> que: “</w:t>
      </w:r>
      <w:r w:rsidRPr="00D21FFB">
        <w:rPr>
          <w:rFonts w:cs="Tahoma"/>
          <w:spacing w:val="-4"/>
          <w:sz w:val="22"/>
          <w:szCs w:val="24"/>
        </w:rPr>
        <w:t>e</w:t>
      </w:r>
      <w:r w:rsidRPr="00D21FFB">
        <w:rPr>
          <w:rFonts w:cs="Tahoma"/>
          <w:sz w:val="22"/>
          <w:szCs w:val="24"/>
        </w:rPr>
        <w:t>l derecho a impugnar las decisiones judiciales entraña correlativamente para quien así procede la carga de exponer la respectiva sustentación, pues de no hacerlo obtendrá como sanción la declaratoria de desierto del recurso</w:t>
      </w:r>
      <w:r w:rsidRPr="003A0B3D">
        <w:rPr>
          <w:rFonts w:cs="Tahoma"/>
          <w:sz w:val="24"/>
          <w:szCs w:val="24"/>
        </w:rPr>
        <w:t>”, y para dar cumplimiento con esa exigencia la parte interesada debe: “</w:t>
      </w:r>
      <w:r w:rsidRPr="00D21FFB">
        <w:rPr>
          <w:rFonts w:cs="Tahoma"/>
          <w:bCs/>
          <w:sz w:val="22"/>
          <w:szCs w:val="24"/>
        </w:rPr>
        <w:t>concretar el tema o aspectos de los que disiente, presentando los argumentos fácticos o jurídicos que lo conducen a cuestionar la determinación impugnada, de manera que no es suficiente con que el recurrente exteriorice inconformidad general con la providencia que impugna</w:t>
      </w:r>
      <w:r w:rsidRPr="003A0B3D">
        <w:rPr>
          <w:rFonts w:cs="Tahoma"/>
          <w:bCs/>
          <w:sz w:val="24"/>
          <w:szCs w:val="24"/>
        </w:rPr>
        <w:t>”</w:t>
      </w:r>
      <w:r w:rsidRPr="003A0B3D">
        <w:rPr>
          <w:rStyle w:val="Refdenotaalpie"/>
          <w:rFonts w:ascii="Tahoma" w:eastAsia="Batang" w:hAnsi="Tahoma" w:cs="Tahoma"/>
          <w:bCs/>
          <w:sz w:val="24"/>
          <w:szCs w:val="24"/>
        </w:rPr>
        <w:footnoteReference w:id="2"/>
      </w:r>
      <w:r w:rsidRPr="003A0B3D">
        <w:rPr>
          <w:rFonts w:cs="Tahoma"/>
          <w:bCs/>
          <w:sz w:val="24"/>
          <w:szCs w:val="24"/>
        </w:rPr>
        <w:t>.</w:t>
      </w:r>
      <w:r w:rsidRPr="003A0B3D">
        <w:rPr>
          <w:rFonts w:cs="Tahoma"/>
          <w:spacing w:val="-4"/>
          <w:sz w:val="24"/>
          <w:szCs w:val="24"/>
        </w:rPr>
        <w:t xml:space="preserve"> </w:t>
      </w:r>
    </w:p>
    <w:p w14:paraId="5BE805FB" w14:textId="77777777" w:rsidR="00075F92" w:rsidRPr="003A0B3D" w:rsidRDefault="00075F92" w:rsidP="003A0B3D">
      <w:pPr>
        <w:spacing w:line="276" w:lineRule="auto"/>
        <w:rPr>
          <w:rFonts w:cs="Tahoma"/>
          <w:spacing w:val="-4"/>
          <w:sz w:val="24"/>
          <w:szCs w:val="24"/>
        </w:rPr>
      </w:pPr>
    </w:p>
    <w:p w14:paraId="6F3A4865" w14:textId="77777777" w:rsidR="00075F92" w:rsidRPr="003A0B3D" w:rsidRDefault="00075F92" w:rsidP="003A0B3D">
      <w:pPr>
        <w:spacing w:line="276" w:lineRule="auto"/>
        <w:rPr>
          <w:rFonts w:cs="Tahoma"/>
          <w:spacing w:val="-4"/>
          <w:sz w:val="24"/>
          <w:szCs w:val="24"/>
        </w:rPr>
      </w:pPr>
      <w:r w:rsidRPr="003A0B3D">
        <w:rPr>
          <w:rFonts w:cs="Tahoma"/>
          <w:spacing w:val="-4"/>
          <w:sz w:val="24"/>
          <w:szCs w:val="24"/>
        </w:rPr>
        <w:t xml:space="preserve">Así mismo, la Alta Corporación, ha sostenido que: </w:t>
      </w:r>
    </w:p>
    <w:p w14:paraId="29F83F35" w14:textId="77777777" w:rsidR="00075F92" w:rsidRPr="003A0B3D" w:rsidRDefault="00075F92" w:rsidP="003A0B3D">
      <w:pPr>
        <w:spacing w:line="276" w:lineRule="auto"/>
        <w:ind w:left="567" w:right="618"/>
        <w:rPr>
          <w:rFonts w:cs="Tahoma"/>
          <w:bCs/>
          <w:sz w:val="24"/>
          <w:szCs w:val="24"/>
        </w:rPr>
      </w:pPr>
    </w:p>
    <w:p w14:paraId="339D991D" w14:textId="77777777" w:rsidR="00075F92" w:rsidRPr="00253C21" w:rsidRDefault="00075F92" w:rsidP="00253C21">
      <w:pPr>
        <w:spacing w:line="240" w:lineRule="auto"/>
        <w:ind w:left="426" w:right="420"/>
        <w:rPr>
          <w:rFonts w:cs="Tahoma"/>
          <w:bCs/>
          <w:sz w:val="22"/>
          <w:szCs w:val="24"/>
        </w:rPr>
      </w:pPr>
      <w:r w:rsidRPr="00253C21">
        <w:rPr>
          <w:rFonts w:cs="Tahoma"/>
          <w:bCs/>
          <w:sz w:val="22"/>
          <w:szCs w:val="24"/>
        </w:rPr>
        <w:t>“[…] el recurso de apelación impone a la parte impugnante la carga argumentativa de demostrar el yerro en que incurrió el juzgador en la decisión recurrida, labor en la cual le es exigible que haga manifiestos los argumentos de hecho y de derecho por los cuales estima errada la postura del funcionario de primera instancia.</w:t>
      </w:r>
    </w:p>
    <w:p w14:paraId="4007C49A" w14:textId="77777777" w:rsidR="00075F92" w:rsidRPr="00253C21" w:rsidRDefault="00075F92" w:rsidP="00253C21">
      <w:pPr>
        <w:spacing w:line="240" w:lineRule="auto"/>
        <w:ind w:left="426" w:right="420"/>
        <w:rPr>
          <w:rFonts w:cs="Tahoma"/>
          <w:bCs/>
          <w:sz w:val="22"/>
          <w:szCs w:val="24"/>
        </w:rPr>
      </w:pPr>
    </w:p>
    <w:p w14:paraId="050E2456" w14:textId="77777777" w:rsidR="00075F92" w:rsidRPr="00253C21" w:rsidRDefault="00075F92" w:rsidP="00D21FFB">
      <w:pPr>
        <w:spacing w:line="240" w:lineRule="auto"/>
        <w:ind w:left="426" w:right="420"/>
        <w:rPr>
          <w:rFonts w:cs="Tahoma"/>
          <w:bCs/>
          <w:sz w:val="22"/>
          <w:szCs w:val="24"/>
        </w:rPr>
      </w:pPr>
      <w:r w:rsidRPr="00253C21">
        <w:rPr>
          <w:rFonts w:cs="Tahoma"/>
          <w:bCs/>
          <w:sz w:val="22"/>
          <w:szCs w:val="24"/>
        </w:rPr>
        <w:t xml:space="preserve">Por ello, ha dicho invariablemente la Sala, con el propósito de sustentar en debida forma el recurso no basta con manifestar de manera abstracta la inconformidad con el fallo o insistir en los argumentos expuestos en etapas previas de la actuación. Por el contrario, se requiere atacar los fundamentos de la providencia recurrida, pues solo de esta manera es posible para la segunda instancia abordar el ejercicio dialéctico respecto de su acierto y legalidad. </w:t>
      </w:r>
    </w:p>
    <w:p w14:paraId="0A94A94C" w14:textId="77777777" w:rsidR="00075F92" w:rsidRPr="00253C21" w:rsidRDefault="00075F92" w:rsidP="00253C21">
      <w:pPr>
        <w:spacing w:line="240" w:lineRule="auto"/>
        <w:ind w:left="426" w:right="420"/>
        <w:rPr>
          <w:rFonts w:cs="Tahoma"/>
          <w:bCs/>
          <w:sz w:val="22"/>
          <w:szCs w:val="24"/>
        </w:rPr>
      </w:pPr>
    </w:p>
    <w:p w14:paraId="042F88FA" w14:textId="77777777" w:rsidR="00075F92" w:rsidRPr="003A0B3D" w:rsidRDefault="00075F92" w:rsidP="00253C21">
      <w:pPr>
        <w:spacing w:line="240" w:lineRule="auto"/>
        <w:ind w:left="426" w:right="420"/>
        <w:rPr>
          <w:rFonts w:cs="Tahoma"/>
          <w:bCs/>
          <w:sz w:val="24"/>
          <w:szCs w:val="24"/>
        </w:rPr>
      </w:pPr>
      <w:r w:rsidRPr="00253C21">
        <w:rPr>
          <w:rFonts w:cs="Tahoma"/>
          <w:bCs/>
          <w:sz w:val="22"/>
          <w:szCs w:val="24"/>
        </w:rPr>
        <w:t>Por ende, si el apelante incumple la carga de sustentar en debida forma el recurso, el superior carece de competencia para pronunciarse sobre la decisión censurada, la cual está lógica y jurídicamente limitada a las razones de inconformidad del impugnante y a los asuntos inescindiblemente ligados a aquéllas”</w:t>
      </w:r>
      <w:r w:rsidRPr="003A0B3D">
        <w:rPr>
          <w:rStyle w:val="Refdenotaalpie"/>
          <w:rFonts w:ascii="Tahoma" w:eastAsia="Batang" w:hAnsi="Tahoma" w:cs="Tahoma"/>
          <w:bCs/>
          <w:sz w:val="24"/>
          <w:szCs w:val="24"/>
        </w:rPr>
        <w:footnoteReference w:id="3"/>
      </w:r>
      <w:r w:rsidRPr="003A0B3D">
        <w:rPr>
          <w:rFonts w:cs="Tahoma"/>
          <w:bCs/>
          <w:sz w:val="24"/>
          <w:szCs w:val="24"/>
        </w:rPr>
        <w:t>.</w:t>
      </w:r>
    </w:p>
    <w:p w14:paraId="2EA6936C" w14:textId="77777777" w:rsidR="00075F92" w:rsidRPr="003A0B3D" w:rsidRDefault="00075F92" w:rsidP="003A0B3D">
      <w:pPr>
        <w:pStyle w:val="Textoindependiente"/>
        <w:widowControl w:val="0"/>
        <w:spacing w:line="276" w:lineRule="auto"/>
        <w:ind w:right="-232"/>
        <w:rPr>
          <w:rFonts w:ascii="Tahoma" w:hAnsi="Tahoma" w:cs="Tahoma"/>
          <w:spacing w:val="-4"/>
        </w:rPr>
      </w:pPr>
    </w:p>
    <w:p w14:paraId="47725D57" w14:textId="77777777" w:rsidR="006A7601" w:rsidRPr="003A0B3D" w:rsidRDefault="006A7601" w:rsidP="003A0B3D">
      <w:pPr>
        <w:spacing w:line="276" w:lineRule="auto"/>
        <w:rPr>
          <w:rFonts w:cs="Tahoma"/>
          <w:spacing w:val="-4"/>
          <w:sz w:val="24"/>
          <w:szCs w:val="24"/>
        </w:rPr>
      </w:pPr>
      <w:r w:rsidRPr="003A0B3D">
        <w:rPr>
          <w:rFonts w:cs="Tahoma"/>
          <w:spacing w:val="-4"/>
          <w:sz w:val="24"/>
          <w:szCs w:val="24"/>
        </w:rPr>
        <w:t>De igual manera desde tiempo atrás, en relación con el interés para recurrir, cuando la emisión del fallo de condena surgió como consecuencia de un consenso, la Corte ha sostenido:</w:t>
      </w:r>
    </w:p>
    <w:p w14:paraId="0973BAE9" w14:textId="77777777" w:rsidR="006A7601" w:rsidRPr="003A0B3D" w:rsidRDefault="006A7601" w:rsidP="003A0B3D">
      <w:pPr>
        <w:spacing w:line="276" w:lineRule="auto"/>
        <w:ind w:left="567" w:right="618"/>
        <w:rPr>
          <w:rFonts w:cs="Tahoma"/>
          <w:bCs/>
          <w:sz w:val="24"/>
          <w:szCs w:val="24"/>
        </w:rPr>
      </w:pPr>
    </w:p>
    <w:p w14:paraId="37D62A20" w14:textId="77777777" w:rsidR="006A7601" w:rsidRPr="00253C21" w:rsidRDefault="006A7601" w:rsidP="00253C21">
      <w:pPr>
        <w:spacing w:line="240" w:lineRule="auto"/>
        <w:ind w:left="426" w:right="420"/>
        <w:rPr>
          <w:rFonts w:cs="Tahoma"/>
          <w:bCs/>
          <w:sz w:val="22"/>
          <w:szCs w:val="24"/>
        </w:rPr>
      </w:pPr>
      <w:r w:rsidRPr="00253C21">
        <w:rPr>
          <w:rFonts w:cs="Tahoma"/>
          <w:bCs/>
          <w:sz w:val="22"/>
          <w:szCs w:val="24"/>
        </w:rPr>
        <w:t>“Como lo ha indicado la Corte en reiterados pronunciamientos, la aceptación de cargos, como una modalidad de terminación anticipada del proceso, obedece a una política criminal cifrada en el objetivo de lograr eficacia y eficiencia en la administración de justicia, con miras a que el imputado o acusado, según el caso, resulte beneficiado con una sustancial rebaja en la pena que habría de imponérsele si el fallo se profiere como culminación del juicio oral, de una parte y, de otra, que el Estado ahorre esfuerzos y recursos en su investigación y juzgamiento.</w:t>
      </w:r>
    </w:p>
    <w:p w14:paraId="2E1AF148" w14:textId="77777777" w:rsidR="006A7601" w:rsidRPr="00253C21" w:rsidRDefault="006A7601" w:rsidP="00253C21">
      <w:pPr>
        <w:spacing w:line="240" w:lineRule="auto"/>
        <w:ind w:left="426" w:right="420"/>
        <w:rPr>
          <w:rFonts w:cs="Tahoma"/>
          <w:bCs/>
          <w:sz w:val="22"/>
          <w:szCs w:val="24"/>
        </w:rPr>
      </w:pPr>
    </w:p>
    <w:p w14:paraId="5AA720F6" w14:textId="77777777" w:rsidR="006A7601" w:rsidRPr="00253C21" w:rsidRDefault="006A7601" w:rsidP="00253C21">
      <w:pPr>
        <w:spacing w:line="240" w:lineRule="auto"/>
        <w:ind w:left="426" w:right="420"/>
        <w:rPr>
          <w:rFonts w:cs="Tahoma"/>
          <w:bCs/>
          <w:sz w:val="22"/>
          <w:szCs w:val="24"/>
        </w:rPr>
      </w:pPr>
      <w:r w:rsidRPr="00253C21">
        <w:rPr>
          <w:rFonts w:cs="Tahoma"/>
          <w:bCs/>
          <w:sz w:val="22"/>
          <w:szCs w:val="24"/>
        </w:rPr>
        <w:t>En tales condiciones, dentro del marco del principio de lealtad que las partes deben acatar, por surgir la aceptación de cargos de un acto unilateral del imputado o acusado o, de un comportamiento pactado o acordado con el fiscal, no hay lugar a controvertir con posterioridad la misma respecto de la existencia de la conducta punible, así como tampoco la responsabilidad del procesado.</w:t>
      </w:r>
    </w:p>
    <w:p w14:paraId="58A853FC" w14:textId="77777777" w:rsidR="006A7601" w:rsidRPr="00253C21" w:rsidRDefault="006A7601" w:rsidP="00253C21">
      <w:pPr>
        <w:spacing w:line="240" w:lineRule="auto"/>
        <w:ind w:left="426" w:right="420"/>
        <w:rPr>
          <w:rFonts w:cs="Tahoma"/>
          <w:bCs/>
          <w:sz w:val="22"/>
          <w:szCs w:val="24"/>
        </w:rPr>
      </w:pPr>
    </w:p>
    <w:p w14:paraId="4CAAC37C" w14:textId="77777777" w:rsidR="006A7601" w:rsidRPr="00253C21" w:rsidRDefault="006A7601" w:rsidP="00253C21">
      <w:pPr>
        <w:spacing w:line="240" w:lineRule="auto"/>
        <w:ind w:left="426" w:right="420"/>
        <w:rPr>
          <w:rFonts w:cs="Tahoma"/>
          <w:bCs/>
          <w:sz w:val="22"/>
          <w:szCs w:val="24"/>
        </w:rPr>
      </w:pPr>
      <w:r w:rsidRPr="00253C21">
        <w:rPr>
          <w:rFonts w:cs="Tahoma"/>
          <w:bCs/>
          <w:sz w:val="22"/>
          <w:szCs w:val="24"/>
        </w:rPr>
        <w:t>Es decir, cuando el juez de control de garantías o el de conocimiento acepta el allanamiento o aprueba el acuerdo, en la medida en que colige que el mismo fue un acto oral, voluntario, libre, espontáneo, informado y asistido, surge en el procesado la improcedencia de retractarse de lo que ha admitido. En consecuencia, resulta incompatible con el principio de lealtad toda impugnación que busque deshacer los efectos de la aceptación de la responsabilidad.</w:t>
      </w:r>
    </w:p>
    <w:p w14:paraId="4E1A5D30" w14:textId="77777777" w:rsidR="006A7601" w:rsidRPr="00253C21" w:rsidRDefault="006A7601" w:rsidP="00253C21">
      <w:pPr>
        <w:spacing w:line="240" w:lineRule="auto"/>
        <w:ind w:left="426" w:right="420"/>
        <w:rPr>
          <w:rFonts w:cs="Tahoma"/>
          <w:bCs/>
          <w:sz w:val="22"/>
          <w:szCs w:val="24"/>
        </w:rPr>
      </w:pPr>
    </w:p>
    <w:p w14:paraId="6475DEEA" w14:textId="77777777" w:rsidR="006A7601" w:rsidRPr="00253C21" w:rsidRDefault="006A7601" w:rsidP="00253C21">
      <w:pPr>
        <w:spacing w:line="240" w:lineRule="auto"/>
        <w:ind w:left="426" w:right="420"/>
        <w:rPr>
          <w:rFonts w:cs="Tahoma"/>
          <w:bCs/>
          <w:sz w:val="22"/>
          <w:szCs w:val="24"/>
        </w:rPr>
      </w:pPr>
      <w:r w:rsidRPr="003611C2">
        <w:rPr>
          <w:rFonts w:cs="Tahoma"/>
          <w:b/>
          <w:bCs/>
          <w:sz w:val="22"/>
          <w:szCs w:val="24"/>
        </w:rPr>
        <w:t>Sólo el sentenciado tiene interés para controvertir a través de los recursos (apelación o casación) la vulneración de sus garantías fundamentales, el quantum de la pena y los aspectos referidos a su determinación</w:t>
      </w:r>
      <w:r w:rsidRPr="00253C21">
        <w:rPr>
          <w:rFonts w:cs="Tahoma"/>
          <w:bCs/>
          <w:sz w:val="22"/>
          <w:szCs w:val="24"/>
        </w:rPr>
        <w:t xml:space="preserve">. En este último evento tampoco se puede mostrar inconformidad a quien </w:t>
      </w:r>
      <w:proofErr w:type="spellStart"/>
      <w:r w:rsidRPr="00253C21">
        <w:rPr>
          <w:rFonts w:cs="Tahoma"/>
          <w:bCs/>
          <w:sz w:val="22"/>
          <w:szCs w:val="24"/>
        </w:rPr>
        <w:t>preacuerda</w:t>
      </w:r>
      <w:proofErr w:type="spellEnd"/>
      <w:r w:rsidRPr="00253C21">
        <w:rPr>
          <w:rFonts w:cs="Tahoma"/>
          <w:bCs/>
          <w:sz w:val="22"/>
          <w:szCs w:val="24"/>
        </w:rPr>
        <w:t xml:space="preserve"> con la fiscalía los términos de su responsabilidad y de la sanción, siempre y cuando el juez los haya respetado”.</w:t>
      </w:r>
      <w:r w:rsidRPr="003A0B3D">
        <w:rPr>
          <w:rStyle w:val="Refdenotaalpie"/>
          <w:rFonts w:ascii="Tahoma" w:eastAsia="Batang" w:hAnsi="Tahoma" w:cs="Tahoma"/>
          <w:bCs/>
          <w:sz w:val="24"/>
          <w:szCs w:val="24"/>
        </w:rPr>
        <w:footnoteReference w:id="4"/>
      </w:r>
      <w:r w:rsidRPr="003A0B3D">
        <w:rPr>
          <w:rFonts w:cs="Tahoma"/>
          <w:bCs/>
          <w:sz w:val="24"/>
          <w:szCs w:val="24"/>
        </w:rPr>
        <w:t xml:space="preserve"> </w:t>
      </w:r>
      <w:r w:rsidRPr="00253C21">
        <w:rPr>
          <w:rFonts w:cs="Tahoma"/>
          <w:bCs/>
          <w:sz w:val="22"/>
          <w:szCs w:val="24"/>
        </w:rPr>
        <w:t>-negrilla de la Sala-</w:t>
      </w:r>
    </w:p>
    <w:p w14:paraId="18F5A71A" w14:textId="77777777" w:rsidR="006A7601" w:rsidRPr="003A0B3D" w:rsidRDefault="006A7601" w:rsidP="003A0B3D">
      <w:pPr>
        <w:pStyle w:val="Textoindependiente"/>
        <w:widowControl w:val="0"/>
        <w:spacing w:line="276" w:lineRule="auto"/>
        <w:ind w:right="-232"/>
        <w:rPr>
          <w:rFonts w:ascii="Tahoma" w:hAnsi="Tahoma" w:cs="Tahoma"/>
          <w:spacing w:val="-4"/>
        </w:rPr>
      </w:pPr>
    </w:p>
    <w:p w14:paraId="23186019" w14:textId="77777777" w:rsidR="001E6E93" w:rsidRPr="003A0B3D" w:rsidRDefault="009F3B38" w:rsidP="003A0B3D">
      <w:pPr>
        <w:spacing w:line="276" w:lineRule="auto"/>
        <w:rPr>
          <w:rFonts w:cs="Tahoma"/>
          <w:spacing w:val="-4"/>
          <w:sz w:val="24"/>
          <w:szCs w:val="24"/>
        </w:rPr>
      </w:pPr>
      <w:r w:rsidRPr="003A0B3D">
        <w:rPr>
          <w:rFonts w:cs="Tahoma"/>
          <w:spacing w:val="-4"/>
          <w:sz w:val="24"/>
          <w:szCs w:val="24"/>
        </w:rPr>
        <w:t>En el caso concreto, quien apeló fue el defensor del procesado,</w:t>
      </w:r>
      <w:r w:rsidR="00FF1748" w:rsidRPr="003A0B3D">
        <w:rPr>
          <w:rFonts w:cs="Tahoma"/>
          <w:spacing w:val="-4"/>
          <w:sz w:val="24"/>
          <w:szCs w:val="24"/>
        </w:rPr>
        <w:t xml:space="preserve"> y </w:t>
      </w:r>
      <w:r w:rsidRPr="003A0B3D">
        <w:rPr>
          <w:rFonts w:cs="Tahoma"/>
          <w:spacing w:val="-4"/>
          <w:sz w:val="24"/>
          <w:szCs w:val="24"/>
        </w:rPr>
        <w:t xml:space="preserve"> </w:t>
      </w:r>
      <w:r w:rsidR="006A7601" w:rsidRPr="003A0B3D">
        <w:rPr>
          <w:rFonts w:cs="Tahoma"/>
          <w:spacing w:val="-4"/>
          <w:sz w:val="24"/>
          <w:szCs w:val="24"/>
        </w:rPr>
        <w:t>como quiera que la sentencia que en su momento emitió el Juzgado Primero Penal del Circuito, lo fue precisamente por la admisión tempra</w:t>
      </w:r>
      <w:r w:rsidR="001E6E93" w:rsidRPr="003A0B3D">
        <w:rPr>
          <w:rFonts w:cs="Tahoma"/>
          <w:spacing w:val="-4"/>
          <w:sz w:val="24"/>
          <w:szCs w:val="24"/>
        </w:rPr>
        <w:t>n</w:t>
      </w:r>
      <w:r w:rsidR="006A7601" w:rsidRPr="003A0B3D">
        <w:rPr>
          <w:rFonts w:cs="Tahoma"/>
          <w:spacing w:val="-4"/>
          <w:sz w:val="24"/>
          <w:szCs w:val="24"/>
        </w:rPr>
        <w:t xml:space="preserve">a de cargos por la vía del preacuerdo, </w:t>
      </w:r>
      <w:r w:rsidR="001E6E93" w:rsidRPr="003A0B3D">
        <w:rPr>
          <w:rFonts w:cs="Tahoma"/>
          <w:spacing w:val="-4"/>
          <w:sz w:val="24"/>
          <w:szCs w:val="24"/>
        </w:rPr>
        <w:t>se esper</w:t>
      </w:r>
      <w:r w:rsidR="00603093" w:rsidRPr="003A0B3D">
        <w:rPr>
          <w:rFonts w:cs="Tahoma"/>
          <w:spacing w:val="-4"/>
          <w:sz w:val="24"/>
          <w:szCs w:val="24"/>
        </w:rPr>
        <w:t xml:space="preserve">aba </w:t>
      </w:r>
      <w:r w:rsidR="001E6E93" w:rsidRPr="003A0B3D">
        <w:rPr>
          <w:rFonts w:cs="Tahoma"/>
          <w:spacing w:val="-4"/>
          <w:sz w:val="24"/>
          <w:szCs w:val="24"/>
        </w:rPr>
        <w:t xml:space="preserve">que el letrado mostrara su inconformidad ya fuera por la pena impuesta, los sustitutos penales </w:t>
      </w:r>
      <w:r w:rsidR="00B01ECE" w:rsidRPr="003A0B3D">
        <w:rPr>
          <w:rFonts w:cs="Tahoma"/>
          <w:spacing w:val="-4"/>
          <w:sz w:val="24"/>
          <w:szCs w:val="24"/>
        </w:rPr>
        <w:t xml:space="preserve">-como lo dio a entender al inicio de su escrito- </w:t>
      </w:r>
      <w:r w:rsidR="001E6E93" w:rsidRPr="003A0B3D">
        <w:rPr>
          <w:rFonts w:cs="Tahoma"/>
          <w:spacing w:val="-4"/>
          <w:sz w:val="24"/>
          <w:szCs w:val="24"/>
        </w:rPr>
        <w:t xml:space="preserve">o alegara la presunta vulneración </w:t>
      </w:r>
      <w:r w:rsidR="001E6E93" w:rsidRPr="003A0B3D">
        <w:rPr>
          <w:rFonts w:cs="Tahoma"/>
          <w:spacing w:val="-4"/>
          <w:sz w:val="24"/>
          <w:szCs w:val="24"/>
        </w:rPr>
        <w:lastRenderedPageBreak/>
        <w:t>de derechos y garantías fundamentales del sentenciado</w:t>
      </w:r>
      <w:r w:rsidR="00603093" w:rsidRPr="003A0B3D">
        <w:rPr>
          <w:rFonts w:cs="Tahoma"/>
          <w:spacing w:val="-4"/>
          <w:sz w:val="24"/>
          <w:szCs w:val="24"/>
        </w:rPr>
        <w:t xml:space="preserve"> respecto a la admisión de responsabilidad</w:t>
      </w:r>
      <w:r w:rsidR="001E6E93" w:rsidRPr="003A0B3D">
        <w:rPr>
          <w:rFonts w:cs="Tahoma"/>
          <w:spacing w:val="-4"/>
          <w:sz w:val="24"/>
          <w:szCs w:val="24"/>
        </w:rPr>
        <w:t>, lo que acá no ocurrió.</w:t>
      </w:r>
    </w:p>
    <w:p w14:paraId="792B55C7" w14:textId="77777777" w:rsidR="001E6E93" w:rsidRPr="003A0B3D" w:rsidRDefault="001E6E93" w:rsidP="003A0B3D">
      <w:pPr>
        <w:spacing w:line="276" w:lineRule="auto"/>
        <w:rPr>
          <w:rFonts w:cs="Tahoma"/>
          <w:spacing w:val="-4"/>
          <w:sz w:val="24"/>
          <w:szCs w:val="24"/>
        </w:rPr>
      </w:pPr>
    </w:p>
    <w:p w14:paraId="0E86A410" w14:textId="7927F609" w:rsidR="001E6E93" w:rsidRPr="003A0B3D" w:rsidRDefault="005923B1" w:rsidP="003A0B3D">
      <w:pPr>
        <w:spacing w:line="276" w:lineRule="auto"/>
        <w:rPr>
          <w:rFonts w:cs="Tahoma"/>
          <w:spacing w:val="-4"/>
          <w:sz w:val="24"/>
          <w:szCs w:val="24"/>
        </w:rPr>
      </w:pPr>
      <w:r w:rsidRPr="003A0B3D">
        <w:rPr>
          <w:rFonts w:cs="Tahoma"/>
          <w:spacing w:val="-4"/>
          <w:sz w:val="24"/>
          <w:szCs w:val="24"/>
        </w:rPr>
        <w:t xml:space="preserve">Y es que en este asunto, </w:t>
      </w:r>
      <w:r w:rsidR="001E6E93" w:rsidRPr="003A0B3D">
        <w:rPr>
          <w:rFonts w:cs="Tahoma"/>
          <w:spacing w:val="-4"/>
          <w:sz w:val="24"/>
          <w:szCs w:val="24"/>
        </w:rPr>
        <w:t xml:space="preserve">como viene de verse, quien asiste contractualmente los intereses del señor </w:t>
      </w:r>
      <w:r w:rsidR="001E6E93" w:rsidRPr="003A0B3D">
        <w:rPr>
          <w:rFonts w:cs="Tahoma"/>
          <w:b/>
          <w:spacing w:val="-4"/>
          <w:sz w:val="24"/>
          <w:szCs w:val="24"/>
        </w:rPr>
        <w:t>JS</w:t>
      </w:r>
      <w:r w:rsidR="001E6E93" w:rsidRPr="003A0B3D">
        <w:rPr>
          <w:rFonts w:cs="Tahoma"/>
          <w:spacing w:val="-4"/>
          <w:sz w:val="24"/>
          <w:szCs w:val="24"/>
        </w:rPr>
        <w:t xml:space="preserve">, en contravía de las opciones que tenía para recurrir la sentencia de condena, sustentó la misma </w:t>
      </w:r>
      <w:r w:rsidR="00B01ECE" w:rsidRPr="003A0B3D">
        <w:rPr>
          <w:rFonts w:cs="Tahoma"/>
          <w:spacing w:val="-4"/>
          <w:sz w:val="24"/>
          <w:szCs w:val="24"/>
        </w:rPr>
        <w:t xml:space="preserve">única y exclusivamente </w:t>
      </w:r>
      <w:r w:rsidR="001E6E93" w:rsidRPr="003A0B3D">
        <w:rPr>
          <w:rFonts w:cs="Tahoma"/>
          <w:spacing w:val="-4"/>
          <w:sz w:val="24"/>
          <w:szCs w:val="24"/>
        </w:rPr>
        <w:t xml:space="preserve">en el hecho que la condena emitida </w:t>
      </w:r>
      <w:r w:rsidRPr="003A0B3D">
        <w:rPr>
          <w:rFonts w:cs="Tahoma"/>
          <w:spacing w:val="-4"/>
          <w:sz w:val="24"/>
          <w:szCs w:val="24"/>
        </w:rPr>
        <w:t xml:space="preserve">frente a </w:t>
      </w:r>
      <w:r w:rsidR="00B01ECE" w:rsidRPr="003A0B3D">
        <w:rPr>
          <w:rFonts w:cs="Tahoma"/>
          <w:spacing w:val="-4"/>
          <w:sz w:val="24"/>
          <w:szCs w:val="24"/>
        </w:rPr>
        <w:t xml:space="preserve">su cliente </w:t>
      </w:r>
      <w:r w:rsidR="001E6E93" w:rsidRPr="003A0B3D">
        <w:rPr>
          <w:rFonts w:cs="Tahoma"/>
          <w:spacing w:val="-4"/>
          <w:sz w:val="24"/>
          <w:szCs w:val="24"/>
        </w:rPr>
        <w:t>se basó en lo expuesto por la víctima, sin darle posibilidad a</w:t>
      </w:r>
      <w:r w:rsidR="00B01ECE" w:rsidRPr="003A0B3D">
        <w:rPr>
          <w:rFonts w:cs="Tahoma"/>
          <w:spacing w:val="-4"/>
          <w:sz w:val="24"/>
          <w:szCs w:val="24"/>
        </w:rPr>
        <w:t xml:space="preserve"> este </w:t>
      </w:r>
      <w:r w:rsidR="001E6E93" w:rsidRPr="003A0B3D">
        <w:rPr>
          <w:rFonts w:cs="Tahoma"/>
          <w:spacing w:val="-4"/>
          <w:sz w:val="24"/>
          <w:szCs w:val="24"/>
        </w:rPr>
        <w:t xml:space="preserve">de defenderse, </w:t>
      </w:r>
      <w:r w:rsidR="00603093" w:rsidRPr="003A0B3D">
        <w:rPr>
          <w:rFonts w:cs="Tahoma"/>
          <w:spacing w:val="-4"/>
          <w:sz w:val="24"/>
          <w:szCs w:val="24"/>
        </w:rPr>
        <w:t xml:space="preserve">así como </w:t>
      </w:r>
      <w:r w:rsidR="001E6E93" w:rsidRPr="003A0B3D">
        <w:rPr>
          <w:rFonts w:cs="Tahoma"/>
          <w:spacing w:val="-4"/>
          <w:sz w:val="24"/>
          <w:szCs w:val="24"/>
        </w:rPr>
        <w:t xml:space="preserve">existir un testigo que afirma lo contrario a la presunta afectada, </w:t>
      </w:r>
      <w:r w:rsidR="00603093" w:rsidRPr="003A0B3D">
        <w:rPr>
          <w:rFonts w:cs="Tahoma"/>
          <w:spacing w:val="-4"/>
          <w:sz w:val="24"/>
          <w:szCs w:val="24"/>
        </w:rPr>
        <w:t xml:space="preserve"> y otros ciudadanos </w:t>
      </w:r>
      <w:r w:rsidR="001E6E93" w:rsidRPr="003A0B3D">
        <w:rPr>
          <w:rFonts w:cs="Tahoma"/>
          <w:spacing w:val="-4"/>
          <w:sz w:val="24"/>
          <w:szCs w:val="24"/>
        </w:rPr>
        <w:t xml:space="preserve">que pueden dar fe de la calidad de persona que es el procesado. </w:t>
      </w:r>
      <w:r w:rsidR="00B01ECE" w:rsidRPr="003A0B3D">
        <w:rPr>
          <w:rFonts w:cs="Tahoma"/>
          <w:spacing w:val="-4"/>
          <w:sz w:val="24"/>
          <w:szCs w:val="24"/>
        </w:rPr>
        <w:t xml:space="preserve"> Respecto a los beneficios liberatorios que se le negaron a su prohijado, pese a que el defensor hizo alusión a ello al inicio de su alzada, nada sustentó sobre ese particular.</w:t>
      </w:r>
    </w:p>
    <w:p w14:paraId="5E50BB86" w14:textId="77777777" w:rsidR="001E6E93" w:rsidRPr="003A0B3D" w:rsidRDefault="001E6E93" w:rsidP="003A0B3D">
      <w:pPr>
        <w:spacing w:line="276" w:lineRule="auto"/>
        <w:rPr>
          <w:rFonts w:cs="Tahoma"/>
          <w:spacing w:val="-4"/>
          <w:sz w:val="24"/>
          <w:szCs w:val="24"/>
        </w:rPr>
      </w:pPr>
    </w:p>
    <w:p w14:paraId="5A36E8FB" w14:textId="77777777" w:rsidR="005F56D5" w:rsidRPr="003A0B3D" w:rsidRDefault="001E6E93" w:rsidP="003A0B3D">
      <w:pPr>
        <w:spacing w:line="276" w:lineRule="auto"/>
        <w:rPr>
          <w:rFonts w:cs="Tahoma"/>
          <w:color w:val="1E191A"/>
          <w:sz w:val="24"/>
          <w:szCs w:val="24"/>
          <w:shd w:val="clear" w:color="auto" w:fill="FFFFFF"/>
        </w:rPr>
      </w:pPr>
      <w:r w:rsidRPr="003A0B3D">
        <w:rPr>
          <w:rFonts w:cs="Tahoma"/>
          <w:spacing w:val="-4"/>
          <w:sz w:val="24"/>
          <w:szCs w:val="24"/>
        </w:rPr>
        <w:t xml:space="preserve">Como </w:t>
      </w:r>
      <w:r w:rsidR="005F56D5" w:rsidRPr="003A0B3D">
        <w:rPr>
          <w:rFonts w:cs="Tahoma"/>
          <w:spacing w:val="-4"/>
          <w:sz w:val="24"/>
          <w:szCs w:val="24"/>
        </w:rPr>
        <w:t xml:space="preserve">bien lo señaló el agente del Ministerio Público </w:t>
      </w:r>
      <w:r w:rsidRPr="003A0B3D">
        <w:rPr>
          <w:rFonts w:cs="Tahoma"/>
          <w:spacing w:val="-4"/>
          <w:sz w:val="24"/>
          <w:szCs w:val="24"/>
        </w:rPr>
        <w:t xml:space="preserve">como no recurrente, </w:t>
      </w:r>
      <w:r w:rsidR="005F56D5" w:rsidRPr="003A0B3D">
        <w:rPr>
          <w:rFonts w:cs="Tahoma"/>
          <w:spacing w:val="-4"/>
          <w:sz w:val="24"/>
          <w:szCs w:val="24"/>
        </w:rPr>
        <w:t>cuando el procesado acepta cargos o suscribe preacuerdos, renuncia al derecho a controvertir las pruebas y a discutir</w:t>
      </w:r>
      <w:r w:rsidR="00603093" w:rsidRPr="003A0B3D">
        <w:rPr>
          <w:rFonts w:cs="Tahoma"/>
          <w:spacing w:val="-4"/>
          <w:sz w:val="24"/>
          <w:szCs w:val="24"/>
        </w:rPr>
        <w:t xml:space="preserve"> </w:t>
      </w:r>
      <w:r w:rsidR="005F56D5" w:rsidRPr="003A0B3D">
        <w:rPr>
          <w:rFonts w:cs="Tahoma"/>
          <w:spacing w:val="-4"/>
          <w:sz w:val="24"/>
          <w:szCs w:val="24"/>
        </w:rPr>
        <w:t xml:space="preserve">la validez o la eficacia probatoria de los elementos de juicio que sustentan el fallo, </w:t>
      </w:r>
      <w:r w:rsidR="00B01ECE" w:rsidRPr="003A0B3D">
        <w:rPr>
          <w:rFonts w:cs="Tahoma"/>
          <w:spacing w:val="-4"/>
          <w:sz w:val="24"/>
          <w:szCs w:val="24"/>
        </w:rPr>
        <w:t xml:space="preserve">máxime cuando </w:t>
      </w:r>
      <w:r w:rsidR="005F56D5" w:rsidRPr="003A0B3D">
        <w:rPr>
          <w:rFonts w:cs="Tahoma"/>
          <w:spacing w:val="-4"/>
          <w:sz w:val="24"/>
          <w:szCs w:val="24"/>
        </w:rPr>
        <w:t xml:space="preserve">para condenar en dichos casos solo se requiere contar con la aceptación de cargos -sea unilateral o por la vía del preacuerdo, como acá sucedió- y un </w:t>
      </w:r>
      <w:r w:rsidR="005F56D5" w:rsidRPr="003A0B3D">
        <w:rPr>
          <w:rFonts w:cs="Tahoma"/>
          <w:i/>
          <w:iCs/>
          <w:spacing w:val="-4"/>
          <w:sz w:val="24"/>
          <w:szCs w:val="24"/>
        </w:rPr>
        <w:t>mínimo probatorio</w:t>
      </w:r>
      <w:r w:rsidR="005F56D5" w:rsidRPr="003A0B3D">
        <w:rPr>
          <w:rFonts w:cs="Tahoma"/>
          <w:spacing w:val="-4"/>
          <w:sz w:val="24"/>
          <w:szCs w:val="24"/>
        </w:rPr>
        <w:t xml:space="preserve"> que permita inferir la tipicidad y autoría de la conducta, exigencias que en efecto fueron acreditadas en este asunto.</w:t>
      </w:r>
    </w:p>
    <w:p w14:paraId="0794D535" w14:textId="77777777" w:rsidR="001E6E93" w:rsidRPr="003A0B3D" w:rsidRDefault="001E6E93" w:rsidP="003A0B3D">
      <w:pPr>
        <w:spacing w:line="276" w:lineRule="auto"/>
        <w:rPr>
          <w:rFonts w:cs="Tahoma"/>
          <w:spacing w:val="-4"/>
          <w:sz w:val="24"/>
          <w:szCs w:val="24"/>
        </w:rPr>
      </w:pPr>
    </w:p>
    <w:p w14:paraId="73C3F491" w14:textId="77777777" w:rsidR="001E6E93" w:rsidRPr="003A0B3D" w:rsidRDefault="001E6E93" w:rsidP="003A0B3D">
      <w:pPr>
        <w:spacing w:line="276" w:lineRule="auto"/>
        <w:rPr>
          <w:rFonts w:cs="Tahoma"/>
          <w:spacing w:val="-4"/>
          <w:sz w:val="24"/>
          <w:szCs w:val="24"/>
        </w:rPr>
      </w:pPr>
      <w:r w:rsidRPr="003A0B3D">
        <w:rPr>
          <w:rFonts w:cs="Tahoma"/>
          <w:spacing w:val="-4"/>
          <w:sz w:val="24"/>
          <w:szCs w:val="24"/>
        </w:rPr>
        <w:t>Dada entonces esa particular manera de sustentar el recurso, no se halla por parte de la Sala forma de</w:t>
      </w:r>
      <w:r w:rsidR="005923B1" w:rsidRPr="003A0B3D">
        <w:rPr>
          <w:rFonts w:cs="Tahoma"/>
          <w:spacing w:val="-4"/>
          <w:sz w:val="24"/>
          <w:szCs w:val="24"/>
        </w:rPr>
        <w:t xml:space="preserve"> dictar </w:t>
      </w:r>
      <w:r w:rsidRPr="003A0B3D">
        <w:rPr>
          <w:rFonts w:cs="Tahoma"/>
          <w:spacing w:val="-4"/>
          <w:sz w:val="24"/>
          <w:szCs w:val="24"/>
        </w:rPr>
        <w:t xml:space="preserve">un pronunciamiento de fondo en el presente asunto, por cuanto de la alzada propuesta no se extraen razonamientos acerca de los cuales pueda surgir una confrontación o controversia efectiva con respecto a los términos en que fue despachada la decisión por parte del juzgado de primer nivel -instancia ante la cual nada se mencionó por parte de la defensa algún supuesto vicio del consentimiento-, </w:t>
      </w:r>
      <w:r w:rsidR="00603093" w:rsidRPr="003A0B3D">
        <w:rPr>
          <w:rFonts w:cs="Tahoma"/>
          <w:spacing w:val="-4"/>
          <w:sz w:val="24"/>
          <w:szCs w:val="24"/>
        </w:rPr>
        <w:t xml:space="preserve">o incluso </w:t>
      </w:r>
      <w:r w:rsidRPr="003A0B3D">
        <w:rPr>
          <w:rFonts w:cs="Tahoma"/>
          <w:spacing w:val="-4"/>
          <w:sz w:val="24"/>
          <w:szCs w:val="24"/>
        </w:rPr>
        <w:t>para admitir de manera excepcional la retractación del procesado por vulneración de garantías fundamentales.</w:t>
      </w:r>
    </w:p>
    <w:p w14:paraId="3F8A6639" w14:textId="77777777" w:rsidR="005F56D5" w:rsidRPr="003A0B3D" w:rsidRDefault="005F56D5" w:rsidP="003A0B3D">
      <w:pPr>
        <w:spacing w:line="276" w:lineRule="auto"/>
        <w:rPr>
          <w:rFonts w:cs="Tahoma"/>
          <w:spacing w:val="-4"/>
          <w:sz w:val="24"/>
          <w:szCs w:val="24"/>
        </w:rPr>
      </w:pPr>
    </w:p>
    <w:p w14:paraId="3B8062D0" w14:textId="2B889BBC" w:rsidR="009F3B38" w:rsidRPr="003A0B3D" w:rsidRDefault="009F3B38" w:rsidP="003A0B3D">
      <w:pPr>
        <w:spacing w:line="276" w:lineRule="auto"/>
        <w:rPr>
          <w:rFonts w:cs="Tahoma"/>
          <w:spacing w:val="-4"/>
          <w:sz w:val="24"/>
          <w:szCs w:val="24"/>
        </w:rPr>
      </w:pPr>
      <w:r w:rsidRPr="003A0B3D">
        <w:rPr>
          <w:rFonts w:cs="Tahoma"/>
          <w:spacing w:val="-4"/>
          <w:sz w:val="24"/>
          <w:szCs w:val="24"/>
        </w:rPr>
        <w:t>Por lo anterior, estima la Corporación que por parte del abogado del señor</w:t>
      </w:r>
      <w:r w:rsidRPr="003A0B3D">
        <w:rPr>
          <w:rFonts w:cs="Tahoma"/>
          <w:b/>
          <w:spacing w:val="-4"/>
          <w:sz w:val="24"/>
          <w:szCs w:val="24"/>
        </w:rPr>
        <w:t xml:space="preserve"> </w:t>
      </w:r>
      <w:r w:rsidR="00732414">
        <w:rPr>
          <w:rFonts w:cs="Tahoma"/>
          <w:b/>
          <w:spacing w:val="-4"/>
          <w:sz w:val="24"/>
          <w:szCs w:val="24"/>
        </w:rPr>
        <w:t>OAJS</w:t>
      </w:r>
      <w:r w:rsidR="001E6E93" w:rsidRPr="003A0B3D">
        <w:rPr>
          <w:rFonts w:cs="Tahoma"/>
          <w:b/>
          <w:spacing w:val="-4"/>
          <w:sz w:val="24"/>
          <w:szCs w:val="24"/>
        </w:rPr>
        <w:t xml:space="preserve"> </w:t>
      </w:r>
      <w:r w:rsidRPr="003A0B3D">
        <w:rPr>
          <w:rFonts w:cs="Tahoma"/>
          <w:spacing w:val="-4"/>
          <w:sz w:val="24"/>
          <w:szCs w:val="24"/>
        </w:rPr>
        <w:t xml:space="preserve">no se atinó a enunciar alguna interpretación jurídica que diera pie al Tribunal para ir en contravía de lo concluido por el juzgado de conocimiento, </w:t>
      </w:r>
      <w:r w:rsidR="001E6E93" w:rsidRPr="003A0B3D">
        <w:rPr>
          <w:rFonts w:cs="Tahoma"/>
          <w:spacing w:val="-4"/>
          <w:sz w:val="24"/>
          <w:szCs w:val="24"/>
        </w:rPr>
        <w:t>ya fuera respecto a la pena impuesta o los sustitutos que le fueron negadas al sentenciado</w:t>
      </w:r>
      <w:r w:rsidR="00B01ECE" w:rsidRPr="003A0B3D">
        <w:rPr>
          <w:rFonts w:cs="Tahoma"/>
          <w:spacing w:val="-4"/>
          <w:sz w:val="24"/>
          <w:szCs w:val="24"/>
        </w:rPr>
        <w:t xml:space="preserve"> -como al parecer así lo pretendió-</w:t>
      </w:r>
      <w:r w:rsidR="001E6E93" w:rsidRPr="003A0B3D">
        <w:rPr>
          <w:rFonts w:cs="Tahoma"/>
          <w:spacing w:val="-4"/>
          <w:sz w:val="24"/>
          <w:szCs w:val="24"/>
        </w:rPr>
        <w:t xml:space="preserve">, ni mucho menos para </w:t>
      </w:r>
      <w:r w:rsidRPr="003A0B3D">
        <w:rPr>
          <w:rFonts w:cs="Tahoma"/>
          <w:spacing w:val="-4"/>
          <w:sz w:val="24"/>
          <w:szCs w:val="24"/>
        </w:rPr>
        <w:t xml:space="preserve">considerar que se presentaba alguna de las circunstancias contenidas en el parágrafo del artículo 293 C.P.P. que diera lugar a decretar la nulidad de la aceptación de cargos que realizó el procesado </w:t>
      </w:r>
      <w:r w:rsidR="001E6E93" w:rsidRPr="003A0B3D">
        <w:rPr>
          <w:rFonts w:cs="Tahoma"/>
          <w:spacing w:val="-4"/>
          <w:sz w:val="24"/>
          <w:szCs w:val="24"/>
        </w:rPr>
        <w:t>ante el Juzgado con función de control de garantías</w:t>
      </w:r>
      <w:r w:rsidRPr="003A0B3D">
        <w:rPr>
          <w:rFonts w:cs="Tahoma"/>
          <w:spacing w:val="-4"/>
          <w:sz w:val="24"/>
          <w:szCs w:val="24"/>
        </w:rPr>
        <w:t xml:space="preserve">. Y, frente a ese vacío sustancial, se genera un obstáculo insalvable para que la Corporación cumpla su deber de definir la alzada. </w:t>
      </w:r>
    </w:p>
    <w:p w14:paraId="475B91B1" w14:textId="77777777" w:rsidR="009F3B38" w:rsidRPr="003A0B3D" w:rsidRDefault="009F3B38" w:rsidP="003A0B3D">
      <w:pPr>
        <w:spacing w:line="276" w:lineRule="auto"/>
        <w:rPr>
          <w:rFonts w:cs="Tahoma"/>
          <w:spacing w:val="-4"/>
          <w:sz w:val="24"/>
          <w:szCs w:val="24"/>
        </w:rPr>
      </w:pPr>
    </w:p>
    <w:p w14:paraId="1EF0FBC2" w14:textId="366195B3" w:rsidR="009F3B38" w:rsidRPr="003A0B3D" w:rsidRDefault="009F3B38" w:rsidP="003A0B3D">
      <w:pPr>
        <w:spacing w:line="276" w:lineRule="auto"/>
        <w:rPr>
          <w:rFonts w:cs="Tahoma"/>
          <w:spacing w:val="-4"/>
          <w:sz w:val="24"/>
          <w:szCs w:val="24"/>
        </w:rPr>
      </w:pPr>
      <w:r w:rsidRPr="003A0B3D">
        <w:rPr>
          <w:rFonts w:cs="Tahoma"/>
          <w:spacing w:val="-4"/>
          <w:sz w:val="24"/>
          <w:szCs w:val="24"/>
        </w:rPr>
        <w:t xml:space="preserve">Así las cosas, la Sala está en el deber de declarar </w:t>
      </w:r>
      <w:r w:rsidRPr="003A0B3D">
        <w:rPr>
          <w:rFonts w:cs="Tahoma"/>
          <w:b/>
          <w:bCs/>
          <w:spacing w:val="-4"/>
          <w:sz w:val="24"/>
          <w:szCs w:val="24"/>
        </w:rPr>
        <w:t>desierto el recurso.</w:t>
      </w:r>
      <w:r w:rsidRPr="003A0B3D">
        <w:rPr>
          <w:rFonts w:cs="Tahoma"/>
          <w:spacing w:val="-4"/>
          <w:sz w:val="24"/>
          <w:szCs w:val="24"/>
        </w:rPr>
        <w:t xml:space="preserve"> </w:t>
      </w:r>
    </w:p>
    <w:p w14:paraId="1DF70DC2" w14:textId="77777777" w:rsidR="009F3B38" w:rsidRPr="003A0B3D" w:rsidRDefault="009F3B38" w:rsidP="003A0B3D">
      <w:pPr>
        <w:spacing w:line="276" w:lineRule="auto"/>
        <w:rPr>
          <w:rFonts w:cs="Tahoma"/>
          <w:spacing w:val="-4"/>
          <w:sz w:val="24"/>
          <w:szCs w:val="24"/>
        </w:rPr>
      </w:pPr>
    </w:p>
    <w:p w14:paraId="29D77B82" w14:textId="77777777" w:rsidR="00B01ECE" w:rsidRPr="003A0B3D" w:rsidRDefault="00B01ECE" w:rsidP="003A0B3D">
      <w:pPr>
        <w:pStyle w:val="Prrafodelista"/>
        <w:numPr>
          <w:ilvl w:val="0"/>
          <w:numId w:val="10"/>
        </w:numPr>
        <w:spacing w:line="276" w:lineRule="auto"/>
        <w:rPr>
          <w:rFonts w:cs="Tahoma"/>
          <w:b/>
          <w:bCs/>
          <w:i/>
          <w:spacing w:val="-4"/>
          <w:sz w:val="24"/>
          <w:szCs w:val="24"/>
        </w:rPr>
      </w:pPr>
      <w:r w:rsidRPr="003A0B3D">
        <w:rPr>
          <w:rFonts w:cs="Tahoma"/>
          <w:b/>
          <w:bCs/>
          <w:i/>
          <w:spacing w:val="-4"/>
          <w:sz w:val="24"/>
          <w:szCs w:val="24"/>
        </w:rPr>
        <w:t>ANOTACIÓN ADICIONAL.</w:t>
      </w:r>
    </w:p>
    <w:p w14:paraId="4AA9EE43" w14:textId="77777777" w:rsidR="00B01ECE" w:rsidRPr="003A0B3D" w:rsidRDefault="00B01ECE" w:rsidP="003A0B3D">
      <w:pPr>
        <w:spacing w:line="276" w:lineRule="auto"/>
        <w:rPr>
          <w:rFonts w:cs="Tahoma"/>
          <w:spacing w:val="-4"/>
          <w:sz w:val="24"/>
          <w:szCs w:val="24"/>
        </w:rPr>
      </w:pPr>
    </w:p>
    <w:p w14:paraId="7426577B" w14:textId="7F6E6ECF" w:rsidR="00B01ECE" w:rsidRPr="003A0B3D" w:rsidRDefault="00B01ECE" w:rsidP="003A0B3D">
      <w:pPr>
        <w:spacing w:line="276" w:lineRule="auto"/>
        <w:rPr>
          <w:rFonts w:cs="Tahoma"/>
          <w:spacing w:val="-4"/>
          <w:sz w:val="24"/>
          <w:szCs w:val="24"/>
        </w:rPr>
      </w:pPr>
      <w:r w:rsidRPr="003A0B3D">
        <w:rPr>
          <w:rFonts w:cs="Tahoma"/>
          <w:spacing w:val="-4"/>
          <w:sz w:val="24"/>
          <w:szCs w:val="24"/>
        </w:rPr>
        <w:t xml:space="preserve">Si bien es cierto el señor </w:t>
      </w:r>
      <w:r w:rsidR="00732414">
        <w:rPr>
          <w:rFonts w:cs="Tahoma"/>
          <w:b/>
          <w:spacing w:val="-4"/>
          <w:sz w:val="24"/>
          <w:szCs w:val="24"/>
        </w:rPr>
        <w:t>OAJS</w:t>
      </w:r>
      <w:r w:rsidRPr="003A0B3D">
        <w:rPr>
          <w:rFonts w:cs="Tahoma"/>
          <w:spacing w:val="-4"/>
          <w:sz w:val="24"/>
          <w:szCs w:val="24"/>
        </w:rPr>
        <w:t xml:space="preserve">, mediante escrito de marzo 14, solicitó el desistimiento del recurso </w:t>
      </w:r>
      <w:r w:rsidR="000C5F4B" w:rsidRPr="003A0B3D">
        <w:rPr>
          <w:rFonts w:cs="Tahoma"/>
          <w:spacing w:val="-4"/>
          <w:sz w:val="24"/>
          <w:szCs w:val="24"/>
        </w:rPr>
        <w:t xml:space="preserve">interpuesto </w:t>
      </w:r>
      <w:r w:rsidRPr="003A0B3D">
        <w:rPr>
          <w:rFonts w:cs="Tahoma"/>
          <w:spacing w:val="-4"/>
          <w:sz w:val="24"/>
          <w:szCs w:val="24"/>
        </w:rPr>
        <w:t xml:space="preserve">por su abogado, la Sala con antelación a pronunciarse al respecto, dispuso comunicarle </w:t>
      </w:r>
      <w:r w:rsidR="000C5F4B" w:rsidRPr="003A0B3D">
        <w:rPr>
          <w:rFonts w:cs="Tahoma"/>
          <w:spacing w:val="-4"/>
          <w:sz w:val="24"/>
          <w:szCs w:val="24"/>
        </w:rPr>
        <w:t xml:space="preserve">tal pretensión </w:t>
      </w:r>
      <w:r w:rsidRPr="003A0B3D">
        <w:rPr>
          <w:rFonts w:cs="Tahoma"/>
          <w:spacing w:val="-4"/>
          <w:sz w:val="24"/>
          <w:szCs w:val="24"/>
        </w:rPr>
        <w:t xml:space="preserve">a su abogado contractual, para que </w:t>
      </w:r>
      <w:r w:rsidR="000C5F4B" w:rsidRPr="003A0B3D">
        <w:rPr>
          <w:rFonts w:cs="Tahoma"/>
          <w:spacing w:val="-4"/>
          <w:sz w:val="24"/>
          <w:szCs w:val="24"/>
        </w:rPr>
        <w:t xml:space="preserve">informara </w:t>
      </w:r>
      <w:r w:rsidRPr="003A0B3D">
        <w:rPr>
          <w:rFonts w:cs="Tahoma"/>
          <w:spacing w:val="-4"/>
          <w:sz w:val="24"/>
          <w:szCs w:val="24"/>
        </w:rPr>
        <w:t xml:space="preserve">si </w:t>
      </w:r>
      <w:r w:rsidRPr="003A0B3D">
        <w:rPr>
          <w:rFonts w:cs="Tahoma"/>
          <w:spacing w:val="-4"/>
          <w:sz w:val="24"/>
          <w:szCs w:val="24"/>
        </w:rPr>
        <w:lastRenderedPageBreak/>
        <w:t>coadyuvaba o no tal petición</w:t>
      </w:r>
      <w:r w:rsidR="000C5F4B" w:rsidRPr="003A0B3D">
        <w:rPr>
          <w:rFonts w:cs="Tahoma"/>
          <w:spacing w:val="-4"/>
          <w:sz w:val="24"/>
          <w:szCs w:val="24"/>
        </w:rPr>
        <w:t xml:space="preserve"> -acorde con lo reglado en el canon 130 CPP-</w:t>
      </w:r>
      <w:r w:rsidRPr="003A0B3D">
        <w:rPr>
          <w:rFonts w:cs="Tahoma"/>
          <w:spacing w:val="-4"/>
          <w:sz w:val="24"/>
          <w:szCs w:val="24"/>
        </w:rPr>
        <w:t xml:space="preserve">, </w:t>
      </w:r>
      <w:r w:rsidR="00EE1120" w:rsidRPr="003A0B3D">
        <w:rPr>
          <w:rFonts w:cs="Tahoma"/>
          <w:spacing w:val="-4"/>
          <w:sz w:val="24"/>
          <w:szCs w:val="24"/>
        </w:rPr>
        <w:t xml:space="preserve">el cual </w:t>
      </w:r>
      <w:r w:rsidRPr="003A0B3D">
        <w:rPr>
          <w:rFonts w:cs="Tahoma"/>
          <w:spacing w:val="-4"/>
          <w:sz w:val="24"/>
          <w:szCs w:val="24"/>
        </w:rPr>
        <w:t>a la</w:t>
      </w:r>
      <w:r w:rsidR="00F55787" w:rsidRPr="003A0B3D">
        <w:rPr>
          <w:rFonts w:cs="Tahoma"/>
          <w:spacing w:val="-4"/>
          <w:sz w:val="24"/>
          <w:szCs w:val="24"/>
        </w:rPr>
        <w:t xml:space="preserve"> fecha</w:t>
      </w:r>
      <w:r w:rsidRPr="003A0B3D">
        <w:rPr>
          <w:rFonts w:cs="Tahoma"/>
          <w:spacing w:val="-4"/>
          <w:sz w:val="24"/>
          <w:szCs w:val="24"/>
        </w:rPr>
        <w:t xml:space="preserve"> </w:t>
      </w:r>
      <w:r w:rsidR="000C5F4B" w:rsidRPr="003A0B3D">
        <w:rPr>
          <w:rFonts w:cs="Tahoma"/>
          <w:spacing w:val="-4"/>
          <w:sz w:val="24"/>
          <w:szCs w:val="24"/>
        </w:rPr>
        <w:t xml:space="preserve">no ha dado respuesta alguna </w:t>
      </w:r>
      <w:r w:rsidRPr="003A0B3D">
        <w:rPr>
          <w:rFonts w:cs="Tahoma"/>
          <w:spacing w:val="-4"/>
          <w:sz w:val="24"/>
          <w:szCs w:val="24"/>
        </w:rPr>
        <w:t xml:space="preserve">a los correos que para el efecto se le enviaron, y </w:t>
      </w:r>
      <w:r w:rsidR="000C5F4B" w:rsidRPr="003A0B3D">
        <w:rPr>
          <w:rFonts w:cs="Tahoma"/>
          <w:spacing w:val="-4"/>
          <w:sz w:val="24"/>
          <w:szCs w:val="24"/>
        </w:rPr>
        <w:t xml:space="preserve">pese a </w:t>
      </w:r>
      <w:r w:rsidRPr="003A0B3D">
        <w:rPr>
          <w:rFonts w:cs="Tahoma"/>
          <w:spacing w:val="-4"/>
          <w:sz w:val="24"/>
          <w:szCs w:val="24"/>
        </w:rPr>
        <w:t xml:space="preserve">tratar de ser contactado al abonado celular con el que se cuenta y que aparece en el poder pertinente, </w:t>
      </w:r>
      <w:r w:rsidR="000C5F4B" w:rsidRPr="003A0B3D">
        <w:rPr>
          <w:rFonts w:cs="Tahoma"/>
          <w:spacing w:val="-4"/>
          <w:sz w:val="24"/>
          <w:szCs w:val="24"/>
        </w:rPr>
        <w:t xml:space="preserve">este </w:t>
      </w:r>
      <w:r w:rsidRPr="003A0B3D">
        <w:rPr>
          <w:rFonts w:cs="Tahoma"/>
          <w:spacing w:val="-4"/>
          <w:sz w:val="24"/>
          <w:szCs w:val="24"/>
        </w:rPr>
        <w:t>siempre cae a “</w:t>
      </w:r>
      <w:r w:rsidRPr="00D21FFB">
        <w:rPr>
          <w:rFonts w:cs="Tahoma"/>
          <w:spacing w:val="-4"/>
          <w:sz w:val="22"/>
          <w:szCs w:val="24"/>
        </w:rPr>
        <w:t>buzón de mensajes</w:t>
      </w:r>
      <w:r w:rsidRPr="003A0B3D">
        <w:rPr>
          <w:rFonts w:cs="Tahoma"/>
          <w:spacing w:val="-4"/>
          <w:sz w:val="24"/>
          <w:szCs w:val="24"/>
        </w:rPr>
        <w:t>”.</w:t>
      </w:r>
    </w:p>
    <w:p w14:paraId="7DF6ED09" w14:textId="77777777" w:rsidR="00B01ECE" w:rsidRPr="003A0B3D" w:rsidRDefault="00B01ECE" w:rsidP="003A0B3D">
      <w:pPr>
        <w:spacing w:line="276" w:lineRule="auto"/>
        <w:rPr>
          <w:rFonts w:cs="Tahoma"/>
          <w:spacing w:val="-4"/>
          <w:sz w:val="24"/>
          <w:szCs w:val="24"/>
        </w:rPr>
      </w:pPr>
    </w:p>
    <w:p w14:paraId="04F06D15" w14:textId="77777777" w:rsidR="00B01ECE" w:rsidRPr="003A0B3D" w:rsidRDefault="00B01ECE" w:rsidP="003A0B3D">
      <w:pPr>
        <w:spacing w:line="276" w:lineRule="auto"/>
        <w:rPr>
          <w:rFonts w:cs="Tahoma"/>
          <w:spacing w:val="-4"/>
          <w:sz w:val="24"/>
          <w:szCs w:val="24"/>
        </w:rPr>
      </w:pPr>
      <w:r w:rsidRPr="003A0B3D">
        <w:rPr>
          <w:rFonts w:cs="Tahoma"/>
          <w:spacing w:val="-4"/>
          <w:sz w:val="24"/>
          <w:szCs w:val="24"/>
        </w:rPr>
        <w:t>En ese orden, y como quiera que</w:t>
      </w:r>
      <w:r w:rsidR="000C5F4B" w:rsidRPr="003A0B3D">
        <w:rPr>
          <w:rFonts w:cs="Tahoma"/>
          <w:spacing w:val="-4"/>
          <w:sz w:val="24"/>
          <w:szCs w:val="24"/>
        </w:rPr>
        <w:t xml:space="preserve"> este trámite </w:t>
      </w:r>
      <w:r w:rsidRPr="003A0B3D">
        <w:rPr>
          <w:rFonts w:cs="Tahoma"/>
          <w:spacing w:val="-4"/>
          <w:sz w:val="24"/>
          <w:szCs w:val="24"/>
        </w:rPr>
        <w:t xml:space="preserve">se encontraba en turno para </w:t>
      </w:r>
      <w:r w:rsidR="000C5F4B" w:rsidRPr="003A0B3D">
        <w:rPr>
          <w:rFonts w:cs="Tahoma"/>
          <w:spacing w:val="-4"/>
          <w:sz w:val="24"/>
          <w:szCs w:val="24"/>
        </w:rPr>
        <w:t xml:space="preserve">estudio </w:t>
      </w:r>
      <w:r w:rsidRPr="003A0B3D">
        <w:rPr>
          <w:rFonts w:cs="Tahoma"/>
          <w:spacing w:val="-4"/>
          <w:sz w:val="24"/>
          <w:szCs w:val="24"/>
        </w:rPr>
        <w:t>-al tratarse de terminación anticipada-, la Sala procedió a emitir el presente proveído.</w:t>
      </w:r>
    </w:p>
    <w:p w14:paraId="16956705" w14:textId="77777777" w:rsidR="00B01ECE" w:rsidRPr="003A0B3D" w:rsidRDefault="00B01ECE" w:rsidP="003A0B3D">
      <w:pPr>
        <w:spacing w:line="276" w:lineRule="auto"/>
        <w:rPr>
          <w:rFonts w:cs="Tahoma"/>
          <w:spacing w:val="-4"/>
          <w:sz w:val="24"/>
          <w:szCs w:val="24"/>
        </w:rPr>
      </w:pPr>
    </w:p>
    <w:p w14:paraId="7C9DDA9E" w14:textId="2A857221" w:rsidR="009F3B38" w:rsidRPr="003A0B3D" w:rsidRDefault="00536B34" w:rsidP="003A0B3D">
      <w:pPr>
        <w:spacing w:line="276" w:lineRule="auto"/>
        <w:rPr>
          <w:rFonts w:ascii="Algerian" w:hAnsi="Algerian"/>
          <w:sz w:val="30"/>
          <w:szCs w:val="20"/>
        </w:rPr>
      </w:pPr>
      <w:r w:rsidRPr="003A0B3D">
        <w:rPr>
          <w:rFonts w:ascii="Algerian" w:hAnsi="Algerian"/>
          <w:sz w:val="30"/>
          <w:szCs w:val="20"/>
        </w:rPr>
        <w:t>4</w:t>
      </w:r>
      <w:r w:rsidR="009F3B38" w:rsidRPr="003A0B3D">
        <w:rPr>
          <w:rFonts w:ascii="Algerian" w:hAnsi="Algerian"/>
          <w:sz w:val="30"/>
          <w:szCs w:val="20"/>
        </w:rPr>
        <w:t xml:space="preserve">.- DECISIÓN </w:t>
      </w:r>
    </w:p>
    <w:p w14:paraId="4ED8DB41" w14:textId="77777777" w:rsidR="009F3B38" w:rsidRPr="003A0B3D" w:rsidRDefault="009F3B38" w:rsidP="003A0B3D">
      <w:pPr>
        <w:spacing w:line="276" w:lineRule="auto"/>
        <w:rPr>
          <w:rFonts w:cs="Tahoma"/>
          <w:spacing w:val="-4"/>
          <w:sz w:val="24"/>
          <w:szCs w:val="24"/>
        </w:rPr>
      </w:pPr>
    </w:p>
    <w:p w14:paraId="70603031" w14:textId="77777777" w:rsidR="009F3B38" w:rsidRPr="003A0B3D" w:rsidRDefault="009F3B38" w:rsidP="003A0B3D">
      <w:pPr>
        <w:spacing w:line="276" w:lineRule="auto"/>
        <w:rPr>
          <w:rFonts w:cs="Tahoma"/>
          <w:spacing w:val="-4"/>
          <w:sz w:val="24"/>
          <w:szCs w:val="24"/>
        </w:rPr>
      </w:pPr>
      <w:r w:rsidRPr="003A0B3D">
        <w:rPr>
          <w:rFonts w:cs="Tahoma"/>
          <w:spacing w:val="-4"/>
          <w:sz w:val="24"/>
          <w:szCs w:val="24"/>
        </w:rPr>
        <w:t xml:space="preserve">De conformidad con lo expuesto, el Tribunal Superior del Distrito Judicial de Pereira, en Sala de Decisión Penal, </w:t>
      </w:r>
      <w:r w:rsidRPr="003A0B3D">
        <w:rPr>
          <w:rFonts w:cs="Tahoma"/>
          <w:b/>
          <w:spacing w:val="-4"/>
          <w:sz w:val="24"/>
          <w:szCs w:val="24"/>
        </w:rPr>
        <w:t xml:space="preserve">DECLARA DESIERTO </w:t>
      </w:r>
      <w:r w:rsidRPr="003A0B3D">
        <w:rPr>
          <w:rFonts w:cs="Tahoma"/>
          <w:spacing w:val="-4"/>
          <w:sz w:val="24"/>
          <w:szCs w:val="24"/>
        </w:rPr>
        <w:t xml:space="preserve">el recurso de apelación que fuera interpuesto por el togado que representa los intereses del procesado, y en consecuencia </w:t>
      </w:r>
      <w:r w:rsidRPr="003A0B3D">
        <w:rPr>
          <w:rFonts w:cs="Tahoma"/>
          <w:b/>
          <w:spacing w:val="-4"/>
          <w:sz w:val="24"/>
          <w:szCs w:val="24"/>
        </w:rPr>
        <w:t>SE ABSTIENE</w:t>
      </w:r>
      <w:r w:rsidRPr="003A0B3D">
        <w:rPr>
          <w:rFonts w:cs="Tahoma"/>
          <w:spacing w:val="-4"/>
          <w:sz w:val="24"/>
          <w:szCs w:val="24"/>
        </w:rPr>
        <w:t xml:space="preserve"> de desatar </w:t>
      </w:r>
      <w:r w:rsidR="00C868B5" w:rsidRPr="003A0B3D">
        <w:rPr>
          <w:rFonts w:cs="Tahoma"/>
          <w:spacing w:val="-4"/>
          <w:sz w:val="24"/>
          <w:szCs w:val="24"/>
        </w:rPr>
        <w:t xml:space="preserve">la alzada </w:t>
      </w:r>
      <w:r w:rsidRPr="003A0B3D">
        <w:rPr>
          <w:rFonts w:cs="Tahoma"/>
          <w:spacing w:val="-4"/>
          <w:sz w:val="24"/>
          <w:szCs w:val="24"/>
        </w:rPr>
        <w:t>oportunamente interpuest</w:t>
      </w:r>
      <w:r w:rsidR="00C868B5" w:rsidRPr="003A0B3D">
        <w:rPr>
          <w:rFonts w:cs="Tahoma"/>
          <w:spacing w:val="-4"/>
          <w:sz w:val="24"/>
          <w:szCs w:val="24"/>
        </w:rPr>
        <w:t>a</w:t>
      </w:r>
      <w:r w:rsidRPr="003A0B3D">
        <w:rPr>
          <w:rFonts w:cs="Tahoma"/>
          <w:spacing w:val="-4"/>
          <w:sz w:val="24"/>
          <w:szCs w:val="24"/>
        </w:rPr>
        <w:t>.</w:t>
      </w:r>
    </w:p>
    <w:p w14:paraId="3525B100" w14:textId="77777777" w:rsidR="002B5D7D" w:rsidRPr="003A0B3D" w:rsidRDefault="002B5D7D" w:rsidP="003A0B3D">
      <w:pPr>
        <w:spacing w:line="276" w:lineRule="auto"/>
        <w:rPr>
          <w:rFonts w:cs="Tahoma"/>
          <w:spacing w:val="-6"/>
          <w:position w:val="-6"/>
          <w:sz w:val="24"/>
          <w:szCs w:val="24"/>
        </w:rPr>
      </w:pPr>
    </w:p>
    <w:p w14:paraId="020427BE" w14:textId="77777777" w:rsidR="002B5D7D" w:rsidRPr="003A0B3D" w:rsidRDefault="002B5D7D" w:rsidP="003A0B3D">
      <w:pPr>
        <w:pStyle w:val="Profesin"/>
        <w:spacing w:line="276" w:lineRule="auto"/>
        <w:jc w:val="both"/>
        <w:rPr>
          <w:rFonts w:ascii="Tahoma" w:hAnsi="Tahoma" w:cs="Tahoma"/>
          <w:b w:val="0"/>
          <w:spacing w:val="-6"/>
          <w:position w:val="-6"/>
          <w:sz w:val="24"/>
          <w:szCs w:val="24"/>
          <w:lang w:val="es-ES" w:eastAsia="es-MX"/>
        </w:rPr>
      </w:pPr>
      <w:r w:rsidRPr="003A0B3D">
        <w:rPr>
          <w:rFonts w:ascii="Tahoma" w:hAnsi="Tahoma" w:cs="Tahoma"/>
          <w:b w:val="0"/>
          <w:spacing w:val="-6"/>
          <w:position w:val="-6"/>
          <w:sz w:val="24"/>
          <w:szCs w:val="24"/>
          <w:lang w:val="es-ES" w:eastAsia="es-MX"/>
        </w:rPr>
        <w:t>En atención a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y por ende esta providencia se notificará por la Secretaría de la Sala vía correo electrónico a las partes e intervinientes, determinación contra la cual únicamente procede el recurso de reposición.</w:t>
      </w:r>
    </w:p>
    <w:p w14:paraId="19C2F13E" w14:textId="77777777" w:rsidR="003A0B3D" w:rsidRPr="003A0B3D" w:rsidRDefault="003A0B3D" w:rsidP="003A0B3D">
      <w:pPr>
        <w:spacing w:line="276" w:lineRule="auto"/>
        <w:rPr>
          <w:rFonts w:eastAsia="SimSun" w:cs="Tahoma"/>
          <w:spacing w:val="-6"/>
          <w:position w:val="-6"/>
          <w:sz w:val="24"/>
          <w:szCs w:val="24"/>
        </w:rPr>
      </w:pPr>
    </w:p>
    <w:p w14:paraId="66AD8767" w14:textId="77777777" w:rsidR="003A0B3D" w:rsidRPr="003A0B3D" w:rsidRDefault="003A0B3D" w:rsidP="003A0B3D">
      <w:pPr>
        <w:spacing w:line="276" w:lineRule="auto"/>
        <w:rPr>
          <w:rFonts w:ascii="Algerian" w:hAnsi="Algerian" w:cs="Tahoma"/>
          <w:sz w:val="30"/>
          <w:szCs w:val="20"/>
        </w:rPr>
      </w:pPr>
      <w:r w:rsidRPr="003A0B3D">
        <w:rPr>
          <w:rFonts w:ascii="Algerian" w:hAnsi="Algerian" w:cs="Tahoma"/>
          <w:sz w:val="30"/>
          <w:szCs w:val="20"/>
        </w:rPr>
        <w:t>NOTIFÍQUESE Y CÚMPLASE</w:t>
      </w:r>
    </w:p>
    <w:p w14:paraId="2A3056E2" w14:textId="77777777" w:rsidR="003A0B3D" w:rsidRPr="003A0B3D" w:rsidRDefault="003A0B3D" w:rsidP="003A0B3D">
      <w:pPr>
        <w:spacing w:line="276" w:lineRule="auto"/>
        <w:rPr>
          <w:rFonts w:cs="Tahoma"/>
          <w:spacing w:val="-6"/>
          <w:position w:val="-6"/>
          <w:sz w:val="24"/>
          <w:szCs w:val="24"/>
        </w:rPr>
      </w:pPr>
    </w:p>
    <w:p w14:paraId="1B81D520" w14:textId="63D782F1" w:rsidR="003A0B3D" w:rsidRDefault="003A0B3D" w:rsidP="003A0B3D">
      <w:pPr>
        <w:spacing w:line="276" w:lineRule="auto"/>
        <w:rPr>
          <w:rFonts w:cs="Tahoma"/>
          <w:spacing w:val="-4"/>
          <w:position w:val="-4"/>
          <w:sz w:val="24"/>
          <w:szCs w:val="24"/>
        </w:rPr>
      </w:pPr>
    </w:p>
    <w:p w14:paraId="5DC74924" w14:textId="77777777" w:rsidR="000B09CB" w:rsidRPr="003A0B3D" w:rsidRDefault="000B09CB" w:rsidP="003A0B3D">
      <w:pPr>
        <w:spacing w:line="276" w:lineRule="auto"/>
        <w:rPr>
          <w:rFonts w:cs="Tahoma"/>
          <w:spacing w:val="-4"/>
          <w:position w:val="-4"/>
          <w:sz w:val="24"/>
          <w:szCs w:val="24"/>
        </w:rPr>
      </w:pPr>
    </w:p>
    <w:p w14:paraId="5ED9E8DE" w14:textId="77777777" w:rsidR="003A0B3D" w:rsidRPr="003A0B3D" w:rsidRDefault="003A0B3D" w:rsidP="003A0B3D">
      <w:pPr>
        <w:spacing w:line="276" w:lineRule="auto"/>
        <w:jc w:val="center"/>
        <w:rPr>
          <w:rFonts w:cs="Tahoma"/>
          <w:b/>
          <w:spacing w:val="-4"/>
          <w:position w:val="-4"/>
          <w:sz w:val="24"/>
          <w:szCs w:val="24"/>
          <w:lang w:val="es-ES_tradnl"/>
        </w:rPr>
      </w:pPr>
      <w:r w:rsidRPr="003A0B3D">
        <w:rPr>
          <w:rFonts w:cs="Tahoma"/>
          <w:b/>
          <w:spacing w:val="-4"/>
          <w:position w:val="-4"/>
          <w:sz w:val="24"/>
          <w:szCs w:val="24"/>
          <w:lang w:val="es-ES_tradnl"/>
        </w:rPr>
        <w:t>CARLOS ARTURO PAZ ZÚÑIGA</w:t>
      </w:r>
    </w:p>
    <w:p w14:paraId="68C767FC" w14:textId="77777777" w:rsidR="003A0B3D" w:rsidRPr="003A0B3D" w:rsidRDefault="003A0B3D" w:rsidP="003A0B3D">
      <w:pPr>
        <w:spacing w:line="276" w:lineRule="auto"/>
        <w:jc w:val="center"/>
        <w:rPr>
          <w:rFonts w:cs="Tahoma"/>
          <w:spacing w:val="-4"/>
          <w:position w:val="-4"/>
          <w:sz w:val="24"/>
          <w:szCs w:val="24"/>
          <w:lang w:val="es-ES_tradnl"/>
        </w:rPr>
      </w:pPr>
      <w:r w:rsidRPr="003A0B3D">
        <w:rPr>
          <w:rFonts w:cs="Tahoma"/>
          <w:spacing w:val="-4"/>
          <w:position w:val="-4"/>
          <w:sz w:val="24"/>
          <w:szCs w:val="24"/>
          <w:lang w:val="es-ES_tradnl"/>
        </w:rPr>
        <w:t xml:space="preserve">Magistrado </w:t>
      </w:r>
    </w:p>
    <w:p w14:paraId="44ED187F" w14:textId="414DD201" w:rsidR="003A0B3D" w:rsidRDefault="003A0B3D" w:rsidP="003A0B3D">
      <w:pPr>
        <w:spacing w:line="276" w:lineRule="auto"/>
        <w:rPr>
          <w:rFonts w:cs="Tahoma"/>
          <w:spacing w:val="-4"/>
          <w:position w:val="-4"/>
          <w:sz w:val="24"/>
          <w:szCs w:val="24"/>
          <w:lang w:val="es-ES_tradnl"/>
        </w:rPr>
      </w:pPr>
    </w:p>
    <w:p w14:paraId="617E47BA" w14:textId="77777777" w:rsidR="000B09CB" w:rsidRPr="003A0B3D" w:rsidRDefault="000B09CB" w:rsidP="003A0B3D">
      <w:pPr>
        <w:spacing w:line="276" w:lineRule="auto"/>
        <w:rPr>
          <w:rFonts w:cs="Tahoma"/>
          <w:spacing w:val="-4"/>
          <w:position w:val="-4"/>
          <w:sz w:val="24"/>
          <w:szCs w:val="24"/>
          <w:lang w:val="es-ES_tradnl"/>
        </w:rPr>
      </w:pPr>
    </w:p>
    <w:p w14:paraId="56D193D5" w14:textId="77777777" w:rsidR="003A0B3D" w:rsidRPr="003A0B3D" w:rsidRDefault="003A0B3D" w:rsidP="003A0B3D">
      <w:pPr>
        <w:spacing w:line="276" w:lineRule="auto"/>
        <w:rPr>
          <w:rFonts w:cs="Tahoma"/>
          <w:spacing w:val="-4"/>
          <w:position w:val="-4"/>
          <w:sz w:val="24"/>
          <w:szCs w:val="24"/>
          <w:lang w:val="es-ES_tradnl"/>
        </w:rPr>
      </w:pPr>
    </w:p>
    <w:p w14:paraId="41212819" w14:textId="77777777" w:rsidR="003A0B3D" w:rsidRPr="003A0B3D" w:rsidRDefault="003A0B3D" w:rsidP="003A0B3D">
      <w:pPr>
        <w:spacing w:line="276" w:lineRule="auto"/>
        <w:jc w:val="center"/>
        <w:rPr>
          <w:rFonts w:cs="Tahoma"/>
          <w:b/>
          <w:spacing w:val="-4"/>
          <w:position w:val="-4"/>
          <w:sz w:val="24"/>
          <w:szCs w:val="24"/>
          <w:lang w:val="es-ES_tradnl"/>
        </w:rPr>
      </w:pPr>
      <w:r w:rsidRPr="003A0B3D">
        <w:rPr>
          <w:rFonts w:cs="Tahoma"/>
          <w:b/>
          <w:spacing w:val="-4"/>
          <w:position w:val="-4"/>
          <w:sz w:val="24"/>
          <w:szCs w:val="24"/>
          <w:lang w:val="es-ES_tradnl"/>
        </w:rPr>
        <w:t>JULIÁN RIVERA LOAIZA</w:t>
      </w:r>
    </w:p>
    <w:p w14:paraId="300C1921" w14:textId="77777777" w:rsidR="003A0B3D" w:rsidRPr="003A0B3D" w:rsidRDefault="003A0B3D" w:rsidP="003A0B3D">
      <w:pPr>
        <w:spacing w:line="276" w:lineRule="auto"/>
        <w:jc w:val="center"/>
        <w:rPr>
          <w:rFonts w:cs="Tahoma"/>
          <w:spacing w:val="-4"/>
          <w:position w:val="-4"/>
          <w:sz w:val="24"/>
          <w:szCs w:val="24"/>
          <w:lang w:val="es-ES_tradnl"/>
        </w:rPr>
      </w:pPr>
      <w:r w:rsidRPr="003A0B3D">
        <w:rPr>
          <w:rFonts w:cs="Tahoma"/>
          <w:spacing w:val="-4"/>
          <w:position w:val="-4"/>
          <w:sz w:val="24"/>
          <w:szCs w:val="24"/>
          <w:lang w:val="es-ES_tradnl"/>
        </w:rPr>
        <w:t xml:space="preserve">Magistrado </w:t>
      </w:r>
    </w:p>
    <w:p w14:paraId="5B2CDCDB" w14:textId="4492A2D5" w:rsidR="003A0B3D" w:rsidRDefault="003A0B3D" w:rsidP="003A0B3D">
      <w:pPr>
        <w:spacing w:line="276" w:lineRule="auto"/>
        <w:rPr>
          <w:rFonts w:cs="Tahoma"/>
          <w:spacing w:val="-4"/>
          <w:position w:val="-4"/>
          <w:sz w:val="24"/>
          <w:szCs w:val="24"/>
          <w:lang w:val="es-ES_tradnl"/>
        </w:rPr>
      </w:pPr>
    </w:p>
    <w:p w14:paraId="487D8D4F" w14:textId="77777777" w:rsidR="000B09CB" w:rsidRPr="003A0B3D" w:rsidRDefault="000B09CB" w:rsidP="003A0B3D">
      <w:pPr>
        <w:spacing w:line="276" w:lineRule="auto"/>
        <w:rPr>
          <w:rFonts w:cs="Tahoma"/>
          <w:spacing w:val="-4"/>
          <w:position w:val="-4"/>
          <w:sz w:val="24"/>
          <w:szCs w:val="24"/>
          <w:lang w:val="es-ES_tradnl"/>
        </w:rPr>
      </w:pPr>
    </w:p>
    <w:p w14:paraId="63219D8A" w14:textId="77777777" w:rsidR="003A0B3D" w:rsidRPr="003A0B3D" w:rsidRDefault="003A0B3D" w:rsidP="003A0B3D">
      <w:pPr>
        <w:spacing w:line="276" w:lineRule="auto"/>
        <w:rPr>
          <w:rFonts w:cs="Tahoma"/>
          <w:spacing w:val="-4"/>
          <w:position w:val="-4"/>
          <w:sz w:val="24"/>
          <w:szCs w:val="24"/>
          <w:lang w:val="es-ES_tradnl"/>
        </w:rPr>
      </w:pPr>
    </w:p>
    <w:p w14:paraId="1BA5AB20" w14:textId="77777777" w:rsidR="003A0B3D" w:rsidRPr="003A0B3D" w:rsidRDefault="003A0B3D" w:rsidP="003A0B3D">
      <w:pPr>
        <w:spacing w:line="276" w:lineRule="auto"/>
        <w:jc w:val="center"/>
        <w:rPr>
          <w:rFonts w:cs="Tahoma"/>
          <w:b/>
          <w:spacing w:val="-4"/>
          <w:position w:val="-4"/>
          <w:sz w:val="24"/>
          <w:szCs w:val="24"/>
          <w:lang w:val="es-ES_tradnl"/>
        </w:rPr>
      </w:pPr>
      <w:r w:rsidRPr="003A0B3D">
        <w:rPr>
          <w:rFonts w:cs="Tahoma"/>
          <w:b/>
          <w:spacing w:val="-4"/>
          <w:position w:val="-4"/>
          <w:sz w:val="24"/>
          <w:szCs w:val="24"/>
          <w:lang w:val="es-ES_tradnl"/>
        </w:rPr>
        <w:t>MANUEL YARZAGARAY BANDERA</w:t>
      </w:r>
    </w:p>
    <w:p w14:paraId="70C57E29" w14:textId="23A09139" w:rsidR="009F3B38" w:rsidRPr="003A0B3D" w:rsidRDefault="003A0B3D" w:rsidP="003A0B3D">
      <w:pPr>
        <w:spacing w:line="276" w:lineRule="auto"/>
        <w:jc w:val="center"/>
        <w:rPr>
          <w:rFonts w:cs="Tahoma"/>
          <w:sz w:val="24"/>
          <w:szCs w:val="24"/>
        </w:rPr>
      </w:pPr>
      <w:r w:rsidRPr="003A0B3D">
        <w:rPr>
          <w:rFonts w:cs="Tahoma"/>
          <w:spacing w:val="-4"/>
          <w:position w:val="-4"/>
          <w:sz w:val="24"/>
          <w:szCs w:val="24"/>
          <w:lang w:val="es-ES_tradnl"/>
        </w:rPr>
        <w:t>Magistrado</w:t>
      </w:r>
    </w:p>
    <w:sectPr w:rsidR="009F3B38" w:rsidRPr="003A0B3D" w:rsidSect="00745459">
      <w:headerReference w:type="default" r:id="rId9"/>
      <w:footerReference w:type="default" r:id="rId10"/>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E750" w14:textId="77777777" w:rsidR="00121131" w:rsidRDefault="00121131" w:rsidP="00F13C87">
      <w:pPr>
        <w:spacing w:line="240" w:lineRule="auto"/>
      </w:pPr>
      <w:r>
        <w:separator/>
      </w:r>
    </w:p>
  </w:endnote>
  <w:endnote w:type="continuationSeparator" w:id="0">
    <w:p w14:paraId="3AA857E7" w14:textId="77777777" w:rsidR="00121131" w:rsidRDefault="00121131"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F280" w14:textId="77777777" w:rsidR="00716B5B" w:rsidRPr="00745459" w:rsidRDefault="00716B5B" w:rsidP="00745459">
    <w:pPr>
      <w:pStyle w:val="Encabezado"/>
      <w:spacing w:line="240" w:lineRule="auto"/>
      <w:jc w:val="right"/>
      <w:rPr>
        <w:rFonts w:ascii="Arial" w:hAnsi="Arial" w:cs="Arial"/>
        <w:sz w:val="18"/>
        <w:szCs w:val="16"/>
      </w:rPr>
    </w:pPr>
    <w:r w:rsidRPr="00745459">
      <w:rPr>
        <w:rFonts w:ascii="Arial" w:hAnsi="Arial" w:cs="Arial"/>
        <w:sz w:val="18"/>
        <w:szCs w:val="16"/>
      </w:rPr>
      <w:t xml:space="preserve">Página </w:t>
    </w:r>
    <w:r w:rsidR="00B467E9" w:rsidRPr="00745459">
      <w:rPr>
        <w:rFonts w:ascii="Arial" w:hAnsi="Arial" w:cs="Arial"/>
        <w:sz w:val="18"/>
        <w:szCs w:val="16"/>
      </w:rPr>
      <w:fldChar w:fldCharType="begin"/>
    </w:r>
    <w:r w:rsidR="00B467E9" w:rsidRPr="00745459">
      <w:rPr>
        <w:rFonts w:ascii="Arial" w:hAnsi="Arial" w:cs="Arial"/>
        <w:sz w:val="18"/>
        <w:szCs w:val="16"/>
      </w:rPr>
      <w:instrText xml:space="preserve"> PAGE </w:instrText>
    </w:r>
    <w:r w:rsidR="00B467E9" w:rsidRPr="00745459">
      <w:rPr>
        <w:rFonts w:ascii="Arial" w:hAnsi="Arial" w:cs="Arial"/>
        <w:sz w:val="18"/>
        <w:szCs w:val="16"/>
      </w:rPr>
      <w:fldChar w:fldCharType="separate"/>
    </w:r>
    <w:r w:rsidR="006A38DB" w:rsidRPr="00745459">
      <w:rPr>
        <w:rFonts w:ascii="Arial" w:hAnsi="Arial" w:cs="Arial"/>
        <w:sz w:val="18"/>
        <w:szCs w:val="16"/>
      </w:rPr>
      <w:t>14</w:t>
    </w:r>
    <w:r w:rsidR="00B467E9" w:rsidRPr="00745459">
      <w:rPr>
        <w:rFonts w:ascii="Arial" w:hAnsi="Arial" w:cs="Arial"/>
        <w:sz w:val="18"/>
        <w:szCs w:val="16"/>
      </w:rPr>
      <w:fldChar w:fldCharType="end"/>
    </w:r>
    <w:r w:rsidRPr="00745459">
      <w:rPr>
        <w:rFonts w:ascii="Arial" w:hAnsi="Arial" w:cs="Arial"/>
        <w:sz w:val="18"/>
        <w:szCs w:val="16"/>
      </w:rPr>
      <w:t xml:space="preserve"> de </w:t>
    </w:r>
    <w:r w:rsidR="00B467E9" w:rsidRPr="00745459">
      <w:rPr>
        <w:rFonts w:ascii="Arial" w:hAnsi="Arial" w:cs="Arial"/>
        <w:sz w:val="18"/>
        <w:szCs w:val="16"/>
      </w:rPr>
      <w:fldChar w:fldCharType="begin"/>
    </w:r>
    <w:r w:rsidR="00B467E9" w:rsidRPr="00745459">
      <w:rPr>
        <w:rFonts w:ascii="Arial" w:hAnsi="Arial" w:cs="Arial"/>
        <w:sz w:val="18"/>
        <w:szCs w:val="16"/>
      </w:rPr>
      <w:instrText xml:space="preserve"> NUMPAGES </w:instrText>
    </w:r>
    <w:r w:rsidR="00B467E9" w:rsidRPr="00745459">
      <w:rPr>
        <w:rFonts w:ascii="Arial" w:hAnsi="Arial" w:cs="Arial"/>
        <w:sz w:val="18"/>
        <w:szCs w:val="16"/>
      </w:rPr>
      <w:fldChar w:fldCharType="separate"/>
    </w:r>
    <w:r w:rsidR="006A38DB" w:rsidRPr="00745459">
      <w:rPr>
        <w:rFonts w:ascii="Arial" w:hAnsi="Arial" w:cs="Arial"/>
        <w:sz w:val="18"/>
        <w:szCs w:val="16"/>
      </w:rPr>
      <w:t>18</w:t>
    </w:r>
    <w:r w:rsidR="00B467E9" w:rsidRPr="00745459">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03A96" w14:textId="77777777" w:rsidR="00121131" w:rsidRDefault="00121131" w:rsidP="00F13C87">
      <w:pPr>
        <w:spacing w:line="240" w:lineRule="auto"/>
      </w:pPr>
      <w:r>
        <w:separator/>
      </w:r>
    </w:p>
  </w:footnote>
  <w:footnote w:type="continuationSeparator" w:id="0">
    <w:p w14:paraId="066019F8" w14:textId="77777777" w:rsidR="00121131" w:rsidRDefault="00121131" w:rsidP="00F13C87">
      <w:pPr>
        <w:spacing w:line="240" w:lineRule="auto"/>
      </w:pPr>
      <w:r>
        <w:continuationSeparator/>
      </w:r>
    </w:p>
  </w:footnote>
  <w:footnote w:id="1">
    <w:p w14:paraId="7C45460D" w14:textId="77777777" w:rsidR="009F3B38" w:rsidRPr="00D9182D" w:rsidRDefault="009F3B38" w:rsidP="009F3B38">
      <w:pPr>
        <w:ind w:right="-232"/>
        <w:rPr>
          <w:rFonts w:ascii="Verdana" w:hAnsi="Verdana" w:cs="Arial"/>
          <w:b/>
          <w:sz w:val="20"/>
        </w:rPr>
      </w:pPr>
      <w:r w:rsidRPr="00D9182D">
        <w:rPr>
          <w:rStyle w:val="Refdenotaalpie"/>
          <w:rFonts w:eastAsia="Batang"/>
        </w:rPr>
        <w:footnoteRef/>
      </w:r>
      <w:r w:rsidRPr="00D9182D">
        <w:rPr>
          <w:rFonts w:ascii="Verdana" w:hAnsi="Verdana"/>
          <w:sz w:val="20"/>
        </w:rPr>
        <w:t xml:space="preserve"> CSJ SP, 01 feb. 2017, rad. 47377.</w:t>
      </w:r>
    </w:p>
  </w:footnote>
  <w:footnote w:id="2">
    <w:p w14:paraId="089D60B4" w14:textId="77777777" w:rsidR="009F3B38" w:rsidRPr="00D9182D" w:rsidRDefault="009F3B38" w:rsidP="009F3B38">
      <w:pPr>
        <w:pStyle w:val="Textonotapie"/>
        <w:rPr>
          <w:lang w:val="es-CO"/>
        </w:rPr>
      </w:pPr>
      <w:r w:rsidRPr="00D9182D">
        <w:rPr>
          <w:rStyle w:val="Refdenotaalpie"/>
          <w:rFonts w:eastAsia="Batang"/>
        </w:rPr>
        <w:footnoteRef/>
      </w:r>
      <w:r w:rsidRPr="00D9182D">
        <w:t xml:space="preserve"> Sentencia de 2 de mayo de 2002, radicación 15262. En el mismo sentido, fallos de 24 de </w:t>
      </w:r>
      <w:r>
        <w:t>junio de 2003, radicación 19413;</w:t>
      </w:r>
      <w:r w:rsidRPr="00D9182D">
        <w:t xml:space="preserve"> y 26 de junio de 2</w:t>
      </w:r>
      <w:r>
        <w:t>003, radicación 15934;</w:t>
      </w:r>
      <w:r w:rsidRPr="00D9182D">
        <w:t xml:space="preserve"> entre otros muchos.</w:t>
      </w:r>
    </w:p>
  </w:footnote>
  <w:footnote w:id="3">
    <w:p w14:paraId="18939629" w14:textId="77777777" w:rsidR="00075F92" w:rsidRPr="00D9182D" w:rsidRDefault="00075F92" w:rsidP="006A7601">
      <w:pPr>
        <w:spacing w:line="240" w:lineRule="auto"/>
        <w:ind w:right="-232"/>
        <w:rPr>
          <w:rFonts w:ascii="Verdana" w:hAnsi="Verdana" w:cs="Arial"/>
          <w:b/>
          <w:sz w:val="20"/>
        </w:rPr>
      </w:pPr>
      <w:r w:rsidRPr="00D9182D">
        <w:rPr>
          <w:rStyle w:val="Refdenotaalpie"/>
          <w:rFonts w:eastAsia="Batang"/>
        </w:rPr>
        <w:footnoteRef/>
      </w:r>
      <w:r w:rsidRPr="00D9182D">
        <w:rPr>
          <w:rFonts w:ascii="Verdana" w:hAnsi="Verdana"/>
          <w:sz w:val="20"/>
        </w:rPr>
        <w:t xml:space="preserve"> CSJ </w:t>
      </w:r>
      <w:r>
        <w:rPr>
          <w:rFonts w:ascii="Verdana" w:hAnsi="Verdana"/>
          <w:sz w:val="20"/>
        </w:rPr>
        <w:t>A</w:t>
      </w:r>
      <w:r w:rsidRPr="00D9182D">
        <w:rPr>
          <w:rFonts w:ascii="Verdana" w:hAnsi="Verdana"/>
          <w:sz w:val="20"/>
        </w:rPr>
        <w:t xml:space="preserve">P, </w:t>
      </w:r>
      <w:r>
        <w:rPr>
          <w:rFonts w:ascii="Verdana" w:hAnsi="Verdana"/>
          <w:sz w:val="20"/>
        </w:rPr>
        <w:t>30</w:t>
      </w:r>
      <w:r w:rsidRPr="00D9182D">
        <w:rPr>
          <w:rFonts w:ascii="Verdana" w:hAnsi="Verdana"/>
          <w:sz w:val="20"/>
        </w:rPr>
        <w:t xml:space="preserve"> </w:t>
      </w:r>
      <w:r>
        <w:rPr>
          <w:rFonts w:ascii="Verdana" w:hAnsi="Verdana"/>
          <w:sz w:val="20"/>
        </w:rPr>
        <w:t>ene</w:t>
      </w:r>
      <w:r w:rsidRPr="00D9182D">
        <w:rPr>
          <w:rFonts w:ascii="Verdana" w:hAnsi="Verdana"/>
          <w:sz w:val="20"/>
        </w:rPr>
        <w:t>. 201</w:t>
      </w:r>
      <w:r>
        <w:rPr>
          <w:rFonts w:ascii="Verdana" w:hAnsi="Verdana"/>
          <w:sz w:val="20"/>
        </w:rPr>
        <w:t>9</w:t>
      </w:r>
      <w:r w:rsidRPr="00D9182D">
        <w:rPr>
          <w:rFonts w:ascii="Verdana" w:hAnsi="Verdana"/>
          <w:sz w:val="20"/>
        </w:rPr>
        <w:t xml:space="preserve">, </w:t>
      </w:r>
      <w:r w:rsidR="006A7601">
        <w:rPr>
          <w:rFonts w:ascii="Verdana" w:hAnsi="Verdana"/>
          <w:sz w:val="20"/>
        </w:rPr>
        <w:t>R</w:t>
      </w:r>
      <w:r w:rsidRPr="00D9182D">
        <w:rPr>
          <w:rFonts w:ascii="Verdana" w:hAnsi="Verdana"/>
          <w:sz w:val="20"/>
        </w:rPr>
        <w:t>ad. 47377</w:t>
      </w:r>
      <w:r w:rsidR="00DC22BD">
        <w:rPr>
          <w:rFonts w:ascii="Verdana" w:hAnsi="Verdana"/>
          <w:sz w:val="20"/>
        </w:rPr>
        <w:t>, reiterado en CSJ AP, 16 jun. 2021, Rad. 59640.</w:t>
      </w:r>
    </w:p>
  </w:footnote>
  <w:footnote w:id="4">
    <w:p w14:paraId="70F46248" w14:textId="77777777" w:rsidR="006A7601" w:rsidRPr="00D9182D" w:rsidRDefault="006A7601" w:rsidP="006A7601">
      <w:pPr>
        <w:spacing w:line="240" w:lineRule="auto"/>
        <w:ind w:right="-232"/>
        <w:rPr>
          <w:rFonts w:ascii="Verdana" w:hAnsi="Verdana" w:cs="Arial"/>
          <w:b/>
          <w:sz w:val="20"/>
        </w:rPr>
      </w:pPr>
      <w:r w:rsidRPr="00D9182D">
        <w:rPr>
          <w:rStyle w:val="Refdenotaalpie"/>
          <w:rFonts w:eastAsia="Batang"/>
        </w:rPr>
        <w:footnoteRef/>
      </w:r>
      <w:r w:rsidRPr="00D9182D">
        <w:rPr>
          <w:rFonts w:ascii="Verdana" w:hAnsi="Verdana"/>
          <w:sz w:val="20"/>
        </w:rPr>
        <w:t xml:space="preserve"> CSJ </w:t>
      </w:r>
      <w:r>
        <w:rPr>
          <w:rFonts w:ascii="Verdana" w:hAnsi="Verdana"/>
          <w:sz w:val="20"/>
        </w:rPr>
        <w:t>A</w:t>
      </w:r>
      <w:r w:rsidRPr="00D9182D">
        <w:rPr>
          <w:rFonts w:ascii="Verdana" w:hAnsi="Verdana"/>
          <w:sz w:val="20"/>
        </w:rPr>
        <w:t xml:space="preserve">P, </w:t>
      </w:r>
      <w:r>
        <w:rPr>
          <w:rFonts w:ascii="Verdana" w:hAnsi="Verdana"/>
          <w:sz w:val="20"/>
        </w:rPr>
        <w:t>14</w:t>
      </w:r>
      <w:r w:rsidRPr="00D9182D">
        <w:rPr>
          <w:rFonts w:ascii="Verdana" w:hAnsi="Verdana"/>
          <w:sz w:val="20"/>
        </w:rPr>
        <w:t xml:space="preserve"> </w:t>
      </w:r>
      <w:r>
        <w:rPr>
          <w:rFonts w:ascii="Verdana" w:hAnsi="Verdana"/>
          <w:sz w:val="20"/>
        </w:rPr>
        <w:t>sept</w:t>
      </w:r>
      <w:r w:rsidRPr="00D9182D">
        <w:rPr>
          <w:rFonts w:ascii="Verdana" w:hAnsi="Verdana"/>
          <w:sz w:val="20"/>
        </w:rPr>
        <w:t>. 20</w:t>
      </w:r>
      <w:r>
        <w:rPr>
          <w:rFonts w:ascii="Verdana" w:hAnsi="Verdana"/>
          <w:sz w:val="20"/>
        </w:rPr>
        <w:t>09</w:t>
      </w:r>
      <w:r w:rsidRPr="00D9182D">
        <w:rPr>
          <w:rFonts w:ascii="Verdana" w:hAnsi="Verdana"/>
          <w:sz w:val="20"/>
        </w:rPr>
        <w:t xml:space="preserve">, </w:t>
      </w:r>
      <w:r>
        <w:rPr>
          <w:rFonts w:ascii="Verdana" w:hAnsi="Verdana"/>
          <w:sz w:val="20"/>
        </w:rPr>
        <w:t>R</w:t>
      </w:r>
      <w:r w:rsidRPr="00D9182D">
        <w:rPr>
          <w:rFonts w:ascii="Verdana" w:hAnsi="Verdana"/>
          <w:sz w:val="20"/>
        </w:rPr>
        <w:t xml:space="preserve">ad. </w:t>
      </w:r>
      <w:r>
        <w:rPr>
          <w:rFonts w:ascii="Verdana" w:hAnsi="Verdana"/>
          <w:sz w:val="20"/>
        </w:rPr>
        <w:t>32032, reiterado en CSJ AP, 28 ABR. 2021, Rad. 57934.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356E" w14:textId="181EB614" w:rsidR="00716B5B" w:rsidRPr="00745459" w:rsidRDefault="00745459" w:rsidP="00745459">
    <w:pPr>
      <w:pStyle w:val="Encabezado"/>
      <w:spacing w:line="240" w:lineRule="auto"/>
      <w:jc w:val="right"/>
      <w:rPr>
        <w:rFonts w:ascii="Arial" w:hAnsi="Arial" w:cs="Arial"/>
        <w:sz w:val="18"/>
        <w:szCs w:val="16"/>
      </w:rPr>
    </w:pPr>
    <w:r w:rsidRPr="00745459">
      <w:rPr>
        <w:rFonts w:ascii="Arial" w:hAnsi="Arial" w:cs="Arial"/>
        <w:sz w:val="18"/>
        <w:szCs w:val="16"/>
      </w:rPr>
      <w:t>Tentativa de homicidio</w:t>
    </w:r>
  </w:p>
  <w:p w14:paraId="16E477EF" w14:textId="10A7366A" w:rsidR="00716B5B" w:rsidRPr="00745459" w:rsidRDefault="00745459" w:rsidP="00745459">
    <w:pPr>
      <w:pStyle w:val="Encabezado"/>
      <w:spacing w:line="240" w:lineRule="auto"/>
      <w:jc w:val="right"/>
      <w:rPr>
        <w:rFonts w:ascii="Arial" w:hAnsi="Arial" w:cs="Arial"/>
        <w:sz w:val="18"/>
        <w:szCs w:val="16"/>
      </w:rPr>
    </w:pPr>
    <w:r w:rsidRPr="00745459">
      <w:rPr>
        <w:rFonts w:ascii="Arial" w:hAnsi="Arial" w:cs="Arial"/>
        <w:sz w:val="18"/>
        <w:szCs w:val="16"/>
      </w:rPr>
      <w:t>Radicación</w:t>
    </w:r>
    <w:r w:rsidR="00716B5B" w:rsidRPr="00745459">
      <w:rPr>
        <w:rFonts w:ascii="Arial" w:hAnsi="Arial" w:cs="Arial"/>
        <w:sz w:val="18"/>
        <w:szCs w:val="16"/>
      </w:rPr>
      <w:t>:</w:t>
    </w:r>
    <w:r w:rsidR="00F44DBC" w:rsidRPr="00745459">
      <w:rPr>
        <w:rFonts w:ascii="Arial" w:hAnsi="Arial" w:cs="Arial"/>
        <w:sz w:val="18"/>
        <w:szCs w:val="16"/>
      </w:rPr>
      <w:t xml:space="preserve"> 660016000035 2021 01185 01</w:t>
    </w:r>
  </w:p>
  <w:p w14:paraId="55D9BD6D" w14:textId="1C007C88" w:rsidR="00716B5B" w:rsidRPr="00745459" w:rsidRDefault="00745459" w:rsidP="00745459">
    <w:pPr>
      <w:pStyle w:val="Encabezado"/>
      <w:spacing w:line="240" w:lineRule="auto"/>
      <w:jc w:val="right"/>
      <w:rPr>
        <w:rFonts w:ascii="Arial" w:hAnsi="Arial" w:cs="Arial"/>
        <w:sz w:val="18"/>
        <w:szCs w:val="16"/>
      </w:rPr>
    </w:pPr>
    <w:r w:rsidRPr="00745459">
      <w:rPr>
        <w:rFonts w:ascii="Arial" w:hAnsi="Arial" w:cs="Arial"/>
        <w:sz w:val="18"/>
        <w:szCs w:val="16"/>
      </w:rPr>
      <w:t>Procesado</w:t>
    </w:r>
    <w:r w:rsidR="00716B5B" w:rsidRPr="00745459">
      <w:rPr>
        <w:rFonts w:ascii="Arial" w:hAnsi="Arial" w:cs="Arial"/>
        <w:sz w:val="18"/>
        <w:szCs w:val="16"/>
      </w:rPr>
      <w:t xml:space="preserve">: </w:t>
    </w:r>
    <w:r w:rsidR="00F44DBC" w:rsidRPr="00745459">
      <w:rPr>
        <w:rFonts w:ascii="Arial" w:hAnsi="Arial" w:cs="Arial"/>
        <w:sz w:val="18"/>
        <w:szCs w:val="16"/>
      </w:rPr>
      <w:t>OAJS</w:t>
    </w:r>
  </w:p>
  <w:p w14:paraId="1D44E1E1" w14:textId="29DAD600" w:rsidR="00716B5B" w:rsidRPr="00745459" w:rsidRDefault="00253C21" w:rsidP="00745459">
    <w:pPr>
      <w:pStyle w:val="Encabezado"/>
      <w:spacing w:line="240" w:lineRule="auto"/>
      <w:jc w:val="right"/>
      <w:rPr>
        <w:rFonts w:ascii="Arial" w:hAnsi="Arial" w:cs="Arial"/>
        <w:sz w:val="18"/>
        <w:szCs w:val="16"/>
      </w:rPr>
    </w:pPr>
    <w:r w:rsidRPr="00745459">
      <w:rPr>
        <w:rFonts w:ascii="Arial" w:hAnsi="Arial" w:cs="Arial"/>
        <w:sz w:val="18"/>
        <w:szCs w:val="16"/>
      </w:rPr>
      <w:t>Declara desierto recurso</w:t>
    </w:r>
  </w:p>
  <w:p w14:paraId="16E54B0A" w14:textId="765F75E0" w:rsidR="00716B5B" w:rsidRPr="00745459" w:rsidRDefault="00603093" w:rsidP="00745459">
    <w:pPr>
      <w:pStyle w:val="Encabezado"/>
      <w:spacing w:line="240" w:lineRule="auto"/>
      <w:jc w:val="right"/>
      <w:rPr>
        <w:rFonts w:ascii="Arial" w:hAnsi="Arial" w:cs="Arial"/>
        <w:sz w:val="18"/>
        <w:szCs w:val="16"/>
      </w:rPr>
    </w:pPr>
    <w:r w:rsidRPr="00745459">
      <w:rPr>
        <w:rFonts w:ascii="Arial" w:hAnsi="Arial" w:cs="Arial"/>
        <w:sz w:val="18"/>
        <w:szCs w:val="16"/>
      </w:rPr>
      <w:t>A</w:t>
    </w:r>
    <w:r w:rsidR="00716B5B" w:rsidRPr="00745459">
      <w:rPr>
        <w:rFonts w:ascii="Arial" w:hAnsi="Arial" w:cs="Arial"/>
        <w:sz w:val="18"/>
        <w:szCs w:val="16"/>
      </w:rPr>
      <w:t>. N°</w:t>
    </w:r>
    <w:r w:rsidR="00745459" w:rsidRPr="00745459">
      <w:rPr>
        <w:rFonts w:ascii="Arial" w:hAnsi="Arial" w:cs="Arial"/>
        <w:sz w:val="18"/>
        <w:szCs w:val="16"/>
      </w:rPr>
      <w:t xml:space="preserve"> </w:t>
    </w:r>
    <w:r w:rsidR="00EE1120" w:rsidRPr="00745459">
      <w:rPr>
        <w:rFonts w:ascii="Arial" w:hAnsi="Arial" w:cs="Arial"/>
        <w:sz w:val="18"/>
        <w:szCs w:val="16"/>
      </w:rPr>
      <w:t>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F89"/>
    <w:multiLevelType w:val="multilevel"/>
    <w:tmpl w:val="DC86BDA8"/>
    <w:lvl w:ilvl="0">
      <w:start w:val="1"/>
      <w:numFmt w:val="decimal"/>
      <w:lvlText w:val="%1."/>
      <w:lvlJc w:val="left"/>
      <w:pPr>
        <w:ind w:left="600" w:hanging="600"/>
      </w:pPr>
      <w:rPr>
        <w:rFonts w:cs="Times New Roman" w:hint="default"/>
        <w:b/>
        <w:sz w:val="24"/>
      </w:rPr>
    </w:lvl>
    <w:lvl w:ilvl="1">
      <w:start w:val="1"/>
      <w:numFmt w:val="decimal"/>
      <w:lvlText w:val="%1.%2."/>
      <w:lvlJc w:val="left"/>
      <w:pPr>
        <w:ind w:left="720" w:hanging="720"/>
      </w:pPr>
      <w:rPr>
        <w:rFonts w:cs="Times New Roman" w:hint="default"/>
        <w:b/>
        <w:sz w:val="24"/>
      </w:rPr>
    </w:lvl>
    <w:lvl w:ilvl="2">
      <w:start w:val="1"/>
      <w:numFmt w:val="decimal"/>
      <w:lvlText w:val="%1.%2.%3."/>
      <w:lvlJc w:val="left"/>
      <w:pPr>
        <w:ind w:left="1080" w:hanging="1080"/>
      </w:pPr>
      <w:rPr>
        <w:rFonts w:cs="Times New Roman" w:hint="default"/>
        <w:b/>
        <w:sz w:val="24"/>
      </w:rPr>
    </w:lvl>
    <w:lvl w:ilvl="3">
      <w:start w:val="1"/>
      <w:numFmt w:val="decimal"/>
      <w:lvlText w:val="%1.%2.%3.%4."/>
      <w:lvlJc w:val="left"/>
      <w:pPr>
        <w:ind w:left="1080" w:hanging="1080"/>
      </w:pPr>
      <w:rPr>
        <w:rFonts w:cs="Times New Roman" w:hint="default"/>
        <w:b/>
        <w:sz w:val="24"/>
      </w:rPr>
    </w:lvl>
    <w:lvl w:ilvl="4">
      <w:start w:val="1"/>
      <w:numFmt w:val="decimal"/>
      <w:lvlText w:val="%1.%2.%3.%4.%5."/>
      <w:lvlJc w:val="left"/>
      <w:pPr>
        <w:ind w:left="1440" w:hanging="1440"/>
      </w:pPr>
      <w:rPr>
        <w:rFonts w:cs="Times New Roman" w:hint="default"/>
        <w:b/>
        <w:sz w:val="24"/>
      </w:rPr>
    </w:lvl>
    <w:lvl w:ilvl="5">
      <w:start w:val="1"/>
      <w:numFmt w:val="decimal"/>
      <w:lvlText w:val="%1.%2.%3.%4.%5.%6."/>
      <w:lvlJc w:val="left"/>
      <w:pPr>
        <w:ind w:left="1800" w:hanging="1800"/>
      </w:pPr>
      <w:rPr>
        <w:rFonts w:cs="Times New Roman" w:hint="default"/>
        <w:b/>
        <w:sz w:val="24"/>
      </w:rPr>
    </w:lvl>
    <w:lvl w:ilvl="6">
      <w:start w:val="1"/>
      <w:numFmt w:val="decimal"/>
      <w:lvlText w:val="%1.%2.%3.%4.%5.%6.%7."/>
      <w:lvlJc w:val="left"/>
      <w:pPr>
        <w:ind w:left="2160" w:hanging="2160"/>
      </w:pPr>
      <w:rPr>
        <w:rFonts w:cs="Times New Roman" w:hint="default"/>
        <w:b/>
        <w:sz w:val="24"/>
      </w:rPr>
    </w:lvl>
    <w:lvl w:ilvl="7">
      <w:start w:val="1"/>
      <w:numFmt w:val="decimal"/>
      <w:lvlText w:val="%1.%2.%3.%4.%5.%6.%7.%8."/>
      <w:lvlJc w:val="left"/>
      <w:pPr>
        <w:ind w:left="2160" w:hanging="2160"/>
      </w:pPr>
      <w:rPr>
        <w:rFonts w:cs="Times New Roman" w:hint="default"/>
        <w:b/>
        <w:sz w:val="24"/>
      </w:rPr>
    </w:lvl>
    <w:lvl w:ilvl="8">
      <w:start w:val="1"/>
      <w:numFmt w:val="decimal"/>
      <w:lvlText w:val="%1.%2.%3.%4.%5.%6.%7.%8.%9."/>
      <w:lvlJc w:val="left"/>
      <w:pPr>
        <w:ind w:left="2520" w:hanging="2520"/>
      </w:pPr>
      <w:rPr>
        <w:rFonts w:cs="Times New Roman" w:hint="default"/>
        <w:b/>
        <w:sz w:val="24"/>
      </w:rPr>
    </w:lvl>
  </w:abstractNum>
  <w:abstractNum w:abstractNumId="1" w15:restartNumberingAfterBreak="0">
    <w:nsid w:val="0E312068"/>
    <w:multiLevelType w:val="hybridMultilevel"/>
    <w:tmpl w:val="C5921446"/>
    <w:lvl w:ilvl="0" w:tplc="C478A162">
      <w:start w:val="3"/>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D37106"/>
    <w:multiLevelType w:val="hybridMultilevel"/>
    <w:tmpl w:val="9BA0DA7C"/>
    <w:lvl w:ilvl="0" w:tplc="A746B86C">
      <w:start w:val="3"/>
      <w:numFmt w:val="bullet"/>
      <w:lvlText w:val="-"/>
      <w:lvlJc w:val="left"/>
      <w:pPr>
        <w:ind w:left="720" w:hanging="360"/>
      </w:pPr>
      <w:rPr>
        <w:rFonts w:ascii="Century Gothic" w:eastAsia="Times New Roman" w:hAnsi="Century Gothic"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A474853"/>
    <w:multiLevelType w:val="hybridMultilevel"/>
    <w:tmpl w:val="1840C892"/>
    <w:lvl w:ilvl="0" w:tplc="2112FC0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F732BA"/>
    <w:multiLevelType w:val="hybridMultilevel"/>
    <w:tmpl w:val="3612D2FE"/>
    <w:lvl w:ilvl="0" w:tplc="D8F6FF64">
      <w:start w:val="3"/>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7"/>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87"/>
    <w:rsid w:val="0001037D"/>
    <w:rsid w:val="000208BC"/>
    <w:rsid w:val="0002093B"/>
    <w:rsid w:val="0002705A"/>
    <w:rsid w:val="00037096"/>
    <w:rsid w:val="0003774F"/>
    <w:rsid w:val="00052F86"/>
    <w:rsid w:val="000538A0"/>
    <w:rsid w:val="00060191"/>
    <w:rsid w:val="00060A1A"/>
    <w:rsid w:val="000626F7"/>
    <w:rsid w:val="00062C38"/>
    <w:rsid w:val="00070AEE"/>
    <w:rsid w:val="00073BD6"/>
    <w:rsid w:val="00075F92"/>
    <w:rsid w:val="0008027C"/>
    <w:rsid w:val="00094ACD"/>
    <w:rsid w:val="00097041"/>
    <w:rsid w:val="000972C4"/>
    <w:rsid w:val="000A49CB"/>
    <w:rsid w:val="000B09CB"/>
    <w:rsid w:val="000B217E"/>
    <w:rsid w:val="000B38A1"/>
    <w:rsid w:val="000B3A66"/>
    <w:rsid w:val="000B440B"/>
    <w:rsid w:val="000C1E8A"/>
    <w:rsid w:val="000C3CC3"/>
    <w:rsid w:val="000C5F4B"/>
    <w:rsid w:val="000D29A4"/>
    <w:rsid w:val="000D42A3"/>
    <w:rsid w:val="001040EC"/>
    <w:rsid w:val="001066CC"/>
    <w:rsid w:val="00121131"/>
    <w:rsid w:val="00127864"/>
    <w:rsid w:val="00127B0F"/>
    <w:rsid w:val="001520F6"/>
    <w:rsid w:val="00156C3E"/>
    <w:rsid w:val="00160DCF"/>
    <w:rsid w:val="001610A3"/>
    <w:rsid w:val="00172E10"/>
    <w:rsid w:val="00181278"/>
    <w:rsid w:val="00186BC5"/>
    <w:rsid w:val="0019420B"/>
    <w:rsid w:val="00194300"/>
    <w:rsid w:val="0019468E"/>
    <w:rsid w:val="00195300"/>
    <w:rsid w:val="001B2E68"/>
    <w:rsid w:val="001B3D86"/>
    <w:rsid w:val="001B4E44"/>
    <w:rsid w:val="001B4F48"/>
    <w:rsid w:val="001B7328"/>
    <w:rsid w:val="001C7DA6"/>
    <w:rsid w:val="001D1885"/>
    <w:rsid w:val="001E6E93"/>
    <w:rsid w:val="001E7BA9"/>
    <w:rsid w:val="001F272E"/>
    <w:rsid w:val="001F4662"/>
    <w:rsid w:val="00224BD9"/>
    <w:rsid w:val="002300FF"/>
    <w:rsid w:val="00240BEB"/>
    <w:rsid w:val="0024489C"/>
    <w:rsid w:val="002458B3"/>
    <w:rsid w:val="00253C21"/>
    <w:rsid w:val="00263332"/>
    <w:rsid w:val="00265699"/>
    <w:rsid w:val="002663D8"/>
    <w:rsid w:val="00267BA6"/>
    <w:rsid w:val="002812B7"/>
    <w:rsid w:val="00287121"/>
    <w:rsid w:val="00287E98"/>
    <w:rsid w:val="002913FE"/>
    <w:rsid w:val="00291546"/>
    <w:rsid w:val="002932EB"/>
    <w:rsid w:val="00296EDE"/>
    <w:rsid w:val="002A156A"/>
    <w:rsid w:val="002A5943"/>
    <w:rsid w:val="002B108C"/>
    <w:rsid w:val="002B319C"/>
    <w:rsid w:val="002B335C"/>
    <w:rsid w:val="002B5D7D"/>
    <w:rsid w:val="002B5D9C"/>
    <w:rsid w:val="002C6A50"/>
    <w:rsid w:val="002D5DA8"/>
    <w:rsid w:val="002E3686"/>
    <w:rsid w:val="002E3BAB"/>
    <w:rsid w:val="002F0C99"/>
    <w:rsid w:val="002F2C30"/>
    <w:rsid w:val="002F2F73"/>
    <w:rsid w:val="00305972"/>
    <w:rsid w:val="003073D4"/>
    <w:rsid w:val="00324449"/>
    <w:rsid w:val="003253C5"/>
    <w:rsid w:val="0033211F"/>
    <w:rsid w:val="00343A6F"/>
    <w:rsid w:val="00345BEC"/>
    <w:rsid w:val="00351B18"/>
    <w:rsid w:val="003574EC"/>
    <w:rsid w:val="003611C2"/>
    <w:rsid w:val="00361C06"/>
    <w:rsid w:val="00376217"/>
    <w:rsid w:val="00380A0A"/>
    <w:rsid w:val="00394457"/>
    <w:rsid w:val="00396C5D"/>
    <w:rsid w:val="003977A4"/>
    <w:rsid w:val="003A0B3D"/>
    <w:rsid w:val="003A1DB5"/>
    <w:rsid w:val="003A3033"/>
    <w:rsid w:val="003A5263"/>
    <w:rsid w:val="003A79A2"/>
    <w:rsid w:val="003C0849"/>
    <w:rsid w:val="003D3900"/>
    <w:rsid w:val="003E1681"/>
    <w:rsid w:val="003E46FC"/>
    <w:rsid w:val="003F2F2C"/>
    <w:rsid w:val="004032A0"/>
    <w:rsid w:val="00410895"/>
    <w:rsid w:val="00420D38"/>
    <w:rsid w:val="00421500"/>
    <w:rsid w:val="00431E5C"/>
    <w:rsid w:val="004374FA"/>
    <w:rsid w:val="004459EA"/>
    <w:rsid w:val="004540C9"/>
    <w:rsid w:val="004724E1"/>
    <w:rsid w:val="004820DD"/>
    <w:rsid w:val="00482D2D"/>
    <w:rsid w:val="00496742"/>
    <w:rsid w:val="004A018E"/>
    <w:rsid w:val="004A1D2A"/>
    <w:rsid w:val="004A3EAC"/>
    <w:rsid w:val="004A510C"/>
    <w:rsid w:val="004B427A"/>
    <w:rsid w:val="004C0656"/>
    <w:rsid w:val="004C1C53"/>
    <w:rsid w:val="004C4DE5"/>
    <w:rsid w:val="004C7E15"/>
    <w:rsid w:val="004D3005"/>
    <w:rsid w:val="004E14BC"/>
    <w:rsid w:val="004E2F9B"/>
    <w:rsid w:val="004E3B03"/>
    <w:rsid w:val="004E5500"/>
    <w:rsid w:val="004F4E21"/>
    <w:rsid w:val="00501111"/>
    <w:rsid w:val="00504D06"/>
    <w:rsid w:val="00510EC1"/>
    <w:rsid w:val="0052030F"/>
    <w:rsid w:val="005236E1"/>
    <w:rsid w:val="00532AE9"/>
    <w:rsid w:val="00536B34"/>
    <w:rsid w:val="005374D0"/>
    <w:rsid w:val="00541C0E"/>
    <w:rsid w:val="00541E36"/>
    <w:rsid w:val="00542382"/>
    <w:rsid w:val="00545921"/>
    <w:rsid w:val="00551D9F"/>
    <w:rsid w:val="005531D5"/>
    <w:rsid w:val="00553D4D"/>
    <w:rsid w:val="00556303"/>
    <w:rsid w:val="00556860"/>
    <w:rsid w:val="00565758"/>
    <w:rsid w:val="0057125E"/>
    <w:rsid w:val="00582DE2"/>
    <w:rsid w:val="005849C3"/>
    <w:rsid w:val="00586A4E"/>
    <w:rsid w:val="005923B1"/>
    <w:rsid w:val="005932C6"/>
    <w:rsid w:val="00594738"/>
    <w:rsid w:val="005A46B9"/>
    <w:rsid w:val="005B780E"/>
    <w:rsid w:val="005C28AC"/>
    <w:rsid w:val="005D621E"/>
    <w:rsid w:val="005E153F"/>
    <w:rsid w:val="005E315D"/>
    <w:rsid w:val="005E3D98"/>
    <w:rsid w:val="005E5494"/>
    <w:rsid w:val="005E6B5E"/>
    <w:rsid w:val="005E6D49"/>
    <w:rsid w:val="005F56D5"/>
    <w:rsid w:val="0060085A"/>
    <w:rsid w:val="00601626"/>
    <w:rsid w:val="00603093"/>
    <w:rsid w:val="0060584B"/>
    <w:rsid w:val="006064B7"/>
    <w:rsid w:val="006126D3"/>
    <w:rsid w:val="00621A5D"/>
    <w:rsid w:val="0062492C"/>
    <w:rsid w:val="00632ACA"/>
    <w:rsid w:val="00636816"/>
    <w:rsid w:val="0064194B"/>
    <w:rsid w:val="0064588C"/>
    <w:rsid w:val="00646303"/>
    <w:rsid w:val="006536E1"/>
    <w:rsid w:val="00654ACD"/>
    <w:rsid w:val="00661258"/>
    <w:rsid w:val="006636D0"/>
    <w:rsid w:val="00663852"/>
    <w:rsid w:val="006649F2"/>
    <w:rsid w:val="00665D1E"/>
    <w:rsid w:val="00682F81"/>
    <w:rsid w:val="006866F4"/>
    <w:rsid w:val="00692994"/>
    <w:rsid w:val="006A0A2F"/>
    <w:rsid w:val="006A1844"/>
    <w:rsid w:val="006A38DB"/>
    <w:rsid w:val="006A7601"/>
    <w:rsid w:val="006B01FF"/>
    <w:rsid w:val="006B4B05"/>
    <w:rsid w:val="006B68D0"/>
    <w:rsid w:val="006C3C48"/>
    <w:rsid w:val="006C6EB3"/>
    <w:rsid w:val="006D5147"/>
    <w:rsid w:val="006D5F29"/>
    <w:rsid w:val="006E67F8"/>
    <w:rsid w:val="006F20B4"/>
    <w:rsid w:val="006F48B0"/>
    <w:rsid w:val="006F729B"/>
    <w:rsid w:val="00702228"/>
    <w:rsid w:val="0070226E"/>
    <w:rsid w:val="00706CFC"/>
    <w:rsid w:val="007114C4"/>
    <w:rsid w:val="007137AC"/>
    <w:rsid w:val="00716B5B"/>
    <w:rsid w:val="007210AB"/>
    <w:rsid w:val="007231CB"/>
    <w:rsid w:val="00723424"/>
    <w:rsid w:val="00724548"/>
    <w:rsid w:val="0072635F"/>
    <w:rsid w:val="00732414"/>
    <w:rsid w:val="00735B8F"/>
    <w:rsid w:val="0074129B"/>
    <w:rsid w:val="00744209"/>
    <w:rsid w:val="00745459"/>
    <w:rsid w:val="007561B5"/>
    <w:rsid w:val="007575ED"/>
    <w:rsid w:val="00760153"/>
    <w:rsid w:val="007626D3"/>
    <w:rsid w:val="00770552"/>
    <w:rsid w:val="0078720A"/>
    <w:rsid w:val="007A3336"/>
    <w:rsid w:val="007B15CB"/>
    <w:rsid w:val="007B1BB6"/>
    <w:rsid w:val="007B35C8"/>
    <w:rsid w:val="007B3835"/>
    <w:rsid w:val="007C1B23"/>
    <w:rsid w:val="007E272C"/>
    <w:rsid w:val="007E332B"/>
    <w:rsid w:val="007F010A"/>
    <w:rsid w:val="008013DC"/>
    <w:rsid w:val="008015A4"/>
    <w:rsid w:val="00801C89"/>
    <w:rsid w:val="00802E7E"/>
    <w:rsid w:val="008153BB"/>
    <w:rsid w:val="00822307"/>
    <w:rsid w:val="0082542A"/>
    <w:rsid w:val="00825C04"/>
    <w:rsid w:val="008421AE"/>
    <w:rsid w:val="00843F91"/>
    <w:rsid w:val="0085017F"/>
    <w:rsid w:val="008737F9"/>
    <w:rsid w:val="00877822"/>
    <w:rsid w:val="00892844"/>
    <w:rsid w:val="0089353F"/>
    <w:rsid w:val="00896ECD"/>
    <w:rsid w:val="008972BD"/>
    <w:rsid w:val="00897866"/>
    <w:rsid w:val="008A1F34"/>
    <w:rsid w:val="008A535C"/>
    <w:rsid w:val="008A636F"/>
    <w:rsid w:val="008A6DEC"/>
    <w:rsid w:val="008A78B8"/>
    <w:rsid w:val="008C102D"/>
    <w:rsid w:val="008C1613"/>
    <w:rsid w:val="008C2F04"/>
    <w:rsid w:val="008C7A7B"/>
    <w:rsid w:val="008D5C2D"/>
    <w:rsid w:val="008E030B"/>
    <w:rsid w:val="008E74BC"/>
    <w:rsid w:val="00901375"/>
    <w:rsid w:val="00905E81"/>
    <w:rsid w:val="00910FF9"/>
    <w:rsid w:val="009110ED"/>
    <w:rsid w:val="009138B2"/>
    <w:rsid w:val="0091455B"/>
    <w:rsid w:val="00914F9A"/>
    <w:rsid w:val="009176CF"/>
    <w:rsid w:val="00920871"/>
    <w:rsid w:val="00925987"/>
    <w:rsid w:val="0092668A"/>
    <w:rsid w:val="009319F8"/>
    <w:rsid w:val="00933FCA"/>
    <w:rsid w:val="009343C0"/>
    <w:rsid w:val="00936429"/>
    <w:rsid w:val="00950D5F"/>
    <w:rsid w:val="00952B93"/>
    <w:rsid w:val="00967673"/>
    <w:rsid w:val="009702EA"/>
    <w:rsid w:val="00972707"/>
    <w:rsid w:val="0097273B"/>
    <w:rsid w:val="00974F7D"/>
    <w:rsid w:val="0098516F"/>
    <w:rsid w:val="009A2E0E"/>
    <w:rsid w:val="009A3B30"/>
    <w:rsid w:val="009A5CCC"/>
    <w:rsid w:val="009A5D72"/>
    <w:rsid w:val="009B01E6"/>
    <w:rsid w:val="009B2B52"/>
    <w:rsid w:val="009B3295"/>
    <w:rsid w:val="009B383D"/>
    <w:rsid w:val="009C487D"/>
    <w:rsid w:val="009C6EEA"/>
    <w:rsid w:val="009C704B"/>
    <w:rsid w:val="009D0655"/>
    <w:rsid w:val="009D3DE3"/>
    <w:rsid w:val="009E1A11"/>
    <w:rsid w:val="009F3B38"/>
    <w:rsid w:val="009F6258"/>
    <w:rsid w:val="009F72FC"/>
    <w:rsid w:val="00A00F08"/>
    <w:rsid w:val="00A12706"/>
    <w:rsid w:val="00A23B6C"/>
    <w:rsid w:val="00A27BCB"/>
    <w:rsid w:val="00A4596B"/>
    <w:rsid w:val="00A52BB9"/>
    <w:rsid w:val="00A67A41"/>
    <w:rsid w:val="00A67E08"/>
    <w:rsid w:val="00A70BDB"/>
    <w:rsid w:val="00A7544F"/>
    <w:rsid w:val="00A7555D"/>
    <w:rsid w:val="00A81ECF"/>
    <w:rsid w:val="00A84790"/>
    <w:rsid w:val="00A85757"/>
    <w:rsid w:val="00AA0EEB"/>
    <w:rsid w:val="00AA476C"/>
    <w:rsid w:val="00AA5B76"/>
    <w:rsid w:val="00AA6D61"/>
    <w:rsid w:val="00AB10C3"/>
    <w:rsid w:val="00AB3FDE"/>
    <w:rsid w:val="00AD04B6"/>
    <w:rsid w:val="00AD7923"/>
    <w:rsid w:val="00AE36CA"/>
    <w:rsid w:val="00AE3785"/>
    <w:rsid w:val="00AF3D1E"/>
    <w:rsid w:val="00AF626D"/>
    <w:rsid w:val="00B01C27"/>
    <w:rsid w:val="00B01ECE"/>
    <w:rsid w:val="00B04CA9"/>
    <w:rsid w:val="00B05322"/>
    <w:rsid w:val="00B10987"/>
    <w:rsid w:val="00B10ED7"/>
    <w:rsid w:val="00B127C9"/>
    <w:rsid w:val="00B136D0"/>
    <w:rsid w:val="00B24106"/>
    <w:rsid w:val="00B25DDF"/>
    <w:rsid w:val="00B31B9A"/>
    <w:rsid w:val="00B33AEC"/>
    <w:rsid w:val="00B364D3"/>
    <w:rsid w:val="00B403D3"/>
    <w:rsid w:val="00B43879"/>
    <w:rsid w:val="00B467E9"/>
    <w:rsid w:val="00B4772B"/>
    <w:rsid w:val="00B50D6D"/>
    <w:rsid w:val="00B61DD8"/>
    <w:rsid w:val="00B61E7B"/>
    <w:rsid w:val="00B64F4A"/>
    <w:rsid w:val="00B65B7A"/>
    <w:rsid w:val="00B8190E"/>
    <w:rsid w:val="00B81D5B"/>
    <w:rsid w:val="00B825DE"/>
    <w:rsid w:val="00B87B81"/>
    <w:rsid w:val="00B87BEA"/>
    <w:rsid w:val="00B94150"/>
    <w:rsid w:val="00BA2475"/>
    <w:rsid w:val="00BA782E"/>
    <w:rsid w:val="00BB1377"/>
    <w:rsid w:val="00BC02C2"/>
    <w:rsid w:val="00BC2EEC"/>
    <w:rsid w:val="00BC4954"/>
    <w:rsid w:val="00BD4BB3"/>
    <w:rsid w:val="00BE7D83"/>
    <w:rsid w:val="00BF1114"/>
    <w:rsid w:val="00C007B6"/>
    <w:rsid w:val="00C04AB2"/>
    <w:rsid w:val="00C13AA9"/>
    <w:rsid w:val="00C21AE7"/>
    <w:rsid w:val="00C23221"/>
    <w:rsid w:val="00C3314A"/>
    <w:rsid w:val="00C36255"/>
    <w:rsid w:val="00C47D93"/>
    <w:rsid w:val="00C53DCA"/>
    <w:rsid w:val="00C55C9A"/>
    <w:rsid w:val="00C60F2C"/>
    <w:rsid w:val="00C736DE"/>
    <w:rsid w:val="00C868B5"/>
    <w:rsid w:val="00C901E4"/>
    <w:rsid w:val="00C92756"/>
    <w:rsid w:val="00C95CE5"/>
    <w:rsid w:val="00CB38DD"/>
    <w:rsid w:val="00CB4950"/>
    <w:rsid w:val="00CB4F36"/>
    <w:rsid w:val="00CC0795"/>
    <w:rsid w:val="00CC1030"/>
    <w:rsid w:val="00CE5379"/>
    <w:rsid w:val="00CF3900"/>
    <w:rsid w:val="00CF72D0"/>
    <w:rsid w:val="00D021BC"/>
    <w:rsid w:val="00D0224F"/>
    <w:rsid w:val="00D05E27"/>
    <w:rsid w:val="00D16A05"/>
    <w:rsid w:val="00D21FFB"/>
    <w:rsid w:val="00D33FBD"/>
    <w:rsid w:val="00D371CF"/>
    <w:rsid w:val="00D476F5"/>
    <w:rsid w:val="00D545A1"/>
    <w:rsid w:val="00D55497"/>
    <w:rsid w:val="00D55BA4"/>
    <w:rsid w:val="00D6064C"/>
    <w:rsid w:val="00D66A1D"/>
    <w:rsid w:val="00D77D9D"/>
    <w:rsid w:val="00D8366E"/>
    <w:rsid w:val="00D84118"/>
    <w:rsid w:val="00D91317"/>
    <w:rsid w:val="00D94C01"/>
    <w:rsid w:val="00DA15BB"/>
    <w:rsid w:val="00DA53A3"/>
    <w:rsid w:val="00DB124C"/>
    <w:rsid w:val="00DB1CD4"/>
    <w:rsid w:val="00DB798D"/>
    <w:rsid w:val="00DC22BD"/>
    <w:rsid w:val="00DC26B2"/>
    <w:rsid w:val="00DC3100"/>
    <w:rsid w:val="00DC511D"/>
    <w:rsid w:val="00DD0E4B"/>
    <w:rsid w:val="00DD4930"/>
    <w:rsid w:val="00DE2F49"/>
    <w:rsid w:val="00DE7D15"/>
    <w:rsid w:val="00DF780E"/>
    <w:rsid w:val="00E0129D"/>
    <w:rsid w:val="00E01753"/>
    <w:rsid w:val="00E01C77"/>
    <w:rsid w:val="00E07AE0"/>
    <w:rsid w:val="00E13B84"/>
    <w:rsid w:val="00E151B7"/>
    <w:rsid w:val="00E163CB"/>
    <w:rsid w:val="00E17E13"/>
    <w:rsid w:val="00E25D5B"/>
    <w:rsid w:val="00E34984"/>
    <w:rsid w:val="00E602FB"/>
    <w:rsid w:val="00E62FEF"/>
    <w:rsid w:val="00E65C5D"/>
    <w:rsid w:val="00E6604D"/>
    <w:rsid w:val="00E72AA4"/>
    <w:rsid w:val="00E823A8"/>
    <w:rsid w:val="00E90174"/>
    <w:rsid w:val="00E90B03"/>
    <w:rsid w:val="00E92ACB"/>
    <w:rsid w:val="00E96FA9"/>
    <w:rsid w:val="00EA004B"/>
    <w:rsid w:val="00EA1E0B"/>
    <w:rsid w:val="00EC1170"/>
    <w:rsid w:val="00EC5DC0"/>
    <w:rsid w:val="00EE1120"/>
    <w:rsid w:val="00EE40C5"/>
    <w:rsid w:val="00EE6484"/>
    <w:rsid w:val="00EF0D02"/>
    <w:rsid w:val="00EF14AB"/>
    <w:rsid w:val="00EF7946"/>
    <w:rsid w:val="00F0083E"/>
    <w:rsid w:val="00F030E9"/>
    <w:rsid w:val="00F06E46"/>
    <w:rsid w:val="00F13C87"/>
    <w:rsid w:val="00F1630A"/>
    <w:rsid w:val="00F214E5"/>
    <w:rsid w:val="00F25778"/>
    <w:rsid w:val="00F33179"/>
    <w:rsid w:val="00F412C9"/>
    <w:rsid w:val="00F44DBC"/>
    <w:rsid w:val="00F554E0"/>
    <w:rsid w:val="00F55787"/>
    <w:rsid w:val="00F56D22"/>
    <w:rsid w:val="00F57B26"/>
    <w:rsid w:val="00F67996"/>
    <w:rsid w:val="00F679B4"/>
    <w:rsid w:val="00F70935"/>
    <w:rsid w:val="00F752FB"/>
    <w:rsid w:val="00F7791D"/>
    <w:rsid w:val="00F80CEE"/>
    <w:rsid w:val="00F90879"/>
    <w:rsid w:val="00F9087F"/>
    <w:rsid w:val="00F909A1"/>
    <w:rsid w:val="00F9138F"/>
    <w:rsid w:val="00FA0775"/>
    <w:rsid w:val="00FA211A"/>
    <w:rsid w:val="00FA5E3C"/>
    <w:rsid w:val="00FC1684"/>
    <w:rsid w:val="00FD14FF"/>
    <w:rsid w:val="00FD525A"/>
    <w:rsid w:val="00FE462D"/>
    <w:rsid w:val="00FE580D"/>
    <w:rsid w:val="00FE7AA3"/>
    <w:rsid w:val="00FF1748"/>
    <w:rsid w:val="00FF18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2D392"/>
  <w14:defaultImageDpi w14:val="0"/>
  <w15:docId w15:val="{52664937-5B78-4225-A53E-7E211A90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qFormat="1"/>
    <w:lsdException w:name="header" w:semiHidden="1" w:unhideWhenUsed="1"/>
    <w:lsdException w:name="footer" w:semiHidden="1" w:uiPriority="0" w:unhideWhenUsed="1"/>
    <w:lsdException w:name="caption" w:semiHidden="1" w:uiPriority="35" w:unhideWhenUsed="1" w:qFormat="1"/>
    <w:lsdException w:name="footnote reference" w:semiHidden="1" w:uiPriority="0"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lock Text" w:semiHidden="1" w:uiPriority="0" w:unhideWhenUsed="1"/>
    <w:lsdException w:name="Strong" w:uiPriority="22" w:qFormat="1"/>
    <w:lsdException w:name="Emphasis" w:uiPriority="20" w:qFormat="1"/>
    <w:lsdException w:name="Plain Text" w:semiHidden="1" w:uiPriority="0" w:unhideWhenUsed="1"/>
    <w:lsdException w:name="HTML Variable" w:semiHidden="1" w:unhideWhenUsed="1"/>
    <w:lsdException w:name="Normal Table" w:semiHidden="1" w:unhideWhenUsed="1"/>
    <w:lsdException w:name="No Lis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87"/>
    <w:pPr>
      <w:spacing w:after="0" w:line="360" w:lineRule="auto"/>
      <w:jc w:val="both"/>
    </w:pPr>
    <w:rPr>
      <w:rFonts w:ascii="Tahoma" w:hAnsi="Tahoma" w:cs="Times New Roman"/>
      <w:sz w:val="26"/>
      <w:szCs w:val="26"/>
      <w:lang w:val="es-ES" w:eastAsia="es-MX"/>
    </w:rPr>
  </w:style>
  <w:style w:type="paragraph" w:styleId="Ttulo1">
    <w:name w:val="heading 1"/>
    <w:basedOn w:val="Normal"/>
    <w:next w:val="Normal"/>
    <w:link w:val="Ttulo1Car"/>
    <w:uiPriority w:val="9"/>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olor w:val="2E74B5" w:themeColor="accent1" w:themeShade="BF"/>
    </w:rPr>
  </w:style>
  <w:style w:type="paragraph" w:styleId="Ttulo6">
    <w:name w:val="heading 6"/>
    <w:basedOn w:val="Normal"/>
    <w:next w:val="Normal"/>
    <w:link w:val="Ttulo6Car"/>
    <w:uiPriority w:val="9"/>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uiPriority w:val="9"/>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13C87"/>
    <w:rPr>
      <w:rFonts w:ascii="Tahoma" w:hAnsi="Tahoma" w:cs="Times New Roman"/>
      <w:b/>
      <w:bCs/>
      <w:kern w:val="32"/>
      <w:sz w:val="32"/>
      <w:szCs w:val="32"/>
      <w:lang w:val="es-ES" w:eastAsia="es-MX"/>
    </w:rPr>
  </w:style>
  <w:style w:type="character" w:customStyle="1" w:styleId="Ttulo2Car">
    <w:name w:val="Título 2 Car"/>
    <w:basedOn w:val="Fuentedeprrafopredeter"/>
    <w:link w:val="Ttulo2"/>
    <w:uiPriority w:val="9"/>
    <w:locked/>
    <w:rsid w:val="00901375"/>
    <w:rPr>
      <w:rFonts w:asciiTheme="majorHAnsi" w:eastAsiaTheme="majorEastAsia" w:hAnsiTheme="majorHAnsi" w:cs="Times New Roman"/>
      <w:color w:val="2E74B5" w:themeColor="accent1" w:themeShade="BF"/>
      <w:sz w:val="26"/>
      <w:szCs w:val="26"/>
      <w:lang w:val="es-ES" w:eastAsia="es-MX"/>
    </w:rPr>
  </w:style>
  <w:style w:type="character" w:customStyle="1" w:styleId="Ttulo6Car">
    <w:name w:val="Título 6 Car"/>
    <w:basedOn w:val="Fuentedeprrafopredeter"/>
    <w:link w:val="Ttulo6"/>
    <w:uiPriority w:val="9"/>
    <w:locked/>
    <w:rsid w:val="00F13C87"/>
    <w:rPr>
      <w:rFonts w:ascii="Calibri" w:eastAsia="Batang" w:hAnsi="Calibri" w:cs="Times New Roman"/>
      <w:b/>
      <w:bCs/>
      <w:lang w:val="es-ES" w:eastAsia="es-MX"/>
    </w:rPr>
  </w:style>
  <w:style w:type="character" w:customStyle="1" w:styleId="Ttulo9Car">
    <w:name w:val="Título 9 Car"/>
    <w:basedOn w:val="Fuentedeprrafopredeter"/>
    <w:link w:val="Ttulo9"/>
    <w:uiPriority w:val="9"/>
    <w:locked/>
    <w:rsid w:val="00F13C87"/>
    <w:rPr>
      <w:rFonts w:ascii="Bookman Old Style" w:hAnsi="Bookman Old Style" w:cs="Times New Roman"/>
      <w:b/>
      <w:sz w:val="26"/>
      <w:szCs w:val="26"/>
      <w:lang w:val="es-ES" w:eastAsia="es-MX"/>
    </w:rPr>
  </w:style>
  <w:style w:type="paragraph" w:styleId="Piedepgina">
    <w:name w:val="footer"/>
    <w:basedOn w:val="Normal"/>
    <w:link w:val="PiedepginaCar"/>
    <w:autoRedefine/>
    <w:uiPriority w:val="99"/>
    <w:rsid w:val="004A1D2A"/>
    <w:pPr>
      <w:tabs>
        <w:tab w:val="center" w:pos="4252"/>
        <w:tab w:val="right" w:pos="8504"/>
      </w:tabs>
      <w:overflowPunct w:val="0"/>
      <w:autoSpaceDE w:val="0"/>
      <w:autoSpaceDN w:val="0"/>
      <w:adjustRightInd w:val="0"/>
      <w:spacing w:line="240" w:lineRule="auto"/>
      <w:jc w:val="right"/>
      <w:textAlignment w:val="baseline"/>
    </w:pPr>
    <w:rPr>
      <w:rFonts w:ascii="Courier New" w:hAnsi="Courier New"/>
      <w:sz w:val="16"/>
      <w:szCs w:val="20"/>
      <w:lang w:eastAsia="es-ES"/>
    </w:rPr>
  </w:style>
  <w:style w:type="character" w:customStyle="1" w:styleId="PiedepginaCar">
    <w:name w:val="Pie de página Car"/>
    <w:basedOn w:val="Fuentedeprrafopredeter"/>
    <w:link w:val="Piedepgina"/>
    <w:uiPriority w:val="99"/>
    <w:locked/>
    <w:rsid w:val="004A1D2A"/>
    <w:rPr>
      <w:rFonts w:ascii="Courier New" w:hAnsi="Courier New" w:cs="Times New Roman"/>
      <w:sz w:val="20"/>
      <w:szCs w:val="20"/>
      <w:lang w:val="es-ES" w:eastAsia="es-ES"/>
    </w:rPr>
  </w:style>
  <w:style w:type="paragraph" w:styleId="Textonotapie">
    <w:name w:val="footnote text"/>
    <w:aliases w:val="Ref. de nota al pie1,FC,Texto de nota al pie,Appel note de bas de page,referencia nota al pie,BVI fnr,Footnote symbol,Footnote,Ref. de nota al pie2,Nota de pie,Ref,de nota al pie,Pie de pagina,Ref. ...,Ref1,Footnotes refss,Footnote number"/>
    <w:basedOn w:val="Normal"/>
    <w:link w:val="TextonotapieCar"/>
    <w:autoRedefine/>
    <w:qFormat/>
    <w:rsid w:val="00F13C87"/>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Ref. de nota al pie1 Car,FC Car,Texto de nota al pie Car,Appel note de bas de page Car,referencia nota al pie Car,BVI fnr Car,Footnote symbol Car,Footnote Car,Ref. de nota al pie2 Car,Nota de pie Car,Ref Car,de nota al pie Car"/>
    <w:basedOn w:val="Fuentedeprrafopredeter"/>
    <w:link w:val="Textonotapie"/>
    <w:uiPriority w:val="99"/>
    <w:locked/>
    <w:rsid w:val="00F13C87"/>
    <w:rPr>
      <w:rFonts w:ascii="Verdana" w:hAnsi="Verdana" w:cs="Times New Roman"/>
      <w:sz w:val="20"/>
      <w:lang w:val="es-ES"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customStyle="1" w:styleId="Algerian">
    <w:name w:val="Algerian"/>
    <w:rsid w:val="00F13C87"/>
    <w:rPr>
      <w:rFonts w:ascii="Algerian" w:hAnsi="Algerian"/>
      <w:sz w:val="30"/>
    </w:rPr>
  </w:style>
  <w:style w:type="paragraph" w:styleId="Encabezado">
    <w:name w:val="header"/>
    <w:basedOn w:val="Normal"/>
    <w:link w:val="EncabezadoCar"/>
    <w:uiPriority w:val="99"/>
    <w:rsid w:val="00F13C87"/>
    <w:pPr>
      <w:tabs>
        <w:tab w:val="center" w:pos="4252"/>
        <w:tab w:val="right" w:pos="8504"/>
      </w:tabs>
    </w:pPr>
    <w:rPr>
      <w:rFonts w:eastAsia="Batang"/>
    </w:rPr>
  </w:style>
  <w:style w:type="character" w:customStyle="1" w:styleId="EncabezadoCar">
    <w:name w:val="Encabezado Car"/>
    <w:basedOn w:val="Fuentedeprrafopredeter"/>
    <w:link w:val="Encabezado"/>
    <w:uiPriority w:val="99"/>
    <w:locked/>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uiPriority w:val="99"/>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uiPriority w:val="99"/>
    <w:semiHidden/>
    <w:locked/>
    <w:rsid w:val="00F13C87"/>
    <w:rPr>
      <w:rFonts w:ascii="Bookman Old Style" w:hAnsi="Bookman Old Style" w:cs="Times New Roman"/>
      <w:sz w:val="26"/>
      <w:szCs w:val="26"/>
      <w:lang w:val="x-none"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13C87"/>
    <w:rPr>
      <w:rFonts w:ascii="Tahoma"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hAnsi="Algerian" w:cs="Tahoma"/>
      <w:sz w:val="30"/>
      <w:szCs w:val="26"/>
      <w:lang w:val="es-ES" w:eastAsia="es-ES"/>
    </w:rPr>
  </w:style>
  <w:style w:type="character" w:customStyle="1" w:styleId="AlgerianTtuloCar">
    <w:name w:val="Algerian Título Car"/>
    <w:link w:val="AlgerianTtulo"/>
    <w:locked/>
    <w:rsid w:val="00F13C87"/>
    <w:rPr>
      <w:rFonts w:ascii="Algerian" w:hAnsi="Algerian"/>
      <w:sz w:val="26"/>
      <w:lang w:val="es-ES" w:eastAsia="es-ES"/>
    </w:rPr>
  </w:style>
  <w:style w:type="paragraph" w:styleId="Textoindependiente">
    <w:name w:val="Body Text"/>
    <w:basedOn w:val="Normal"/>
    <w:link w:val="TextoindependienteCar"/>
    <w:uiPriority w:val="99"/>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uiPriority w:val="99"/>
    <w:locked/>
    <w:rsid w:val="00F13C87"/>
    <w:rPr>
      <w:rFonts w:ascii="Times New Roman" w:hAnsi="Times New Roman" w:cs="Times New Roman"/>
      <w:sz w:val="24"/>
      <w:szCs w:val="24"/>
      <w:lang w:val="es-MX" w:eastAsia="es-MX"/>
    </w:rPr>
  </w:style>
  <w:style w:type="paragraph" w:styleId="Textodebloque">
    <w:name w:val="Block Text"/>
    <w:basedOn w:val="Normal"/>
    <w:uiPriority w:val="99"/>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uiPriority w:val="99"/>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F13C87"/>
    <w:rPr>
      <w:rFonts w:ascii="Courier New"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F13C87"/>
    <w:rPr>
      <w:rFonts w:ascii="Segoe UI" w:hAnsi="Segoe UI" w:cs="Segoe UI"/>
      <w:sz w:val="18"/>
      <w:szCs w:val="18"/>
      <w:lang w:val="es-ES" w:eastAsia="es-MX"/>
    </w:rPr>
  </w:style>
  <w:style w:type="character" w:styleId="Refdecomentario">
    <w:name w:val="annotation reference"/>
    <w:basedOn w:val="Fuentedeprrafopredeter"/>
    <w:uiPriority w:val="99"/>
    <w:semiHidden/>
    <w:unhideWhenUsed/>
    <w:rsid w:val="00770552"/>
    <w:rPr>
      <w:rFonts w:cs="Times New Roman"/>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770552"/>
    <w:rPr>
      <w:rFonts w:ascii="Tahoma"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locked/>
    <w:rsid w:val="00770552"/>
    <w:rPr>
      <w:rFonts w:ascii="Tahoma" w:hAnsi="Tahoma" w:cs="Times New Roman"/>
      <w:b/>
      <w:bCs/>
      <w:sz w:val="20"/>
      <w:szCs w:val="20"/>
      <w:lang w:val="es-ES" w:eastAsia="es-MX"/>
    </w:rPr>
  </w:style>
  <w:style w:type="paragraph" w:styleId="Prrafodelista">
    <w:name w:val="List Paragraph"/>
    <w:basedOn w:val="Normal"/>
    <w:uiPriority w:val="34"/>
    <w:qFormat/>
    <w:rsid w:val="00B24106"/>
    <w:pPr>
      <w:ind w:left="720"/>
      <w:contextualSpacing/>
    </w:pPr>
  </w:style>
  <w:style w:type="character" w:styleId="Refdenotaalpie">
    <w:name w:val="footnote reference"/>
    <w:aliases w:val="FZ,Ref. de nota al pie 2,f,4_G"/>
    <w:qFormat/>
    <w:rsid w:val="009F3B38"/>
    <w:rPr>
      <w:rFonts w:ascii="Verdana" w:hAnsi="Verdana"/>
      <w:sz w:val="20"/>
      <w:vertAlign w:val="superscript"/>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
    <w:rsid w:val="009F3B38"/>
    <w:rPr>
      <w:rFonts w:ascii="Verdana" w:eastAsia="Times New Roman" w:hAnsi="Verdan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38732">
      <w:marLeft w:val="0"/>
      <w:marRight w:val="0"/>
      <w:marTop w:val="0"/>
      <w:marBottom w:val="0"/>
      <w:divBdr>
        <w:top w:val="none" w:sz="0" w:space="0" w:color="auto"/>
        <w:left w:val="none" w:sz="0" w:space="0" w:color="auto"/>
        <w:bottom w:val="none" w:sz="0" w:space="0" w:color="auto"/>
        <w:right w:val="none" w:sz="0" w:space="0" w:color="auto"/>
      </w:divBdr>
    </w:div>
    <w:div w:id="373038733">
      <w:marLeft w:val="0"/>
      <w:marRight w:val="0"/>
      <w:marTop w:val="0"/>
      <w:marBottom w:val="0"/>
      <w:divBdr>
        <w:top w:val="none" w:sz="0" w:space="0" w:color="auto"/>
        <w:left w:val="none" w:sz="0" w:space="0" w:color="auto"/>
        <w:bottom w:val="none" w:sz="0" w:space="0" w:color="auto"/>
        <w:right w:val="none" w:sz="0" w:space="0" w:color="auto"/>
      </w:divBdr>
    </w:div>
    <w:div w:id="373038734">
      <w:marLeft w:val="0"/>
      <w:marRight w:val="0"/>
      <w:marTop w:val="0"/>
      <w:marBottom w:val="0"/>
      <w:divBdr>
        <w:top w:val="none" w:sz="0" w:space="0" w:color="auto"/>
        <w:left w:val="none" w:sz="0" w:space="0" w:color="auto"/>
        <w:bottom w:val="none" w:sz="0" w:space="0" w:color="auto"/>
        <w:right w:val="none" w:sz="0" w:space="0" w:color="auto"/>
      </w:divBdr>
    </w:div>
    <w:div w:id="373038735">
      <w:marLeft w:val="0"/>
      <w:marRight w:val="0"/>
      <w:marTop w:val="0"/>
      <w:marBottom w:val="0"/>
      <w:divBdr>
        <w:top w:val="none" w:sz="0" w:space="0" w:color="auto"/>
        <w:left w:val="none" w:sz="0" w:space="0" w:color="auto"/>
        <w:bottom w:val="none" w:sz="0" w:space="0" w:color="auto"/>
        <w:right w:val="none" w:sz="0" w:space="0" w:color="auto"/>
      </w:divBdr>
    </w:div>
    <w:div w:id="9396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CED1-A404-4280-9C02-9F8C7408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2943</Words>
  <Characters>16189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Hermides Alonso Gaviria Ocampo</cp:lastModifiedBy>
  <cp:revision>28</cp:revision>
  <cp:lastPrinted>2016-06-22T20:52:00Z</cp:lastPrinted>
  <dcterms:created xsi:type="dcterms:W3CDTF">2023-03-23T20:24:00Z</dcterms:created>
  <dcterms:modified xsi:type="dcterms:W3CDTF">2023-05-08T13:05:00Z</dcterms:modified>
</cp:coreProperties>
</file>