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D2F6E" w14:textId="77777777" w:rsidR="00000790" w:rsidRPr="00000790" w:rsidRDefault="00000790" w:rsidP="00000790">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hAnsi="Arial" w:cs="Arial"/>
          <w:color w:val="FF0000"/>
          <w:spacing w:val="-4"/>
          <w:sz w:val="18"/>
          <w:szCs w:val="18"/>
          <w:lang w:val="es-419" w:eastAsia="fr-FR"/>
        </w:rPr>
      </w:pPr>
      <w:r w:rsidRPr="00000790">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0315E50" w14:textId="77777777" w:rsidR="00000790" w:rsidRPr="00000790" w:rsidRDefault="00000790" w:rsidP="00000790">
      <w:pPr>
        <w:spacing w:line="240" w:lineRule="auto"/>
        <w:rPr>
          <w:rFonts w:ascii="Arial" w:hAnsi="Arial" w:cs="Arial"/>
          <w:sz w:val="20"/>
          <w:szCs w:val="20"/>
          <w:lang w:val="es-419" w:eastAsia="es-ES"/>
        </w:rPr>
      </w:pPr>
    </w:p>
    <w:p w14:paraId="00FBE441" w14:textId="420DD58B" w:rsidR="00000790" w:rsidRPr="00000790" w:rsidRDefault="00AC0B1C" w:rsidP="00000790">
      <w:pPr>
        <w:spacing w:line="240" w:lineRule="auto"/>
        <w:rPr>
          <w:rFonts w:ascii="Arial" w:hAnsi="Arial" w:cs="Arial"/>
          <w:b/>
          <w:bCs/>
          <w:iCs/>
          <w:sz w:val="20"/>
          <w:szCs w:val="20"/>
          <w:lang w:val="es-419" w:eastAsia="fr-FR"/>
        </w:rPr>
      </w:pPr>
      <w:r w:rsidRPr="00000790">
        <w:rPr>
          <w:rFonts w:ascii="Arial" w:hAnsi="Arial" w:cs="Arial"/>
          <w:b/>
          <w:bCs/>
          <w:iCs/>
          <w:sz w:val="20"/>
          <w:szCs w:val="20"/>
          <w:u w:val="single"/>
          <w:lang w:val="es-419" w:eastAsia="fr-FR"/>
        </w:rPr>
        <w:t>TEMAS:</w:t>
      </w:r>
      <w:r w:rsidRPr="00000790">
        <w:rPr>
          <w:rFonts w:ascii="Arial" w:hAnsi="Arial" w:cs="Arial"/>
          <w:b/>
          <w:bCs/>
          <w:iCs/>
          <w:sz w:val="20"/>
          <w:szCs w:val="20"/>
          <w:lang w:val="es-419" w:eastAsia="fr-FR"/>
        </w:rPr>
        <w:tab/>
      </w:r>
      <w:r>
        <w:rPr>
          <w:rFonts w:ascii="Arial" w:hAnsi="Arial" w:cs="Arial"/>
          <w:b/>
          <w:bCs/>
          <w:iCs/>
          <w:sz w:val="20"/>
          <w:szCs w:val="20"/>
          <w:lang w:val="es-419" w:eastAsia="fr-FR"/>
        </w:rPr>
        <w:t xml:space="preserve">ACTO SEXUAL ABUSIVO / PREACUERDO / LÍMITES DE LA FISCALÍA / DEBERES DEL JUEZ DE CONOCIMIENTO / LA CALIFICACIÓN DEBE CORRESPONDER </w:t>
      </w:r>
      <w:bookmarkStart w:id="0" w:name="_GoBack"/>
      <w:bookmarkEnd w:id="0"/>
      <w:r>
        <w:rPr>
          <w:rFonts w:ascii="Arial" w:hAnsi="Arial" w:cs="Arial"/>
          <w:b/>
          <w:bCs/>
          <w:iCs/>
          <w:sz w:val="20"/>
          <w:szCs w:val="20"/>
          <w:lang w:val="es-419" w:eastAsia="fr-FR"/>
        </w:rPr>
        <w:t>AL CONTEXTO FACTUAL / SUSPENSIÓN DE LA PENA / PRISIÓN DOMICILIARIA / REQUISITOS.</w:t>
      </w:r>
    </w:p>
    <w:p w14:paraId="5A704623" w14:textId="77777777" w:rsidR="00000790" w:rsidRPr="00000790" w:rsidRDefault="00000790" w:rsidP="00000790">
      <w:pPr>
        <w:spacing w:line="240" w:lineRule="auto"/>
        <w:rPr>
          <w:rFonts w:ascii="Arial" w:hAnsi="Arial" w:cs="Arial"/>
          <w:sz w:val="20"/>
          <w:szCs w:val="20"/>
          <w:lang w:val="es-419" w:eastAsia="es-ES"/>
        </w:rPr>
      </w:pPr>
    </w:p>
    <w:p w14:paraId="203FA198" w14:textId="57694C40" w:rsidR="00000790" w:rsidRPr="00000790" w:rsidRDefault="00EE52EA" w:rsidP="00000790">
      <w:pPr>
        <w:spacing w:line="240" w:lineRule="auto"/>
        <w:rPr>
          <w:rFonts w:ascii="Arial" w:hAnsi="Arial" w:cs="Arial"/>
          <w:sz w:val="20"/>
          <w:szCs w:val="20"/>
          <w:lang w:val="es-419" w:eastAsia="es-ES"/>
        </w:rPr>
      </w:pPr>
      <w:r>
        <w:rPr>
          <w:rFonts w:ascii="Arial" w:hAnsi="Arial" w:cs="Arial"/>
          <w:sz w:val="20"/>
          <w:szCs w:val="20"/>
          <w:lang w:val="es-419" w:eastAsia="es-ES"/>
        </w:rPr>
        <w:t xml:space="preserve">… </w:t>
      </w:r>
      <w:r w:rsidRPr="00EE52EA">
        <w:rPr>
          <w:rFonts w:ascii="Arial" w:hAnsi="Arial" w:cs="Arial"/>
          <w:sz w:val="20"/>
          <w:szCs w:val="20"/>
          <w:lang w:val="es-419" w:eastAsia="es-ES"/>
        </w:rPr>
        <w:t xml:space="preserve">la figura de las negociaciones </w:t>
      </w:r>
      <w:proofErr w:type="spellStart"/>
      <w:r w:rsidRPr="00EE52EA">
        <w:rPr>
          <w:rFonts w:ascii="Arial" w:hAnsi="Arial" w:cs="Arial"/>
          <w:sz w:val="20"/>
          <w:szCs w:val="20"/>
          <w:lang w:val="es-419" w:eastAsia="es-ES"/>
        </w:rPr>
        <w:t>preacordadas</w:t>
      </w:r>
      <w:proofErr w:type="spellEnd"/>
      <w:r w:rsidRPr="00EE52EA">
        <w:rPr>
          <w:rFonts w:ascii="Arial" w:hAnsi="Arial" w:cs="Arial"/>
          <w:sz w:val="20"/>
          <w:szCs w:val="20"/>
          <w:lang w:val="es-419" w:eastAsia="es-ES"/>
        </w:rPr>
        <w:t xml:space="preserve"> y su control por parte del juez, como así lo ha referido el órgano de cierre en materia penal, fue prevista con la finalidad de humanizar la actuación procesal y la pena, obtener pronta y cumplida justicia, activar la solución de los conflictos sociales que genera el delito, propiciar la reparación integral de los perjuicios ocasionados con el injusto, y lograr la participación del imputado en la definición de su caso</w:t>
      </w:r>
      <w:r>
        <w:rPr>
          <w:rFonts w:ascii="Arial" w:hAnsi="Arial" w:cs="Arial"/>
          <w:sz w:val="20"/>
          <w:szCs w:val="20"/>
          <w:lang w:val="es-419" w:eastAsia="es-ES"/>
        </w:rPr>
        <w:t>…</w:t>
      </w:r>
    </w:p>
    <w:p w14:paraId="4426FA18" w14:textId="77777777" w:rsidR="00000790" w:rsidRPr="00000790" w:rsidRDefault="00000790" w:rsidP="00000790">
      <w:pPr>
        <w:spacing w:line="240" w:lineRule="auto"/>
        <w:rPr>
          <w:rFonts w:ascii="Arial" w:hAnsi="Arial" w:cs="Arial"/>
          <w:sz w:val="20"/>
          <w:szCs w:val="20"/>
          <w:lang w:val="es-419" w:eastAsia="es-ES"/>
        </w:rPr>
      </w:pPr>
    </w:p>
    <w:p w14:paraId="26553533" w14:textId="5F093D23" w:rsidR="00000790" w:rsidRPr="00000790" w:rsidRDefault="005D6D10" w:rsidP="00000790">
      <w:pPr>
        <w:spacing w:line="240" w:lineRule="auto"/>
        <w:rPr>
          <w:rFonts w:ascii="Arial" w:hAnsi="Arial" w:cs="Arial"/>
          <w:sz w:val="20"/>
          <w:szCs w:val="20"/>
          <w:lang w:val="es-419" w:eastAsia="es-ES"/>
        </w:rPr>
      </w:pPr>
      <w:r w:rsidRPr="005D6D10">
        <w:rPr>
          <w:rFonts w:ascii="Arial" w:hAnsi="Arial" w:cs="Arial"/>
          <w:sz w:val="20"/>
          <w:szCs w:val="20"/>
          <w:lang w:val="es-419" w:eastAsia="es-ES"/>
        </w:rPr>
        <w:t>En cuanto a ese control que debe ejercer el juez</w:t>
      </w:r>
      <w:r>
        <w:rPr>
          <w:rFonts w:ascii="Arial" w:hAnsi="Arial" w:cs="Arial"/>
          <w:sz w:val="20"/>
          <w:szCs w:val="20"/>
          <w:lang w:val="es-419" w:eastAsia="es-ES"/>
        </w:rPr>
        <w:t>…</w:t>
      </w:r>
      <w:r w:rsidRPr="005D6D10">
        <w:rPr>
          <w:rFonts w:ascii="Arial" w:hAnsi="Arial" w:cs="Arial"/>
          <w:sz w:val="20"/>
          <w:szCs w:val="20"/>
          <w:lang w:val="es-419" w:eastAsia="es-ES"/>
        </w:rPr>
        <w:t>, es claro que el funcionario de conocimiento no se debe entrometer de fondo en la imputación y en la acusación, como quiera que hay lugar a respetar la autonomía que la Fiscalía posee</w:t>
      </w:r>
      <w:r>
        <w:rPr>
          <w:rFonts w:ascii="Arial" w:hAnsi="Arial" w:cs="Arial"/>
          <w:sz w:val="20"/>
          <w:szCs w:val="20"/>
          <w:lang w:val="es-419" w:eastAsia="es-ES"/>
        </w:rPr>
        <w:t>…</w:t>
      </w:r>
      <w:r w:rsidRPr="005D6D10">
        <w:rPr>
          <w:rFonts w:ascii="Arial" w:hAnsi="Arial" w:cs="Arial"/>
          <w:sz w:val="20"/>
          <w:szCs w:val="20"/>
          <w:lang w:val="es-419" w:eastAsia="es-ES"/>
        </w:rPr>
        <w:t>; sin embargo, para el tema de los preacuerdos el juez sí está obligado a efectuar un control material en cuanto no basta con analizar si fue libre, voluntario y debidamente asistido, porque existen multiplicidad de factores que se enmarcan dentro del principio de legalidad y que no pueden pasar desapercibidos al momento de su aprobación</w:t>
      </w:r>
      <w:r>
        <w:rPr>
          <w:rFonts w:ascii="Arial" w:hAnsi="Arial" w:cs="Arial"/>
          <w:sz w:val="20"/>
          <w:szCs w:val="20"/>
          <w:lang w:val="es-419" w:eastAsia="es-ES"/>
        </w:rPr>
        <w:t>…</w:t>
      </w:r>
    </w:p>
    <w:p w14:paraId="2DE6AE22" w14:textId="77777777" w:rsidR="00000790" w:rsidRPr="00000790" w:rsidRDefault="00000790" w:rsidP="00000790">
      <w:pPr>
        <w:spacing w:line="240" w:lineRule="auto"/>
        <w:rPr>
          <w:rFonts w:ascii="Arial" w:hAnsi="Arial" w:cs="Arial"/>
          <w:sz w:val="20"/>
          <w:szCs w:val="20"/>
          <w:lang w:val="es-419" w:eastAsia="es-ES"/>
        </w:rPr>
      </w:pPr>
    </w:p>
    <w:p w14:paraId="05B32892" w14:textId="432AFFED" w:rsidR="00000790" w:rsidRPr="00000790" w:rsidRDefault="00161DFD" w:rsidP="00000790">
      <w:pPr>
        <w:spacing w:line="240" w:lineRule="auto"/>
        <w:rPr>
          <w:rFonts w:ascii="Arial" w:hAnsi="Arial" w:cs="Arial"/>
          <w:sz w:val="20"/>
          <w:szCs w:val="20"/>
          <w:lang w:val="es-419" w:eastAsia="es-ES"/>
        </w:rPr>
      </w:pPr>
      <w:r>
        <w:rPr>
          <w:rFonts w:ascii="Arial" w:hAnsi="Arial" w:cs="Arial"/>
          <w:sz w:val="20"/>
          <w:szCs w:val="20"/>
          <w:lang w:val="es-419" w:eastAsia="es-ES"/>
        </w:rPr>
        <w:t>…</w:t>
      </w:r>
      <w:r w:rsidRPr="00161DFD">
        <w:rPr>
          <w:rFonts w:ascii="Arial" w:hAnsi="Arial" w:cs="Arial"/>
          <w:sz w:val="20"/>
          <w:szCs w:val="20"/>
          <w:lang w:val="es-419" w:eastAsia="es-ES"/>
        </w:rPr>
        <w:t xml:space="preserve"> descendiendo al caso concreto, se observa que ni las facultades con las que cuenta el funcionario judicial para verificar el cumplimento de los presupuestos establecidos en el ordenamiento jurídico para emitir una sentencia condenatoria ni las disposiciones normativas exigidas para el titular de la acción penal en materia de preacuerdos, fueron tenidas en cuenta en la actuación surtida en primera instancia</w:t>
      </w:r>
      <w:r>
        <w:rPr>
          <w:rFonts w:ascii="Arial" w:hAnsi="Arial" w:cs="Arial"/>
          <w:sz w:val="20"/>
          <w:szCs w:val="20"/>
          <w:lang w:val="es-419" w:eastAsia="es-ES"/>
        </w:rPr>
        <w:t>…</w:t>
      </w:r>
    </w:p>
    <w:p w14:paraId="452810D3" w14:textId="77777777" w:rsidR="00000790" w:rsidRPr="00000790" w:rsidRDefault="00000790" w:rsidP="00000790">
      <w:pPr>
        <w:spacing w:line="240" w:lineRule="auto"/>
        <w:rPr>
          <w:rFonts w:ascii="Arial" w:hAnsi="Arial" w:cs="Arial"/>
          <w:sz w:val="20"/>
          <w:szCs w:val="20"/>
          <w:lang w:val="es-419" w:eastAsia="es-ES"/>
        </w:rPr>
      </w:pPr>
    </w:p>
    <w:p w14:paraId="2D1A59CD" w14:textId="7DDFE04B" w:rsidR="00000790" w:rsidRPr="00000790" w:rsidRDefault="006A4A48" w:rsidP="00000790">
      <w:pPr>
        <w:spacing w:line="240" w:lineRule="auto"/>
        <w:rPr>
          <w:rFonts w:ascii="Arial" w:hAnsi="Arial" w:cs="Arial"/>
          <w:sz w:val="20"/>
          <w:szCs w:val="20"/>
          <w:lang w:val="es-419" w:eastAsia="es-ES"/>
        </w:rPr>
      </w:pPr>
      <w:r>
        <w:rPr>
          <w:rFonts w:ascii="Arial" w:hAnsi="Arial" w:cs="Arial"/>
          <w:sz w:val="20"/>
          <w:szCs w:val="20"/>
          <w:lang w:val="es-419" w:eastAsia="es-ES"/>
        </w:rPr>
        <w:t xml:space="preserve">… </w:t>
      </w:r>
      <w:r w:rsidRPr="006A4A48">
        <w:rPr>
          <w:rFonts w:ascii="Arial" w:hAnsi="Arial" w:cs="Arial"/>
          <w:sz w:val="20"/>
          <w:szCs w:val="20"/>
          <w:lang w:val="es-419" w:eastAsia="es-ES"/>
        </w:rPr>
        <w:t>la calificación jurídica que efectuó el delegado fiscal, de acuerdo a los hechos jurídicamente relevantes, no corresponde con el contexto factual de como en verdad los mismos tuvieron ocurrencia, lo que debió conspirar de manera negativa en contra de la aprobación del preacuerdo, que de manera ligera fue avalado por la juez de instancia.</w:t>
      </w:r>
    </w:p>
    <w:p w14:paraId="66F3DD92" w14:textId="77777777" w:rsidR="00000790" w:rsidRPr="00000790" w:rsidRDefault="00000790" w:rsidP="00000790">
      <w:pPr>
        <w:spacing w:line="240" w:lineRule="auto"/>
        <w:rPr>
          <w:rFonts w:ascii="Arial" w:hAnsi="Arial" w:cs="Arial"/>
          <w:sz w:val="20"/>
          <w:szCs w:val="20"/>
          <w:lang w:val="es-419" w:eastAsia="es-ES"/>
        </w:rPr>
      </w:pPr>
    </w:p>
    <w:p w14:paraId="34880A8C" w14:textId="1AB1293F" w:rsidR="00000790" w:rsidRPr="00000790" w:rsidRDefault="00427A99" w:rsidP="00000790">
      <w:pPr>
        <w:spacing w:line="240" w:lineRule="auto"/>
        <w:rPr>
          <w:rFonts w:ascii="Arial" w:hAnsi="Arial" w:cs="Arial"/>
          <w:sz w:val="20"/>
          <w:szCs w:val="20"/>
          <w:lang w:val="es-419" w:eastAsia="es-ES"/>
        </w:rPr>
      </w:pPr>
      <w:r>
        <w:rPr>
          <w:rFonts w:ascii="Arial" w:hAnsi="Arial" w:cs="Arial"/>
          <w:sz w:val="20"/>
          <w:szCs w:val="20"/>
          <w:lang w:val="es-419" w:eastAsia="es-ES"/>
        </w:rPr>
        <w:t xml:space="preserve">… </w:t>
      </w:r>
      <w:r w:rsidRPr="00427A99">
        <w:rPr>
          <w:rFonts w:ascii="Arial" w:hAnsi="Arial" w:cs="Arial"/>
          <w:sz w:val="20"/>
          <w:szCs w:val="20"/>
          <w:lang w:val="es-419" w:eastAsia="es-ES"/>
        </w:rPr>
        <w:t>se puede concluir con facilidad que frente al tópico preciso de la concesión de la suspensión condicional de la ejecución de la pena y del sustituto de la prisión domiciliaria con permiso para trabajar que hoy se alega, no se allegó elemento alguno de respaldo por parte del recurrente en la citada audiencia, por lo que para la falladora resultaba imposible adoptar una determinación que fuese favorable a los intereses del procesado.</w:t>
      </w:r>
      <w:r>
        <w:rPr>
          <w:rFonts w:ascii="Arial" w:hAnsi="Arial" w:cs="Arial"/>
          <w:sz w:val="20"/>
          <w:szCs w:val="20"/>
          <w:lang w:val="es-419" w:eastAsia="es-ES"/>
        </w:rPr>
        <w:t xml:space="preserve"> (…)</w:t>
      </w:r>
    </w:p>
    <w:p w14:paraId="620974E6" w14:textId="77777777" w:rsidR="00000790" w:rsidRPr="00000790" w:rsidRDefault="00000790" w:rsidP="00000790">
      <w:pPr>
        <w:spacing w:line="240" w:lineRule="auto"/>
        <w:rPr>
          <w:rFonts w:ascii="Arial" w:hAnsi="Arial" w:cs="Arial"/>
          <w:sz w:val="20"/>
          <w:szCs w:val="20"/>
          <w:lang w:val="es-419" w:eastAsia="es-ES"/>
        </w:rPr>
      </w:pPr>
    </w:p>
    <w:p w14:paraId="1FD685CE" w14:textId="3BFA42A3" w:rsidR="00000790" w:rsidRDefault="00427A99" w:rsidP="00000790">
      <w:pPr>
        <w:spacing w:line="240" w:lineRule="auto"/>
        <w:rPr>
          <w:rFonts w:ascii="Arial" w:hAnsi="Arial" w:cs="Arial"/>
          <w:sz w:val="20"/>
          <w:szCs w:val="20"/>
          <w:lang w:val="es-419" w:eastAsia="es-ES"/>
        </w:rPr>
      </w:pPr>
      <w:r w:rsidRPr="00427A99">
        <w:rPr>
          <w:rFonts w:ascii="Arial" w:hAnsi="Arial" w:cs="Arial"/>
          <w:sz w:val="20"/>
          <w:szCs w:val="20"/>
          <w:lang w:val="es-419" w:eastAsia="es-ES"/>
        </w:rPr>
        <w:t>En cuanto a la prisión domiciliaria, pese a que en el actual artículo 38B, el requisito de orden objetivo para acceder a ese sustituto es por conducta punible cuya pena mínima prevista en la ley sea de ocho (8) años de prisión o menos, como ya se indicó, el punible por el cual fue condenado el ciudadano MSMV se encuentra en las prohibiciones contenidas en el artículo 68 A del estatuto punitivo; luego entonces, por expresa prohibición legal tampoco existe la posibilidad de hacerse acreedor a ese beneficio.</w:t>
      </w:r>
    </w:p>
    <w:p w14:paraId="5290281F" w14:textId="7F6009F2" w:rsidR="00427A99" w:rsidRDefault="00427A99" w:rsidP="00000790">
      <w:pPr>
        <w:spacing w:line="240" w:lineRule="auto"/>
        <w:rPr>
          <w:rFonts w:ascii="Arial" w:hAnsi="Arial" w:cs="Arial"/>
          <w:sz w:val="20"/>
          <w:szCs w:val="20"/>
          <w:lang w:val="es-419" w:eastAsia="es-ES"/>
        </w:rPr>
      </w:pPr>
    </w:p>
    <w:p w14:paraId="226A7D34" w14:textId="6A520A21" w:rsidR="00427A99" w:rsidRDefault="00427A99" w:rsidP="00000790">
      <w:pPr>
        <w:spacing w:line="240" w:lineRule="auto"/>
        <w:rPr>
          <w:rFonts w:ascii="Arial" w:hAnsi="Arial" w:cs="Arial"/>
          <w:sz w:val="20"/>
          <w:szCs w:val="20"/>
          <w:lang w:val="es-419" w:eastAsia="es-ES"/>
        </w:rPr>
      </w:pPr>
    </w:p>
    <w:p w14:paraId="685B96D0" w14:textId="77777777" w:rsidR="00427A99" w:rsidRPr="00000790" w:rsidRDefault="00427A99" w:rsidP="00000790">
      <w:pPr>
        <w:spacing w:line="240" w:lineRule="auto"/>
        <w:rPr>
          <w:rFonts w:ascii="Arial" w:hAnsi="Arial" w:cs="Arial"/>
          <w:sz w:val="20"/>
          <w:szCs w:val="20"/>
          <w:lang w:val="es-419" w:eastAsia="es-ES"/>
        </w:rPr>
      </w:pPr>
    </w:p>
    <w:p w14:paraId="03D7F90B" w14:textId="77777777" w:rsidR="00000790" w:rsidRPr="00000790" w:rsidRDefault="00000790" w:rsidP="00000790">
      <w:pPr>
        <w:spacing w:line="240" w:lineRule="auto"/>
        <w:jc w:val="center"/>
        <w:rPr>
          <w:b/>
          <w:sz w:val="16"/>
          <w:szCs w:val="12"/>
        </w:rPr>
      </w:pPr>
      <w:r w:rsidRPr="00000790">
        <w:rPr>
          <w:b/>
          <w:sz w:val="16"/>
          <w:szCs w:val="12"/>
        </w:rPr>
        <w:t>REPÚBLICA DE COLOMBIA</w:t>
      </w:r>
    </w:p>
    <w:p w14:paraId="0F79E03C" w14:textId="77777777" w:rsidR="00000790" w:rsidRPr="00000790" w:rsidRDefault="00000790" w:rsidP="00000790">
      <w:pPr>
        <w:spacing w:line="240" w:lineRule="auto"/>
        <w:jc w:val="center"/>
        <w:rPr>
          <w:b/>
          <w:sz w:val="16"/>
          <w:szCs w:val="12"/>
        </w:rPr>
      </w:pPr>
      <w:r w:rsidRPr="00000790">
        <w:rPr>
          <w:b/>
          <w:sz w:val="16"/>
          <w:szCs w:val="12"/>
        </w:rPr>
        <w:t>PEREIRA-RISARALDA</w:t>
      </w:r>
    </w:p>
    <w:p w14:paraId="519C0AFA" w14:textId="77777777" w:rsidR="00000790" w:rsidRPr="00000790" w:rsidRDefault="00000790" w:rsidP="00000790">
      <w:pPr>
        <w:spacing w:line="240" w:lineRule="auto"/>
        <w:jc w:val="center"/>
        <w:rPr>
          <w:sz w:val="16"/>
          <w:szCs w:val="12"/>
        </w:rPr>
      </w:pPr>
      <w:r w:rsidRPr="00000790">
        <w:rPr>
          <w:noProof/>
        </w:rPr>
        <w:drawing>
          <wp:anchor distT="0" distB="0" distL="114300" distR="114300" simplePos="0" relativeHeight="251659264" behindDoc="1" locked="0" layoutInCell="1" allowOverlap="1" wp14:anchorId="6CED749B" wp14:editId="6C9F4A6D">
            <wp:simplePos x="0" y="0"/>
            <wp:positionH relativeFrom="column">
              <wp:align>center</wp:align>
            </wp:positionH>
            <wp:positionV relativeFrom="paragraph">
              <wp:posOffset>136525</wp:posOffset>
            </wp:positionV>
            <wp:extent cx="777875" cy="532130"/>
            <wp:effectExtent l="0" t="0" r="3175" b="127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0790">
        <w:rPr>
          <w:b/>
          <w:sz w:val="16"/>
          <w:szCs w:val="12"/>
        </w:rPr>
        <w:t>RAMA JUDICIAL</w:t>
      </w:r>
    </w:p>
    <w:p w14:paraId="6A5E06F6" w14:textId="77777777" w:rsidR="00000790" w:rsidRPr="00000790" w:rsidRDefault="00000790" w:rsidP="00000790">
      <w:pPr>
        <w:spacing w:line="240" w:lineRule="auto"/>
        <w:jc w:val="center"/>
        <w:rPr>
          <w:rFonts w:ascii="Algerian" w:hAnsi="Algerian"/>
          <w:b/>
          <w:sz w:val="28"/>
          <w:szCs w:val="28"/>
        </w:rPr>
      </w:pPr>
      <w:r w:rsidRPr="00000790">
        <w:rPr>
          <w:rFonts w:ascii="Algerian" w:hAnsi="Algerian"/>
          <w:b/>
          <w:smallCaps/>
          <w:color w:val="000000"/>
          <w:sz w:val="28"/>
          <w:szCs w:val="28"/>
        </w:rPr>
        <w:t>TRIBUNAL SUPERIOR DE PEREIRA</w:t>
      </w:r>
    </w:p>
    <w:p w14:paraId="343E0C05" w14:textId="77777777" w:rsidR="00000790" w:rsidRPr="00000790" w:rsidRDefault="00000790" w:rsidP="00000790">
      <w:pPr>
        <w:tabs>
          <w:tab w:val="left" w:pos="1202"/>
        </w:tabs>
        <w:spacing w:after="120" w:line="240" w:lineRule="auto"/>
        <w:jc w:val="center"/>
        <w:rPr>
          <w:rFonts w:ascii="Algerian" w:hAnsi="Algerian"/>
          <w:b/>
          <w:sz w:val="28"/>
          <w:szCs w:val="28"/>
        </w:rPr>
      </w:pPr>
      <w:r w:rsidRPr="00000790">
        <w:rPr>
          <w:rFonts w:ascii="Algerian" w:hAnsi="Algerian"/>
          <w:b/>
          <w:sz w:val="28"/>
          <w:szCs w:val="28"/>
        </w:rPr>
        <w:t>SALA de decisión PENAL</w:t>
      </w:r>
    </w:p>
    <w:p w14:paraId="4B5FF0EF" w14:textId="77777777" w:rsidR="00000790" w:rsidRPr="00000790" w:rsidRDefault="00000790" w:rsidP="00000790">
      <w:pPr>
        <w:spacing w:line="240" w:lineRule="auto"/>
        <w:jc w:val="center"/>
        <w:rPr>
          <w:szCs w:val="20"/>
        </w:rPr>
      </w:pPr>
      <w:r w:rsidRPr="00000790">
        <w:rPr>
          <w:szCs w:val="20"/>
        </w:rPr>
        <w:t>Magistrado Ponente</w:t>
      </w:r>
    </w:p>
    <w:p w14:paraId="3AAAE7DA" w14:textId="77777777" w:rsidR="00000790" w:rsidRPr="00000790" w:rsidRDefault="00000790" w:rsidP="00000790">
      <w:pPr>
        <w:spacing w:line="240" w:lineRule="auto"/>
        <w:jc w:val="center"/>
        <w:rPr>
          <w:b/>
          <w:sz w:val="24"/>
          <w:szCs w:val="24"/>
        </w:rPr>
      </w:pPr>
      <w:r w:rsidRPr="00000790">
        <w:rPr>
          <w:b/>
          <w:sz w:val="24"/>
          <w:szCs w:val="24"/>
        </w:rPr>
        <w:t>CARLOS ALBERTO PAZ ZÚÑIGA</w:t>
      </w:r>
    </w:p>
    <w:p w14:paraId="498D66AB" w14:textId="77777777" w:rsidR="00000790" w:rsidRPr="00000790" w:rsidRDefault="00000790" w:rsidP="00000790">
      <w:pPr>
        <w:spacing w:line="276" w:lineRule="auto"/>
        <w:rPr>
          <w:rFonts w:cs="Tahoma"/>
          <w:position w:val="-4"/>
          <w:sz w:val="24"/>
          <w:szCs w:val="24"/>
        </w:rPr>
      </w:pPr>
    </w:p>
    <w:p w14:paraId="50A88B1B" w14:textId="77777777" w:rsidR="00000790" w:rsidRPr="00000790" w:rsidRDefault="00000790" w:rsidP="00000790">
      <w:pPr>
        <w:spacing w:line="276" w:lineRule="auto"/>
        <w:rPr>
          <w:rFonts w:cs="Tahoma"/>
          <w:position w:val="-4"/>
          <w:sz w:val="24"/>
          <w:szCs w:val="24"/>
        </w:rPr>
      </w:pPr>
    </w:p>
    <w:p w14:paraId="3FD3708B" w14:textId="2AD1BD1B" w:rsidR="006E7C10" w:rsidRPr="00000790" w:rsidRDefault="00D8777D" w:rsidP="00000790">
      <w:pPr>
        <w:spacing w:line="276" w:lineRule="auto"/>
        <w:jc w:val="center"/>
        <w:rPr>
          <w:rFonts w:cs="Tahoma"/>
          <w:spacing w:val="-4"/>
          <w:position w:val="-4"/>
          <w:sz w:val="24"/>
          <w:szCs w:val="24"/>
        </w:rPr>
      </w:pPr>
      <w:r w:rsidRPr="00000790">
        <w:rPr>
          <w:rFonts w:cs="Tahoma"/>
          <w:spacing w:val="-4"/>
          <w:position w:val="-4"/>
          <w:sz w:val="24"/>
          <w:szCs w:val="24"/>
        </w:rPr>
        <w:t>Pereira,</w:t>
      </w:r>
      <w:r w:rsidR="00B436DC" w:rsidRPr="00000790">
        <w:rPr>
          <w:rFonts w:cs="Tahoma"/>
          <w:spacing w:val="-4"/>
          <w:position w:val="-4"/>
          <w:sz w:val="24"/>
          <w:szCs w:val="24"/>
        </w:rPr>
        <w:t xml:space="preserve"> </w:t>
      </w:r>
      <w:r w:rsidR="001D0C2C" w:rsidRPr="00000790">
        <w:rPr>
          <w:rFonts w:cs="Tahoma"/>
          <w:spacing w:val="-4"/>
          <w:position w:val="-4"/>
          <w:sz w:val="24"/>
          <w:szCs w:val="24"/>
        </w:rPr>
        <w:t>once</w:t>
      </w:r>
      <w:r w:rsidR="00B436DC" w:rsidRPr="00000790">
        <w:rPr>
          <w:rFonts w:cs="Tahoma"/>
          <w:spacing w:val="-4"/>
          <w:position w:val="-4"/>
          <w:sz w:val="24"/>
          <w:szCs w:val="24"/>
        </w:rPr>
        <w:t xml:space="preserve"> </w:t>
      </w:r>
      <w:r w:rsidRPr="00000790">
        <w:rPr>
          <w:rFonts w:cs="Tahoma"/>
          <w:spacing w:val="-4"/>
          <w:position w:val="-4"/>
          <w:sz w:val="24"/>
          <w:szCs w:val="24"/>
        </w:rPr>
        <w:t>(</w:t>
      </w:r>
      <w:r w:rsidR="001D0C2C" w:rsidRPr="00000790">
        <w:rPr>
          <w:rFonts w:cs="Tahoma"/>
          <w:spacing w:val="-4"/>
          <w:position w:val="-4"/>
          <w:sz w:val="24"/>
          <w:szCs w:val="24"/>
        </w:rPr>
        <w:t>11</w:t>
      </w:r>
      <w:r w:rsidRPr="00000790">
        <w:rPr>
          <w:rFonts w:cs="Tahoma"/>
          <w:spacing w:val="-4"/>
          <w:position w:val="-4"/>
          <w:sz w:val="24"/>
          <w:szCs w:val="24"/>
        </w:rPr>
        <w:t xml:space="preserve">) de </w:t>
      </w:r>
      <w:r w:rsidR="000361E0" w:rsidRPr="00000790">
        <w:rPr>
          <w:rFonts w:cs="Tahoma"/>
          <w:spacing w:val="-4"/>
          <w:position w:val="-4"/>
          <w:sz w:val="24"/>
          <w:szCs w:val="24"/>
        </w:rPr>
        <w:t xml:space="preserve">mayo </w:t>
      </w:r>
      <w:r w:rsidRPr="00000790">
        <w:rPr>
          <w:rFonts w:cs="Tahoma"/>
          <w:spacing w:val="-4"/>
          <w:position w:val="-4"/>
          <w:sz w:val="24"/>
          <w:szCs w:val="24"/>
        </w:rPr>
        <w:t>de dos mil veintitrés (2023)</w:t>
      </w:r>
    </w:p>
    <w:p w14:paraId="2D915066" w14:textId="77777777" w:rsidR="00726662" w:rsidRPr="00000790" w:rsidRDefault="00524A00" w:rsidP="00000790">
      <w:pPr>
        <w:tabs>
          <w:tab w:val="left" w:pos="6870"/>
          <w:tab w:val="left" w:pos="7485"/>
        </w:tabs>
        <w:spacing w:line="276" w:lineRule="auto"/>
        <w:rPr>
          <w:rFonts w:cs="Tahoma"/>
          <w:spacing w:val="-4"/>
          <w:position w:val="-4"/>
          <w:sz w:val="24"/>
          <w:szCs w:val="24"/>
        </w:rPr>
      </w:pPr>
      <w:r w:rsidRPr="00000790">
        <w:rPr>
          <w:rFonts w:cs="Tahoma"/>
          <w:spacing w:val="-4"/>
          <w:position w:val="-4"/>
          <w:sz w:val="24"/>
          <w:szCs w:val="24"/>
        </w:rPr>
        <w:tab/>
      </w:r>
      <w:r w:rsidR="0055633F" w:rsidRPr="00000790">
        <w:rPr>
          <w:rFonts w:cs="Tahoma"/>
          <w:spacing w:val="-4"/>
          <w:position w:val="-4"/>
          <w:sz w:val="24"/>
          <w:szCs w:val="24"/>
        </w:rPr>
        <w:tab/>
      </w:r>
    </w:p>
    <w:p w14:paraId="3AC632F8" w14:textId="246F7ED9" w:rsidR="006E7C10" w:rsidRPr="00000790" w:rsidRDefault="006E7C10" w:rsidP="00000790">
      <w:pPr>
        <w:spacing w:line="276" w:lineRule="auto"/>
        <w:jc w:val="center"/>
        <w:rPr>
          <w:rFonts w:cs="Tahoma"/>
          <w:spacing w:val="-4"/>
          <w:position w:val="-4"/>
          <w:sz w:val="24"/>
          <w:szCs w:val="24"/>
        </w:rPr>
      </w:pPr>
      <w:r w:rsidRPr="00000790">
        <w:rPr>
          <w:rFonts w:cs="Tahoma"/>
          <w:spacing w:val="-4"/>
          <w:position w:val="-4"/>
          <w:sz w:val="24"/>
          <w:szCs w:val="24"/>
        </w:rPr>
        <w:t xml:space="preserve">  ACTA DE APROBACIÓN No</w:t>
      </w:r>
      <w:r w:rsidR="002E3A6A" w:rsidRPr="00000790">
        <w:rPr>
          <w:rFonts w:cs="Tahoma"/>
          <w:spacing w:val="-4"/>
          <w:position w:val="-4"/>
          <w:sz w:val="24"/>
          <w:szCs w:val="24"/>
        </w:rPr>
        <w:t xml:space="preserve"> </w:t>
      </w:r>
      <w:r w:rsidR="001D0C2C" w:rsidRPr="00000790">
        <w:rPr>
          <w:rFonts w:cs="Tahoma"/>
          <w:spacing w:val="-4"/>
          <w:position w:val="-4"/>
          <w:sz w:val="24"/>
          <w:szCs w:val="24"/>
        </w:rPr>
        <w:t>472</w:t>
      </w:r>
    </w:p>
    <w:p w14:paraId="609E2CBB" w14:textId="77777777" w:rsidR="006E7C10" w:rsidRPr="00000790" w:rsidRDefault="006E7C10" w:rsidP="00000790">
      <w:pPr>
        <w:spacing w:line="276" w:lineRule="auto"/>
        <w:jc w:val="center"/>
        <w:rPr>
          <w:rFonts w:cs="Tahoma"/>
          <w:spacing w:val="-4"/>
          <w:position w:val="-4"/>
          <w:sz w:val="24"/>
          <w:szCs w:val="24"/>
        </w:rPr>
      </w:pPr>
      <w:r w:rsidRPr="00000790">
        <w:rPr>
          <w:rFonts w:cs="Tahoma"/>
          <w:spacing w:val="-4"/>
          <w:position w:val="-4"/>
          <w:sz w:val="24"/>
          <w:szCs w:val="24"/>
        </w:rPr>
        <w:t xml:space="preserve">  </w:t>
      </w:r>
      <w:r w:rsidR="00AD3E50" w:rsidRPr="00000790">
        <w:rPr>
          <w:rFonts w:cs="Tahoma"/>
          <w:spacing w:val="-4"/>
          <w:position w:val="-4"/>
          <w:sz w:val="24"/>
          <w:szCs w:val="24"/>
        </w:rPr>
        <w:t>SEGUNDA INSTANCIA</w:t>
      </w:r>
    </w:p>
    <w:p w14:paraId="2F26FD91" w14:textId="77777777" w:rsidR="006E7C10" w:rsidRPr="00000790" w:rsidRDefault="006E7C10" w:rsidP="00000790">
      <w:pPr>
        <w:spacing w:line="276" w:lineRule="auto"/>
        <w:rPr>
          <w:rFonts w:cs="Tahoma"/>
          <w:spacing w:val="-4"/>
          <w:position w:val="-4"/>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7"/>
        <w:gridCol w:w="5604"/>
      </w:tblGrid>
      <w:tr w:rsidR="006E7C10" w:rsidRPr="0096092A" w14:paraId="594581EA" w14:textId="77777777" w:rsidTr="00FF6C2E">
        <w:trPr>
          <w:trHeight w:val="259"/>
        </w:trPr>
        <w:tc>
          <w:tcPr>
            <w:tcW w:w="3327" w:type="dxa"/>
            <w:tcBorders>
              <w:top w:val="single" w:sz="4" w:space="0" w:color="auto"/>
              <w:left w:val="single" w:sz="4" w:space="0" w:color="auto"/>
              <w:bottom w:val="single" w:sz="4" w:space="0" w:color="auto"/>
              <w:right w:val="single" w:sz="4" w:space="0" w:color="auto"/>
            </w:tcBorders>
          </w:tcPr>
          <w:p w14:paraId="05DA7248" w14:textId="77777777" w:rsidR="006E7C10" w:rsidRPr="0096092A" w:rsidRDefault="00ED48F9" w:rsidP="0096092A">
            <w:pPr>
              <w:pStyle w:val="Tablaidentificadora"/>
              <w:rPr>
                <w:rFonts w:cs="Tahoma"/>
                <w:spacing w:val="-4"/>
                <w:position w:val="-4"/>
                <w:sz w:val="22"/>
                <w:szCs w:val="24"/>
              </w:rPr>
            </w:pPr>
            <w:r w:rsidRPr="0096092A">
              <w:rPr>
                <w:rFonts w:cs="Tahoma"/>
                <w:spacing w:val="-4"/>
                <w:position w:val="-4"/>
                <w:sz w:val="22"/>
                <w:szCs w:val="24"/>
              </w:rPr>
              <w:t>Sentenciado</w:t>
            </w:r>
            <w:r w:rsidR="006E7C10" w:rsidRPr="0096092A">
              <w:rPr>
                <w:rFonts w:cs="Tahoma"/>
                <w:spacing w:val="-4"/>
                <w:position w:val="-4"/>
                <w:sz w:val="22"/>
                <w:szCs w:val="24"/>
              </w:rPr>
              <w:t xml:space="preserve">: </w:t>
            </w:r>
          </w:p>
        </w:tc>
        <w:tc>
          <w:tcPr>
            <w:tcW w:w="5604" w:type="dxa"/>
            <w:tcBorders>
              <w:top w:val="single" w:sz="4" w:space="0" w:color="auto"/>
              <w:left w:val="single" w:sz="4" w:space="0" w:color="auto"/>
              <w:bottom w:val="single" w:sz="4" w:space="0" w:color="auto"/>
              <w:right w:val="single" w:sz="4" w:space="0" w:color="auto"/>
            </w:tcBorders>
          </w:tcPr>
          <w:p w14:paraId="285ED607" w14:textId="756998CF" w:rsidR="006E7C10" w:rsidRPr="0096092A" w:rsidRDefault="00FF6C2E" w:rsidP="0096092A">
            <w:pPr>
              <w:pStyle w:val="Tablaidentificadora"/>
              <w:rPr>
                <w:rFonts w:cs="Tahoma"/>
                <w:spacing w:val="-4"/>
                <w:position w:val="-4"/>
                <w:sz w:val="22"/>
                <w:szCs w:val="24"/>
              </w:rPr>
            </w:pPr>
            <w:r>
              <w:rPr>
                <w:rFonts w:cs="Tahoma"/>
                <w:spacing w:val="-4"/>
                <w:position w:val="-4"/>
                <w:sz w:val="22"/>
                <w:szCs w:val="24"/>
              </w:rPr>
              <w:t>MSMV</w:t>
            </w:r>
          </w:p>
        </w:tc>
      </w:tr>
      <w:tr w:rsidR="006E7C10" w:rsidRPr="0096092A" w14:paraId="249BE43E" w14:textId="77777777" w:rsidTr="00FF6C2E">
        <w:trPr>
          <w:trHeight w:val="275"/>
        </w:trPr>
        <w:tc>
          <w:tcPr>
            <w:tcW w:w="3327" w:type="dxa"/>
            <w:tcBorders>
              <w:top w:val="single" w:sz="4" w:space="0" w:color="auto"/>
              <w:left w:val="single" w:sz="4" w:space="0" w:color="auto"/>
              <w:bottom w:val="single" w:sz="4" w:space="0" w:color="auto"/>
              <w:right w:val="single" w:sz="4" w:space="0" w:color="auto"/>
            </w:tcBorders>
          </w:tcPr>
          <w:p w14:paraId="5A95D0C3" w14:textId="77777777" w:rsidR="006E7C10" w:rsidRPr="0096092A" w:rsidRDefault="006E7C10" w:rsidP="0096092A">
            <w:pPr>
              <w:pStyle w:val="Tablaidentificadora"/>
              <w:rPr>
                <w:rFonts w:cs="Tahoma"/>
                <w:spacing w:val="-4"/>
                <w:position w:val="-4"/>
                <w:sz w:val="22"/>
                <w:szCs w:val="24"/>
              </w:rPr>
            </w:pPr>
            <w:r w:rsidRPr="0096092A">
              <w:rPr>
                <w:rFonts w:cs="Tahoma"/>
                <w:spacing w:val="-4"/>
                <w:position w:val="-4"/>
                <w:sz w:val="22"/>
                <w:szCs w:val="24"/>
              </w:rPr>
              <w:lastRenderedPageBreak/>
              <w:t>Cédula de ciudadanía:</w:t>
            </w:r>
          </w:p>
        </w:tc>
        <w:tc>
          <w:tcPr>
            <w:tcW w:w="5604" w:type="dxa"/>
            <w:tcBorders>
              <w:top w:val="single" w:sz="4" w:space="0" w:color="auto"/>
              <w:left w:val="single" w:sz="4" w:space="0" w:color="auto"/>
              <w:bottom w:val="single" w:sz="4" w:space="0" w:color="auto"/>
              <w:right w:val="single" w:sz="4" w:space="0" w:color="auto"/>
            </w:tcBorders>
          </w:tcPr>
          <w:p w14:paraId="4076B21D" w14:textId="1F600084" w:rsidR="006E7C10" w:rsidRPr="0096092A" w:rsidRDefault="006E7C10" w:rsidP="0096092A">
            <w:pPr>
              <w:pStyle w:val="Tablaidentificadora"/>
              <w:rPr>
                <w:rFonts w:cs="Tahoma"/>
                <w:spacing w:val="-4"/>
                <w:position w:val="-4"/>
                <w:sz w:val="22"/>
                <w:szCs w:val="24"/>
              </w:rPr>
            </w:pPr>
          </w:p>
        </w:tc>
      </w:tr>
      <w:tr w:rsidR="006E7C10" w:rsidRPr="0096092A" w14:paraId="4ED06EC4" w14:textId="77777777" w:rsidTr="00FF6C2E">
        <w:trPr>
          <w:trHeight w:val="259"/>
        </w:trPr>
        <w:tc>
          <w:tcPr>
            <w:tcW w:w="3327" w:type="dxa"/>
            <w:tcBorders>
              <w:top w:val="single" w:sz="4" w:space="0" w:color="auto"/>
              <w:left w:val="single" w:sz="4" w:space="0" w:color="auto"/>
              <w:bottom w:val="single" w:sz="4" w:space="0" w:color="auto"/>
              <w:right w:val="single" w:sz="4" w:space="0" w:color="auto"/>
            </w:tcBorders>
          </w:tcPr>
          <w:p w14:paraId="0B8FF2F9" w14:textId="77777777" w:rsidR="006E7C10" w:rsidRPr="0096092A" w:rsidRDefault="006E7C10" w:rsidP="0096092A">
            <w:pPr>
              <w:pStyle w:val="Tablaidentificadora"/>
              <w:rPr>
                <w:rFonts w:cs="Tahoma"/>
                <w:spacing w:val="-4"/>
                <w:position w:val="-4"/>
                <w:sz w:val="22"/>
                <w:szCs w:val="24"/>
              </w:rPr>
            </w:pPr>
            <w:r w:rsidRPr="0096092A">
              <w:rPr>
                <w:rFonts w:cs="Tahoma"/>
                <w:spacing w:val="-4"/>
                <w:position w:val="-4"/>
                <w:sz w:val="22"/>
                <w:szCs w:val="24"/>
              </w:rPr>
              <w:t>Delito:</w:t>
            </w:r>
          </w:p>
        </w:tc>
        <w:tc>
          <w:tcPr>
            <w:tcW w:w="5604" w:type="dxa"/>
            <w:tcBorders>
              <w:top w:val="single" w:sz="4" w:space="0" w:color="auto"/>
              <w:left w:val="single" w:sz="4" w:space="0" w:color="auto"/>
              <w:bottom w:val="single" w:sz="4" w:space="0" w:color="auto"/>
              <w:right w:val="single" w:sz="4" w:space="0" w:color="auto"/>
            </w:tcBorders>
          </w:tcPr>
          <w:p w14:paraId="2C68E2C5" w14:textId="77777777" w:rsidR="006E7C10" w:rsidRPr="0096092A" w:rsidRDefault="00CB616F" w:rsidP="0096092A">
            <w:pPr>
              <w:pStyle w:val="Tablaidentificadora"/>
              <w:rPr>
                <w:rFonts w:cs="Tahoma"/>
                <w:spacing w:val="-4"/>
                <w:position w:val="-4"/>
                <w:sz w:val="22"/>
                <w:szCs w:val="24"/>
              </w:rPr>
            </w:pPr>
            <w:r w:rsidRPr="0096092A">
              <w:rPr>
                <w:rFonts w:cs="Tahoma"/>
                <w:spacing w:val="-4"/>
                <w:position w:val="-4"/>
                <w:sz w:val="22"/>
                <w:szCs w:val="24"/>
              </w:rPr>
              <w:t>Acceso carnal o acto sexual abusivo con incapaz de resistir</w:t>
            </w:r>
          </w:p>
        </w:tc>
      </w:tr>
      <w:tr w:rsidR="006E7C10" w:rsidRPr="0096092A" w14:paraId="5B7C5DD6" w14:textId="77777777" w:rsidTr="00FF6C2E">
        <w:trPr>
          <w:trHeight w:val="259"/>
        </w:trPr>
        <w:tc>
          <w:tcPr>
            <w:tcW w:w="3327" w:type="dxa"/>
            <w:tcBorders>
              <w:top w:val="single" w:sz="4" w:space="0" w:color="auto"/>
              <w:left w:val="single" w:sz="4" w:space="0" w:color="auto"/>
              <w:bottom w:val="single" w:sz="4" w:space="0" w:color="auto"/>
              <w:right w:val="single" w:sz="4" w:space="0" w:color="auto"/>
            </w:tcBorders>
          </w:tcPr>
          <w:p w14:paraId="2D362ED2" w14:textId="77777777" w:rsidR="006E7C10" w:rsidRPr="0096092A" w:rsidRDefault="00D8777D" w:rsidP="0096092A">
            <w:pPr>
              <w:pStyle w:val="Tablaidentificadora"/>
              <w:rPr>
                <w:rFonts w:cs="Tahoma"/>
                <w:spacing w:val="-4"/>
                <w:position w:val="-4"/>
                <w:sz w:val="22"/>
                <w:szCs w:val="24"/>
              </w:rPr>
            </w:pPr>
            <w:r w:rsidRPr="0096092A">
              <w:rPr>
                <w:rFonts w:cs="Tahoma"/>
                <w:spacing w:val="-4"/>
                <w:position w:val="-4"/>
                <w:sz w:val="22"/>
                <w:szCs w:val="24"/>
              </w:rPr>
              <w:t>Bien jurídico</w:t>
            </w:r>
            <w:r w:rsidR="00FE60C2" w:rsidRPr="0096092A">
              <w:rPr>
                <w:rFonts w:cs="Tahoma"/>
                <w:spacing w:val="-4"/>
                <w:position w:val="-4"/>
                <w:sz w:val="22"/>
                <w:szCs w:val="24"/>
              </w:rPr>
              <w:t xml:space="preserve"> tutelado</w:t>
            </w:r>
            <w:r w:rsidR="006E7C10" w:rsidRPr="0096092A">
              <w:rPr>
                <w:rFonts w:cs="Tahoma"/>
                <w:spacing w:val="-4"/>
                <w:position w:val="-4"/>
                <w:sz w:val="22"/>
                <w:szCs w:val="24"/>
              </w:rPr>
              <w:t>:</w:t>
            </w:r>
          </w:p>
        </w:tc>
        <w:tc>
          <w:tcPr>
            <w:tcW w:w="5604" w:type="dxa"/>
            <w:tcBorders>
              <w:top w:val="single" w:sz="4" w:space="0" w:color="auto"/>
              <w:left w:val="single" w:sz="4" w:space="0" w:color="auto"/>
              <w:bottom w:val="single" w:sz="4" w:space="0" w:color="auto"/>
              <w:right w:val="single" w:sz="4" w:space="0" w:color="auto"/>
            </w:tcBorders>
          </w:tcPr>
          <w:p w14:paraId="12AEEB0F" w14:textId="77777777" w:rsidR="006E7C10" w:rsidRPr="0096092A" w:rsidRDefault="00CB616F" w:rsidP="0096092A">
            <w:pPr>
              <w:pStyle w:val="Tablaidentificadora"/>
              <w:rPr>
                <w:rFonts w:cs="Tahoma"/>
                <w:spacing w:val="-4"/>
                <w:position w:val="-4"/>
                <w:sz w:val="22"/>
                <w:szCs w:val="24"/>
              </w:rPr>
            </w:pPr>
            <w:r w:rsidRPr="0096092A">
              <w:rPr>
                <w:rFonts w:cs="Tahoma"/>
                <w:spacing w:val="-4"/>
                <w:position w:val="-4"/>
                <w:sz w:val="22"/>
                <w:szCs w:val="24"/>
              </w:rPr>
              <w:t>La libertad, integridad y formación sexual</w:t>
            </w:r>
          </w:p>
        </w:tc>
      </w:tr>
      <w:tr w:rsidR="006E7C10" w:rsidRPr="0096092A" w14:paraId="6E58CD77" w14:textId="77777777" w:rsidTr="00FF6C2E">
        <w:trPr>
          <w:trHeight w:val="275"/>
        </w:trPr>
        <w:tc>
          <w:tcPr>
            <w:tcW w:w="3327" w:type="dxa"/>
            <w:tcBorders>
              <w:top w:val="single" w:sz="4" w:space="0" w:color="auto"/>
              <w:left w:val="single" w:sz="4" w:space="0" w:color="auto"/>
              <w:bottom w:val="single" w:sz="4" w:space="0" w:color="auto"/>
              <w:right w:val="single" w:sz="4" w:space="0" w:color="auto"/>
            </w:tcBorders>
          </w:tcPr>
          <w:p w14:paraId="4D28CE35" w14:textId="77777777" w:rsidR="006E7C10" w:rsidRPr="0096092A" w:rsidRDefault="006E7C10" w:rsidP="0096092A">
            <w:pPr>
              <w:pStyle w:val="Tablaidentificadora"/>
              <w:rPr>
                <w:rFonts w:cs="Tahoma"/>
                <w:spacing w:val="-4"/>
                <w:position w:val="-4"/>
                <w:sz w:val="22"/>
                <w:szCs w:val="24"/>
              </w:rPr>
            </w:pPr>
            <w:r w:rsidRPr="0096092A">
              <w:rPr>
                <w:rFonts w:cs="Tahoma"/>
                <w:spacing w:val="-4"/>
                <w:position w:val="-4"/>
                <w:sz w:val="22"/>
                <w:szCs w:val="24"/>
              </w:rPr>
              <w:t>Procedencia:</w:t>
            </w:r>
          </w:p>
        </w:tc>
        <w:tc>
          <w:tcPr>
            <w:tcW w:w="5604" w:type="dxa"/>
            <w:tcBorders>
              <w:top w:val="single" w:sz="4" w:space="0" w:color="auto"/>
              <w:left w:val="single" w:sz="4" w:space="0" w:color="auto"/>
              <w:bottom w:val="single" w:sz="4" w:space="0" w:color="auto"/>
              <w:right w:val="single" w:sz="4" w:space="0" w:color="auto"/>
            </w:tcBorders>
          </w:tcPr>
          <w:p w14:paraId="317B9D93" w14:textId="77777777" w:rsidR="006E7C10" w:rsidRPr="0096092A" w:rsidRDefault="00CF7F9E" w:rsidP="0096092A">
            <w:pPr>
              <w:pStyle w:val="Tablaidentificadora"/>
              <w:rPr>
                <w:rFonts w:cs="Tahoma"/>
                <w:spacing w:val="-4"/>
                <w:position w:val="-4"/>
                <w:sz w:val="22"/>
                <w:szCs w:val="24"/>
              </w:rPr>
            </w:pPr>
            <w:r w:rsidRPr="0096092A">
              <w:rPr>
                <w:rFonts w:cs="Tahoma"/>
                <w:spacing w:val="-4"/>
                <w:position w:val="-4"/>
                <w:sz w:val="22"/>
                <w:szCs w:val="24"/>
              </w:rPr>
              <w:t xml:space="preserve">Juzgado </w:t>
            </w:r>
            <w:r w:rsidR="00D8777D" w:rsidRPr="0096092A">
              <w:rPr>
                <w:rFonts w:cs="Tahoma"/>
                <w:spacing w:val="-4"/>
                <w:position w:val="-4"/>
                <w:sz w:val="22"/>
                <w:szCs w:val="24"/>
              </w:rPr>
              <w:t xml:space="preserve">Séptimo </w:t>
            </w:r>
            <w:r w:rsidRPr="0096092A">
              <w:rPr>
                <w:rFonts w:cs="Tahoma"/>
                <w:spacing w:val="-4"/>
                <w:position w:val="-4"/>
                <w:sz w:val="22"/>
                <w:szCs w:val="24"/>
              </w:rPr>
              <w:t>Penal del Circuito de Pereira (Rda</w:t>
            </w:r>
            <w:r w:rsidR="00E7256C" w:rsidRPr="0096092A">
              <w:rPr>
                <w:rFonts w:cs="Tahoma"/>
                <w:spacing w:val="-4"/>
                <w:position w:val="-4"/>
                <w:sz w:val="22"/>
                <w:szCs w:val="24"/>
              </w:rPr>
              <w:t xml:space="preserve">.) </w:t>
            </w:r>
          </w:p>
        </w:tc>
      </w:tr>
      <w:tr w:rsidR="006E7C10" w:rsidRPr="0096092A" w14:paraId="7B91B0B0" w14:textId="77777777" w:rsidTr="00FF6C2E">
        <w:trPr>
          <w:trHeight w:val="655"/>
        </w:trPr>
        <w:tc>
          <w:tcPr>
            <w:tcW w:w="3327" w:type="dxa"/>
            <w:tcBorders>
              <w:top w:val="single" w:sz="4" w:space="0" w:color="auto"/>
              <w:left w:val="single" w:sz="4" w:space="0" w:color="auto"/>
              <w:bottom w:val="single" w:sz="4" w:space="0" w:color="auto"/>
              <w:right w:val="single" w:sz="4" w:space="0" w:color="auto"/>
            </w:tcBorders>
          </w:tcPr>
          <w:p w14:paraId="5FCF4FDB" w14:textId="77777777" w:rsidR="006E7C10" w:rsidRPr="0096092A" w:rsidRDefault="006E7C10" w:rsidP="0096092A">
            <w:pPr>
              <w:pStyle w:val="Tablaidentificadora"/>
              <w:rPr>
                <w:rFonts w:cs="Tahoma"/>
                <w:spacing w:val="-4"/>
                <w:position w:val="-4"/>
                <w:sz w:val="22"/>
                <w:szCs w:val="24"/>
              </w:rPr>
            </w:pPr>
            <w:r w:rsidRPr="0096092A">
              <w:rPr>
                <w:rFonts w:cs="Tahoma"/>
                <w:spacing w:val="-4"/>
                <w:position w:val="-4"/>
                <w:sz w:val="22"/>
                <w:szCs w:val="24"/>
              </w:rPr>
              <w:t>Asunto:</w:t>
            </w:r>
          </w:p>
        </w:tc>
        <w:tc>
          <w:tcPr>
            <w:tcW w:w="5604" w:type="dxa"/>
            <w:tcBorders>
              <w:top w:val="single" w:sz="4" w:space="0" w:color="auto"/>
              <w:left w:val="single" w:sz="4" w:space="0" w:color="auto"/>
              <w:bottom w:val="single" w:sz="4" w:space="0" w:color="auto"/>
              <w:right w:val="single" w:sz="4" w:space="0" w:color="auto"/>
            </w:tcBorders>
          </w:tcPr>
          <w:p w14:paraId="2F3767B1" w14:textId="77777777" w:rsidR="006E7C10" w:rsidRPr="0096092A" w:rsidRDefault="00CF7F9E" w:rsidP="0096092A">
            <w:pPr>
              <w:pStyle w:val="Tablaidentificadora"/>
              <w:rPr>
                <w:rFonts w:cs="Tahoma"/>
                <w:spacing w:val="-4"/>
                <w:position w:val="-4"/>
                <w:sz w:val="22"/>
                <w:szCs w:val="24"/>
              </w:rPr>
            </w:pPr>
            <w:r w:rsidRPr="0096092A">
              <w:rPr>
                <w:rFonts w:cs="Tahoma"/>
                <w:spacing w:val="-4"/>
                <w:position w:val="-4"/>
                <w:sz w:val="22"/>
                <w:szCs w:val="24"/>
              </w:rPr>
              <w:t>Se decide apelación interpuesta por</w:t>
            </w:r>
            <w:r w:rsidR="0038150A" w:rsidRPr="0096092A">
              <w:rPr>
                <w:rFonts w:cs="Tahoma"/>
                <w:spacing w:val="-4"/>
                <w:position w:val="-4"/>
                <w:sz w:val="22"/>
                <w:szCs w:val="24"/>
              </w:rPr>
              <w:t xml:space="preserve"> </w:t>
            </w:r>
            <w:r w:rsidR="00524A00" w:rsidRPr="0096092A">
              <w:rPr>
                <w:rFonts w:cs="Tahoma"/>
                <w:spacing w:val="-4"/>
                <w:position w:val="-4"/>
                <w:sz w:val="22"/>
                <w:szCs w:val="24"/>
              </w:rPr>
              <w:t xml:space="preserve">la defensa </w:t>
            </w:r>
            <w:r w:rsidRPr="0096092A">
              <w:rPr>
                <w:rFonts w:cs="Tahoma"/>
                <w:spacing w:val="-4"/>
                <w:position w:val="-4"/>
                <w:sz w:val="22"/>
                <w:szCs w:val="24"/>
              </w:rPr>
              <w:t>contra la sen</w:t>
            </w:r>
            <w:r w:rsidR="009F6313" w:rsidRPr="0096092A">
              <w:rPr>
                <w:rFonts w:cs="Tahoma"/>
                <w:spacing w:val="-4"/>
                <w:position w:val="-4"/>
                <w:sz w:val="22"/>
                <w:szCs w:val="24"/>
              </w:rPr>
              <w:t xml:space="preserve">tencia de </w:t>
            </w:r>
            <w:r w:rsidR="00CB616F" w:rsidRPr="0096092A">
              <w:rPr>
                <w:rFonts w:cs="Tahoma"/>
                <w:spacing w:val="-4"/>
                <w:position w:val="-4"/>
                <w:sz w:val="22"/>
                <w:szCs w:val="24"/>
              </w:rPr>
              <w:t>diciembre 16</w:t>
            </w:r>
            <w:r w:rsidR="00D8777D" w:rsidRPr="0096092A">
              <w:rPr>
                <w:rFonts w:cs="Tahoma"/>
                <w:spacing w:val="-4"/>
                <w:position w:val="-4"/>
                <w:sz w:val="22"/>
                <w:szCs w:val="24"/>
              </w:rPr>
              <w:t xml:space="preserve"> de 2022</w:t>
            </w:r>
            <w:r w:rsidR="00E7256C" w:rsidRPr="0096092A">
              <w:rPr>
                <w:rFonts w:cs="Tahoma"/>
                <w:spacing w:val="-4"/>
                <w:position w:val="-4"/>
                <w:sz w:val="22"/>
                <w:szCs w:val="24"/>
              </w:rPr>
              <w:t xml:space="preserve">. </w:t>
            </w:r>
            <w:r w:rsidR="00524A00" w:rsidRPr="0096092A">
              <w:rPr>
                <w:rFonts w:cs="Tahoma"/>
                <w:b/>
                <w:bCs/>
                <w:spacing w:val="-4"/>
                <w:position w:val="-4"/>
                <w:sz w:val="22"/>
                <w:szCs w:val="24"/>
              </w:rPr>
              <w:t>SE CONFIRMA</w:t>
            </w:r>
          </w:p>
        </w:tc>
      </w:tr>
    </w:tbl>
    <w:p w14:paraId="1F344368" w14:textId="77777777" w:rsidR="00852B30" w:rsidRPr="00000790" w:rsidRDefault="00852B30" w:rsidP="00000790">
      <w:pPr>
        <w:spacing w:line="276" w:lineRule="auto"/>
        <w:rPr>
          <w:rFonts w:cs="Tahoma"/>
          <w:spacing w:val="-4"/>
          <w:position w:val="-4"/>
          <w:sz w:val="24"/>
          <w:szCs w:val="24"/>
        </w:rPr>
      </w:pPr>
    </w:p>
    <w:p w14:paraId="330A9CD0" w14:textId="77777777" w:rsidR="00852B30" w:rsidRPr="00000790" w:rsidRDefault="00852B30" w:rsidP="00000790">
      <w:pPr>
        <w:spacing w:line="276" w:lineRule="auto"/>
        <w:rPr>
          <w:rFonts w:cs="Tahoma"/>
          <w:spacing w:val="-4"/>
          <w:position w:val="-4"/>
          <w:sz w:val="24"/>
          <w:szCs w:val="24"/>
        </w:rPr>
      </w:pPr>
      <w:r w:rsidRPr="00000790">
        <w:rPr>
          <w:rFonts w:cs="Tahoma"/>
          <w:spacing w:val="-4"/>
          <w:position w:val="-4"/>
          <w:sz w:val="24"/>
          <w:szCs w:val="24"/>
        </w:rPr>
        <w:t>El Tribunal Superior del Distrito Judicial de Pereira pronuncia la sentencia en los siguientes términos:</w:t>
      </w:r>
    </w:p>
    <w:p w14:paraId="392E9B99" w14:textId="77777777" w:rsidR="00852B30" w:rsidRPr="00000790" w:rsidRDefault="00852B30" w:rsidP="00000790">
      <w:pPr>
        <w:pStyle w:val="Textoindependiente2"/>
        <w:spacing w:line="276" w:lineRule="auto"/>
        <w:rPr>
          <w:rFonts w:ascii="Tahoma" w:hAnsi="Tahoma" w:cs="Tahoma"/>
          <w:spacing w:val="-4"/>
          <w:position w:val="-4"/>
          <w:szCs w:val="24"/>
        </w:rPr>
      </w:pPr>
    </w:p>
    <w:p w14:paraId="4C1413B9" w14:textId="764F93A9" w:rsidR="009C3372" w:rsidRPr="00000790" w:rsidRDefault="009C3372" w:rsidP="00000790">
      <w:pPr>
        <w:spacing w:line="276" w:lineRule="auto"/>
        <w:rPr>
          <w:rStyle w:val="Algerian"/>
          <w:rFonts w:ascii="Tahoma" w:hAnsi="Tahoma" w:cs="Tahoma"/>
          <w:spacing w:val="-4"/>
          <w:position w:val="-4"/>
          <w:sz w:val="24"/>
          <w:szCs w:val="24"/>
        </w:rPr>
      </w:pPr>
      <w:r w:rsidRPr="00000790">
        <w:rPr>
          <w:rStyle w:val="Algerian"/>
          <w:rFonts w:ascii="Tahoma" w:hAnsi="Tahoma" w:cs="Tahoma"/>
          <w:spacing w:val="-4"/>
          <w:position w:val="-4"/>
          <w:sz w:val="24"/>
          <w:szCs w:val="24"/>
        </w:rPr>
        <w:t xml:space="preserve">1.- hechos Y </w:t>
      </w:r>
      <w:r w:rsidR="005D5C45" w:rsidRPr="00000790">
        <w:rPr>
          <w:rStyle w:val="Algerian"/>
          <w:rFonts w:ascii="Tahoma" w:hAnsi="Tahoma" w:cs="Tahoma"/>
          <w:spacing w:val="-4"/>
          <w:position w:val="-4"/>
          <w:sz w:val="24"/>
          <w:szCs w:val="24"/>
        </w:rPr>
        <w:t>ACTUACIÓN PROCESAL</w:t>
      </w:r>
    </w:p>
    <w:p w14:paraId="39458390" w14:textId="77777777" w:rsidR="009C3372" w:rsidRPr="00000790" w:rsidRDefault="009C3372" w:rsidP="00000790">
      <w:pPr>
        <w:spacing w:line="276" w:lineRule="auto"/>
        <w:rPr>
          <w:rFonts w:cs="Tahoma"/>
          <w:spacing w:val="-4"/>
          <w:position w:val="-4"/>
          <w:sz w:val="24"/>
          <w:szCs w:val="24"/>
        </w:rPr>
      </w:pPr>
    </w:p>
    <w:p w14:paraId="06A1C797" w14:textId="77777777" w:rsidR="00E9194F" w:rsidRPr="00000790" w:rsidRDefault="00C77802" w:rsidP="00000790">
      <w:pPr>
        <w:spacing w:line="276" w:lineRule="auto"/>
        <w:ind w:right="-91"/>
        <w:rPr>
          <w:rStyle w:val="Numeracinttulo"/>
          <w:rFonts w:cs="Tahoma"/>
          <w:b w:val="0"/>
          <w:spacing w:val="-4"/>
          <w:position w:val="-4"/>
          <w:szCs w:val="24"/>
        </w:rPr>
      </w:pPr>
      <w:r w:rsidRPr="00000790">
        <w:rPr>
          <w:rStyle w:val="Numeracinttulo"/>
          <w:rFonts w:cs="Tahoma"/>
          <w:spacing w:val="-4"/>
          <w:position w:val="-4"/>
          <w:szCs w:val="24"/>
        </w:rPr>
        <w:t>1.1.-</w:t>
      </w:r>
      <w:r w:rsidRPr="00000790">
        <w:rPr>
          <w:rStyle w:val="Numeracinttulo"/>
          <w:rFonts w:cs="Tahoma"/>
          <w:b w:val="0"/>
          <w:spacing w:val="-4"/>
          <w:position w:val="-4"/>
          <w:szCs w:val="24"/>
        </w:rPr>
        <w:t xml:space="preserve"> </w:t>
      </w:r>
      <w:r w:rsidR="00F3054C" w:rsidRPr="00000790">
        <w:rPr>
          <w:rStyle w:val="Numeracinttulo"/>
          <w:rFonts w:cs="Tahoma"/>
          <w:b w:val="0"/>
          <w:spacing w:val="-4"/>
          <w:position w:val="-4"/>
          <w:szCs w:val="24"/>
        </w:rPr>
        <w:t>Los hechos a los cuales se contrae la presente actuación quedaron consignado</w:t>
      </w:r>
      <w:r w:rsidR="00EF4D9E" w:rsidRPr="00000790">
        <w:rPr>
          <w:rStyle w:val="Numeracinttulo"/>
          <w:rFonts w:cs="Tahoma"/>
          <w:b w:val="0"/>
          <w:spacing w:val="-4"/>
          <w:position w:val="-4"/>
          <w:szCs w:val="24"/>
        </w:rPr>
        <w:t>s</w:t>
      </w:r>
      <w:r w:rsidR="00F3054C" w:rsidRPr="00000790">
        <w:rPr>
          <w:rStyle w:val="Numeracinttulo"/>
          <w:rFonts w:cs="Tahoma"/>
          <w:b w:val="0"/>
          <w:spacing w:val="-4"/>
          <w:position w:val="-4"/>
          <w:szCs w:val="24"/>
        </w:rPr>
        <w:t xml:space="preserve"> en el fallo de primera instancia de la siguiente manera:</w:t>
      </w:r>
    </w:p>
    <w:p w14:paraId="07729E5C" w14:textId="77777777" w:rsidR="008D5169" w:rsidRPr="00000790" w:rsidRDefault="008D5169" w:rsidP="00000790">
      <w:pPr>
        <w:spacing w:line="276" w:lineRule="auto"/>
        <w:ind w:left="680" w:right="680"/>
        <w:rPr>
          <w:rStyle w:val="Numeracinttulo"/>
          <w:rFonts w:cs="Tahoma"/>
          <w:b w:val="0"/>
          <w:spacing w:val="-4"/>
          <w:position w:val="-4"/>
          <w:szCs w:val="24"/>
        </w:rPr>
      </w:pPr>
    </w:p>
    <w:p w14:paraId="5331F33B" w14:textId="484D3EE0" w:rsidR="00407884" w:rsidRPr="004B01EA" w:rsidRDefault="00F3054C" w:rsidP="004B01EA">
      <w:pPr>
        <w:spacing w:line="240" w:lineRule="auto"/>
        <w:ind w:left="426" w:right="420"/>
        <w:rPr>
          <w:rStyle w:val="Numeracinttulo"/>
          <w:rFonts w:cs="Tahoma"/>
          <w:b w:val="0"/>
          <w:spacing w:val="-4"/>
          <w:position w:val="-4"/>
          <w:sz w:val="22"/>
          <w:szCs w:val="24"/>
        </w:rPr>
      </w:pPr>
      <w:r w:rsidRPr="004B01EA">
        <w:rPr>
          <w:rStyle w:val="Numeracinttulo"/>
          <w:rFonts w:cs="Tahoma"/>
          <w:b w:val="0"/>
          <w:spacing w:val="-4"/>
          <w:position w:val="-4"/>
          <w:sz w:val="22"/>
          <w:szCs w:val="24"/>
        </w:rPr>
        <w:t>“</w:t>
      </w:r>
      <w:r w:rsidR="00E9194F" w:rsidRPr="004B01EA">
        <w:rPr>
          <w:rFonts w:cs="Tahoma"/>
          <w:sz w:val="22"/>
          <w:szCs w:val="24"/>
        </w:rPr>
        <w:t xml:space="preserve">El 15 de julio de 2020 entre las 9:00 y 10:00 horas, en la calle 9 No. 20-60, sector Pinares de la ciudad de Pereira, al interior de la Clínica Pinares Médica, cuando la joven </w:t>
      </w:r>
      <w:r w:rsidR="001077F7">
        <w:rPr>
          <w:rFonts w:cs="Tahoma"/>
          <w:sz w:val="22"/>
          <w:szCs w:val="24"/>
        </w:rPr>
        <w:t>SRC</w:t>
      </w:r>
      <w:r w:rsidR="00E9194F" w:rsidRPr="004B01EA">
        <w:rPr>
          <w:rFonts w:cs="Tahoma"/>
          <w:sz w:val="22"/>
          <w:szCs w:val="24"/>
        </w:rPr>
        <w:t xml:space="preserve"> era trasladada dentro de la clínica en una camilla por el auxiliar de enfermería -</w:t>
      </w:r>
      <w:r w:rsidR="00FF6C2E">
        <w:rPr>
          <w:rFonts w:cs="Tahoma"/>
          <w:sz w:val="22"/>
          <w:szCs w:val="24"/>
        </w:rPr>
        <w:t>MSMV</w:t>
      </w:r>
      <w:r w:rsidR="00E9194F" w:rsidRPr="004B01EA">
        <w:rPr>
          <w:rFonts w:cs="Tahoma"/>
          <w:sz w:val="22"/>
          <w:szCs w:val="24"/>
        </w:rPr>
        <w:t xml:space="preserve">-, hacía el área de rayos X, por cuanto había ingresado a ese centro asistencial por haber sufrido lesiones físicas en un accidente de tránsito, en el momento de su traslada no podía mover las extremidades, ni hablar, dado que aún se encontraba en shock por el evento sufrido; situación que fue aprovechada por el señor </w:t>
      </w:r>
      <w:r w:rsidR="00FF6C2E">
        <w:rPr>
          <w:rFonts w:cs="Tahoma"/>
          <w:sz w:val="22"/>
          <w:szCs w:val="24"/>
        </w:rPr>
        <w:t>MSMV</w:t>
      </w:r>
      <w:r w:rsidR="00E9194F" w:rsidRPr="004B01EA">
        <w:rPr>
          <w:rFonts w:cs="Tahoma"/>
          <w:sz w:val="22"/>
          <w:szCs w:val="24"/>
        </w:rPr>
        <w:t xml:space="preserve"> cuando se encontraba en el ascensor con ésta, para levantar el buso y el top que tenía puesto y con sus manos proceder a tocarle los senos, los cuales masajeo y pellizco; para realizar estos actos el señor </w:t>
      </w:r>
      <w:r w:rsidR="00FF6C2E">
        <w:rPr>
          <w:rFonts w:cs="Tahoma"/>
          <w:sz w:val="22"/>
          <w:szCs w:val="24"/>
        </w:rPr>
        <w:t>MSMV</w:t>
      </w:r>
      <w:r w:rsidR="00E9194F" w:rsidRPr="004B01EA">
        <w:rPr>
          <w:rFonts w:cs="Tahoma"/>
          <w:sz w:val="22"/>
          <w:szCs w:val="24"/>
        </w:rPr>
        <w:t xml:space="preserve"> se quitó los guantes de látex; acción que realizó en tres de los cuatro recorridos que hizo con la paciente dentro de la clínica cuando la llevaba a los diferentes exámenes</w:t>
      </w:r>
      <w:r w:rsidR="00967648" w:rsidRPr="004B01EA">
        <w:rPr>
          <w:rFonts w:cs="Tahoma"/>
          <w:sz w:val="22"/>
          <w:szCs w:val="24"/>
        </w:rPr>
        <w:t xml:space="preserve"> </w:t>
      </w:r>
      <w:r w:rsidR="00407884" w:rsidRPr="004B01EA">
        <w:rPr>
          <w:rStyle w:val="Numeracinttulo"/>
          <w:rFonts w:cs="Tahoma"/>
          <w:b w:val="0"/>
          <w:spacing w:val="-4"/>
          <w:position w:val="-4"/>
          <w:sz w:val="22"/>
          <w:szCs w:val="24"/>
        </w:rPr>
        <w:t xml:space="preserve">[…]” </w:t>
      </w:r>
    </w:p>
    <w:p w14:paraId="3E4D0709" w14:textId="77777777" w:rsidR="002B797E" w:rsidRPr="00000790" w:rsidRDefault="002B797E" w:rsidP="00000790">
      <w:pPr>
        <w:spacing w:line="276" w:lineRule="auto"/>
        <w:rPr>
          <w:rStyle w:val="Numeracinttulo"/>
          <w:rFonts w:cs="Tahoma"/>
          <w:spacing w:val="-4"/>
          <w:position w:val="-4"/>
          <w:szCs w:val="24"/>
        </w:rPr>
      </w:pPr>
    </w:p>
    <w:p w14:paraId="2C13ADA0" w14:textId="2C29BC83" w:rsidR="00C77802" w:rsidRPr="00000790" w:rsidRDefault="00C77802" w:rsidP="00000790">
      <w:pPr>
        <w:spacing w:line="276" w:lineRule="auto"/>
        <w:rPr>
          <w:rStyle w:val="Numeracinttulo"/>
          <w:rFonts w:cs="Tahoma"/>
          <w:b w:val="0"/>
          <w:spacing w:val="-4"/>
          <w:position w:val="-4"/>
          <w:szCs w:val="24"/>
        </w:rPr>
      </w:pPr>
      <w:r w:rsidRPr="00000790">
        <w:rPr>
          <w:rStyle w:val="Numeracinttulo"/>
          <w:rFonts w:cs="Tahoma"/>
          <w:spacing w:val="-4"/>
          <w:position w:val="-4"/>
          <w:szCs w:val="24"/>
        </w:rPr>
        <w:t xml:space="preserve">1.2.- </w:t>
      </w:r>
      <w:r w:rsidRPr="00000790">
        <w:rPr>
          <w:rStyle w:val="Numeracinttulo"/>
          <w:rFonts w:cs="Tahoma"/>
          <w:b w:val="0"/>
          <w:spacing w:val="-4"/>
          <w:position w:val="-4"/>
          <w:szCs w:val="24"/>
        </w:rPr>
        <w:t xml:space="preserve">A consecuencia de lo anterior y a instancia de la Fiscalía, </w:t>
      </w:r>
      <w:r w:rsidR="00F74DD0" w:rsidRPr="00000790">
        <w:rPr>
          <w:rStyle w:val="Numeracinttulo"/>
          <w:rFonts w:cs="Tahoma"/>
          <w:b w:val="0"/>
          <w:spacing w:val="-4"/>
          <w:position w:val="-4"/>
          <w:szCs w:val="24"/>
        </w:rPr>
        <w:t xml:space="preserve">se llevó a cabo audiencia preliminar de formulación de imputación </w:t>
      </w:r>
      <w:r w:rsidR="00280E5A" w:rsidRPr="00000790">
        <w:rPr>
          <w:rStyle w:val="Numeracinttulo"/>
          <w:rFonts w:cs="Tahoma"/>
          <w:b w:val="0"/>
          <w:spacing w:val="-4"/>
          <w:position w:val="-4"/>
          <w:szCs w:val="24"/>
        </w:rPr>
        <w:t>-</w:t>
      </w:r>
      <w:r w:rsidR="00F74DD0" w:rsidRPr="00000790">
        <w:rPr>
          <w:rStyle w:val="Numeracinttulo"/>
          <w:rFonts w:cs="Tahoma"/>
          <w:b w:val="0"/>
          <w:spacing w:val="-4"/>
          <w:position w:val="-4"/>
          <w:szCs w:val="24"/>
        </w:rPr>
        <w:t>enero 27 de 2021</w:t>
      </w:r>
      <w:r w:rsidR="00280E5A" w:rsidRPr="00000790">
        <w:rPr>
          <w:rStyle w:val="Numeracinttulo"/>
          <w:rFonts w:cs="Tahoma"/>
          <w:b w:val="0"/>
          <w:spacing w:val="-4"/>
          <w:position w:val="-4"/>
          <w:szCs w:val="24"/>
        </w:rPr>
        <w:t>-</w:t>
      </w:r>
      <w:r w:rsidR="00E12C98" w:rsidRPr="00000790">
        <w:rPr>
          <w:rStyle w:val="Numeracinttulo"/>
          <w:rFonts w:cs="Tahoma"/>
          <w:b w:val="0"/>
          <w:spacing w:val="-4"/>
          <w:position w:val="-4"/>
          <w:szCs w:val="24"/>
        </w:rPr>
        <w:t xml:space="preserve"> </w:t>
      </w:r>
      <w:r w:rsidRPr="00000790">
        <w:rPr>
          <w:rStyle w:val="Numeracinttulo"/>
          <w:rFonts w:cs="Tahoma"/>
          <w:b w:val="0"/>
          <w:spacing w:val="-4"/>
          <w:position w:val="-4"/>
          <w:szCs w:val="24"/>
        </w:rPr>
        <w:t xml:space="preserve">ante </w:t>
      </w:r>
      <w:r w:rsidR="008E2500" w:rsidRPr="00000790">
        <w:rPr>
          <w:rStyle w:val="Numeracinttulo"/>
          <w:rFonts w:cs="Tahoma"/>
          <w:b w:val="0"/>
          <w:spacing w:val="-4"/>
          <w:position w:val="-4"/>
          <w:szCs w:val="24"/>
        </w:rPr>
        <w:t>el</w:t>
      </w:r>
      <w:r w:rsidRPr="00000790">
        <w:rPr>
          <w:rStyle w:val="Numeracinttulo"/>
          <w:rFonts w:cs="Tahoma"/>
          <w:b w:val="0"/>
          <w:spacing w:val="-4"/>
          <w:position w:val="-4"/>
          <w:szCs w:val="24"/>
        </w:rPr>
        <w:t xml:space="preserve"> Juzgado</w:t>
      </w:r>
      <w:r w:rsidR="00E12C98" w:rsidRPr="00000790">
        <w:rPr>
          <w:rStyle w:val="Numeracinttulo"/>
          <w:rFonts w:cs="Tahoma"/>
          <w:b w:val="0"/>
          <w:spacing w:val="-4"/>
          <w:position w:val="-4"/>
          <w:szCs w:val="24"/>
        </w:rPr>
        <w:t xml:space="preserve"> </w:t>
      </w:r>
      <w:r w:rsidR="00F74DD0" w:rsidRPr="00000790">
        <w:rPr>
          <w:rStyle w:val="Numeracinttulo"/>
          <w:rFonts w:cs="Tahoma"/>
          <w:b w:val="0"/>
          <w:spacing w:val="-4"/>
          <w:position w:val="-4"/>
          <w:szCs w:val="24"/>
        </w:rPr>
        <w:t>Primero Penal</w:t>
      </w:r>
      <w:r w:rsidR="00967648" w:rsidRPr="00000790">
        <w:rPr>
          <w:rStyle w:val="Numeracinttulo"/>
          <w:rFonts w:cs="Tahoma"/>
          <w:b w:val="0"/>
          <w:spacing w:val="-4"/>
          <w:position w:val="-4"/>
          <w:szCs w:val="24"/>
        </w:rPr>
        <w:t xml:space="preserve"> Municipal con Funciones de Control de Garantías </w:t>
      </w:r>
      <w:r w:rsidR="00F74DD0" w:rsidRPr="00000790">
        <w:rPr>
          <w:rStyle w:val="Numeracinttulo"/>
          <w:rFonts w:cs="Tahoma"/>
          <w:b w:val="0"/>
          <w:spacing w:val="-4"/>
          <w:position w:val="-4"/>
          <w:szCs w:val="24"/>
        </w:rPr>
        <w:t xml:space="preserve">de Pereira </w:t>
      </w:r>
      <w:r w:rsidR="00407884" w:rsidRPr="00000790">
        <w:rPr>
          <w:rStyle w:val="Numeracinttulo"/>
          <w:rFonts w:cs="Tahoma"/>
          <w:b w:val="0"/>
          <w:spacing w:val="-4"/>
          <w:position w:val="-4"/>
          <w:szCs w:val="24"/>
        </w:rPr>
        <w:t>(Rda.),</w:t>
      </w:r>
      <w:r w:rsidR="00E12C98" w:rsidRPr="00000790">
        <w:rPr>
          <w:rStyle w:val="Numeracinttulo"/>
          <w:rFonts w:cs="Tahoma"/>
          <w:b w:val="0"/>
          <w:spacing w:val="-4"/>
          <w:position w:val="-4"/>
          <w:szCs w:val="24"/>
        </w:rPr>
        <w:t xml:space="preserve"> </w:t>
      </w:r>
      <w:r w:rsidRPr="00000790">
        <w:rPr>
          <w:rStyle w:val="Numeracinttulo"/>
          <w:rFonts w:cs="Tahoma"/>
          <w:b w:val="0"/>
          <w:spacing w:val="-4"/>
          <w:position w:val="-4"/>
          <w:szCs w:val="24"/>
        </w:rPr>
        <w:t>por medio de la cual</w:t>
      </w:r>
      <w:r w:rsidR="00280E5A" w:rsidRPr="00000790">
        <w:rPr>
          <w:rStyle w:val="Numeracinttulo"/>
          <w:rFonts w:cs="Tahoma"/>
          <w:b w:val="0"/>
          <w:spacing w:val="-4"/>
          <w:position w:val="-4"/>
          <w:szCs w:val="24"/>
        </w:rPr>
        <w:t>;</w:t>
      </w:r>
      <w:r w:rsidRPr="00000790">
        <w:rPr>
          <w:rStyle w:val="Numeracinttulo"/>
          <w:rFonts w:cs="Tahoma"/>
          <w:b w:val="0"/>
          <w:spacing w:val="-4"/>
          <w:position w:val="-4"/>
          <w:szCs w:val="24"/>
        </w:rPr>
        <w:t xml:space="preserve"> </w:t>
      </w:r>
      <w:r w:rsidR="00F74DD0" w:rsidRPr="00000790">
        <w:rPr>
          <w:rStyle w:val="Numeracinttulo"/>
          <w:rFonts w:cs="Tahoma"/>
          <w:b w:val="0"/>
          <w:spacing w:val="-4"/>
          <w:position w:val="-4"/>
          <w:szCs w:val="24"/>
        </w:rPr>
        <w:t xml:space="preserve">se le imputó al ciudadano </w:t>
      </w:r>
      <w:r w:rsidR="00FF6C2E">
        <w:rPr>
          <w:rStyle w:val="Numeracinttulo"/>
          <w:rFonts w:cs="Tahoma"/>
          <w:spacing w:val="-4"/>
          <w:position w:val="-4"/>
          <w:szCs w:val="24"/>
        </w:rPr>
        <w:t>MSMV</w:t>
      </w:r>
      <w:r w:rsidR="00182B34" w:rsidRPr="00000790">
        <w:rPr>
          <w:rStyle w:val="Numeracinttulo"/>
          <w:rFonts w:cs="Tahoma"/>
          <w:spacing w:val="-4"/>
          <w:position w:val="-4"/>
          <w:szCs w:val="24"/>
        </w:rPr>
        <w:t xml:space="preserve"> </w:t>
      </w:r>
      <w:r w:rsidR="00407884" w:rsidRPr="00000790">
        <w:rPr>
          <w:rStyle w:val="Numeracinttulo"/>
          <w:rFonts w:cs="Tahoma"/>
          <w:b w:val="0"/>
          <w:spacing w:val="-4"/>
          <w:position w:val="-4"/>
          <w:szCs w:val="24"/>
        </w:rPr>
        <w:t xml:space="preserve">la conducta de </w:t>
      </w:r>
      <w:r w:rsidR="00F74DD0" w:rsidRPr="00000790">
        <w:rPr>
          <w:rStyle w:val="Numeracinttulo"/>
          <w:rFonts w:cs="Tahoma"/>
          <w:bCs/>
          <w:spacing w:val="-4"/>
          <w:position w:val="-4"/>
          <w:szCs w:val="24"/>
        </w:rPr>
        <w:t>Acceso carnal o acto sexual abusivo con incapaz de resistir</w:t>
      </w:r>
      <w:r w:rsidR="00182B34" w:rsidRPr="00000790">
        <w:rPr>
          <w:rStyle w:val="Numeracinttulo"/>
          <w:rFonts w:cs="Tahoma"/>
          <w:b w:val="0"/>
          <w:spacing w:val="-4"/>
          <w:position w:val="-4"/>
          <w:szCs w:val="24"/>
        </w:rPr>
        <w:t xml:space="preserve"> </w:t>
      </w:r>
      <w:r w:rsidR="00EF4D9E" w:rsidRPr="00000790">
        <w:rPr>
          <w:rStyle w:val="Numeracinttulo"/>
          <w:rFonts w:cs="Tahoma"/>
          <w:b w:val="0"/>
          <w:spacing w:val="-4"/>
          <w:position w:val="-4"/>
          <w:szCs w:val="24"/>
        </w:rPr>
        <w:t>-</w:t>
      </w:r>
      <w:r w:rsidR="00AD3E50" w:rsidRPr="00000790">
        <w:rPr>
          <w:rStyle w:val="Numeracinttulo"/>
          <w:rFonts w:cs="Tahoma"/>
          <w:b w:val="0"/>
          <w:spacing w:val="-4"/>
          <w:position w:val="-4"/>
          <w:szCs w:val="24"/>
        </w:rPr>
        <w:t>art.</w:t>
      </w:r>
      <w:r w:rsidR="00927C60" w:rsidRPr="00000790">
        <w:rPr>
          <w:rStyle w:val="Numeracinttulo"/>
          <w:rFonts w:cs="Tahoma"/>
          <w:b w:val="0"/>
          <w:spacing w:val="-4"/>
          <w:position w:val="-4"/>
          <w:szCs w:val="24"/>
        </w:rPr>
        <w:t xml:space="preserve"> </w:t>
      </w:r>
      <w:r w:rsidR="00182B34" w:rsidRPr="00000790">
        <w:rPr>
          <w:rStyle w:val="Numeracinttulo"/>
          <w:rFonts w:cs="Tahoma"/>
          <w:b w:val="0"/>
          <w:spacing w:val="-4"/>
          <w:position w:val="-4"/>
          <w:szCs w:val="24"/>
        </w:rPr>
        <w:t>210</w:t>
      </w:r>
      <w:r w:rsidR="00927C60" w:rsidRPr="00000790">
        <w:rPr>
          <w:rStyle w:val="Numeracinttulo"/>
          <w:rFonts w:cs="Tahoma"/>
          <w:b w:val="0"/>
          <w:spacing w:val="-4"/>
          <w:position w:val="-4"/>
          <w:szCs w:val="24"/>
        </w:rPr>
        <w:t xml:space="preserve"> inciso </w:t>
      </w:r>
      <w:r w:rsidR="00182B34" w:rsidRPr="00000790">
        <w:rPr>
          <w:rStyle w:val="Numeracinttulo"/>
          <w:rFonts w:cs="Tahoma"/>
          <w:b w:val="0"/>
          <w:spacing w:val="-4"/>
          <w:position w:val="-4"/>
          <w:szCs w:val="24"/>
        </w:rPr>
        <w:t>2</w:t>
      </w:r>
      <w:r w:rsidR="003163AA" w:rsidRPr="00000790">
        <w:rPr>
          <w:rStyle w:val="Numeracinttulo"/>
          <w:rFonts w:cs="Tahoma"/>
          <w:b w:val="0"/>
          <w:spacing w:val="-4"/>
          <w:position w:val="-4"/>
          <w:szCs w:val="24"/>
        </w:rPr>
        <w:t>°</w:t>
      </w:r>
      <w:r w:rsidR="00BC3A82" w:rsidRPr="00000790">
        <w:rPr>
          <w:rStyle w:val="Numeracinttulo"/>
          <w:rFonts w:cs="Tahoma"/>
          <w:b w:val="0"/>
          <w:spacing w:val="-4"/>
          <w:position w:val="-4"/>
          <w:szCs w:val="24"/>
        </w:rPr>
        <w:t xml:space="preserve"> C</w:t>
      </w:r>
      <w:r w:rsidR="00AD3E50" w:rsidRPr="00000790">
        <w:rPr>
          <w:rStyle w:val="Numeracinttulo"/>
          <w:rFonts w:cs="Tahoma"/>
          <w:b w:val="0"/>
          <w:spacing w:val="-4"/>
          <w:position w:val="-4"/>
          <w:szCs w:val="24"/>
        </w:rPr>
        <w:t>.</w:t>
      </w:r>
      <w:r w:rsidR="00BC3A82" w:rsidRPr="00000790">
        <w:rPr>
          <w:rStyle w:val="Numeracinttulo"/>
          <w:rFonts w:cs="Tahoma"/>
          <w:b w:val="0"/>
          <w:spacing w:val="-4"/>
          <w:position w:val="-4"/>
          <w:szCs w:val="24"/>
        </w:rPr>
        <w:t>P</w:t>
      </w:r>
      <w:r w:rsidR="00AD3E50" w:rsidRPr="00000790">
        <w:rPr>
          <w:rStyle w:val="Numeracinttulo"/>
          <w:rFonts w:cs="Tahoma"/>
          <w:b w:val="0"/>
          <w:spacing w:val="-4"/>
          <w:position w:val="-4"/>
          <w:szCs w:val="24"/>
        </w:rPr>
        <w:t>.</w:t>
      </w:r>
      <w:r w:rsidR="00EF4D9E" w:rsidRPr="00000790">
        <w:rPr>
          <w:rStyle w:val="Numeracinttulo"/>
          <w:rFonts w:cs="Tahoma"/>
          <w:b w:val="0"/>
          <w:spacing w:val="-4"/>
          <w:position w:val="-4"/>
          <w:szCs w:val="24"/>
        </w:rPr>
        <w:t>-</w:t>
      </w:r>
      <w:r w:rsidR="00182B34" w:rsidRPr="00000790">
        <w:rPr>
          <w:rStyle w:val="Numeracinttulo"/>
          <w:rFonts w:cs="Tahoma"/>
          <w:b w:val="0"/>
          <w:spacing w:val="-4"/>
          <w:position w:val="-4"/>
          <w:szCs w:val="24"/>
        </w:rPr>
        <w:t xml:space="preserve">, </w:t>
      </w:r>
      <w:r w:rsidR="00BC3A82" w:rsidRPr="00000790">
        <w:rPr>
          <w:rStyle w:val="Numeracinttulo"/>
          <w:rFonts w:cs="Tahoma"/>
          <w:b w:val="0"/>
          <w:spacing w:val="-4"/>
          <w:position w:val="-4"/>
          <w:szCs w:val="24"/>
        </w:rPr>
        <w:t xml:space="preserve">cargo que </w:t>
      </w:r>
      <w:r w:rsidR="00182B34" w:rsidRPr="00000790">
        <w:rPr>
          <w:rStyle w:val="Numeracinttulo"/>
          <w:rFonts w:cs="Tahoma"/>
          <w:b w:val="0"/>
          <w:spacing w:val="-4"/>
          <w:position w:val="-4"/>
          <w:szCs w:val="24"/>
        </w:rPr>
        <w:t xml:space="preserve">el </w:t>
      </w:r>
      <w:r w:rsidR="00927C60" w:rsidRPr="00000790">
        <w:rPr>
          <w:rStyle w:val="Numeracinttulo"/>
          <w:rFonts w:cs="Tahoma"/>
          <w:b w:val="0"/>
          <w:spacing w:val="-4"/>
          <w:position w:val="-4"/>
          <w:szCs w:val="24"/>
        </w:rPr>
        <w:t>indiciad</w:t>
      </w:r>
      <w:r w:rsidR="00407884" w:rsidRPr="00000790">
        <w:rPr>
          <w:rStyle w:val="Numeracinttulo"/>
          <w:rFonts w:cs="Tahoma"/>
          <w:b w:val="0"/>
          <w:spacing w:val="-4"/>
          <w:position w:val="-4"/>
          <w:szCs w:val="24"/>
        </w:rPr>
        <w:t>o</w:t>
      </w:r>
      <w:r w:rsidR="00E7256C" w:rsidRPr="00000790">
        <w:rPr>
          <w:rStyle w:val="Numeracinttulo"/>
          <w:rFonts w:cs="Tahoma"/>
          <w:b w:val="0"/>
          <w:spacing w:val="-4"/>
          <w:position w:val="-4"/>
          <w:szCs w:val="24"/>
        </w:rPr>
        <w:t xml:space="preserve"> </w:t>
      </w:r>
      <w:r w:rsidR="00182B34" w:rsidRPr="00000790">
        <w:rPr>
          <w:rStyle w:val="Numeracinttulo"/>
          <w:rFonts w:cs="Tahoma"/>
          <w:b w:val="0"/>
          <w:spacing w:val="-4"/>
          <w:position w:val="-4"/>
          <w:szCs w:val="24"/>
        </w:rPr>
        <w:t xml:space="preserve">no </w:t>
      </w:r>
      <w:r w:rsidR="00E7256C" w:rsidRPr="00000790">
        <w:rPr>
          <w:rStyle w:val="Numeracinttulo"/>
          <w:rFonts w:cs="Tahoma"/>
          <w:b w:val="0"/>
          <w:spacing w:val="-4"/>
          <w:position w:val="-4"/>
          <w:szCs w:val="24"/>
        </w:rPr>
        <w:t>aceptó</w:t>
      </w:r>
      <w:r w:rsidR="002C55AB" w:rsidRPr="00000790">
        <w:rPr>
          <w:rStyle w:val="Numeracinttulo"/>
          <w:rFonts w:cs="Tahoma"/>
          <w:b w:val="0"/>
          <w:spacing w:val="-4"/>
          <w:position w:val="-4"/>
          <w:szCs w:val="24"/>
        </w:rPr>
        <w:t xml:space="preserve">. </w:t>
      </w:r>
    </w:p>
    <w:p w14:paraId="09F8A64D" w14:textId="77777777" w:rsidR="00C77802" w:rsidRPr="00000790" w:rsidRDefault="00C77802" w:rsidP="00000790">
      <w:pPr>
        <w:spacing w:line="276" w:lineRule="auto"/>
        <w:rPr>
          <w:rFonts w:cs="Tahoma"/>
          <w:spacing w:val="-4"/>
          <w:position w:val="-4"/>
          <w:sz w:val="24"/>
          <w:szCs w:val="24"/>
        </w:rPr>
      </w:pPr>
    </w:p>
    <w:p w14:paraId="23107CEA" w14:textId="046CCA4C" w:rsidR="00681AFF" w:rsidRPr="00000790" w:rsidRDefault="00C77802" w:rsidP="00000790">
      <w:pPr>
        <w:spacing w:line="276" w:lineRule="auto"/>
        <w:rPr>
          <w:rFonts w:cs="Tahoma"/>
          <w:sz w:val="24"/>
          <w:szCs w:val="24"/>
        </w:rPr>
      </w:pPr>
      <w:r w:rsidRPr="00000790">
        <w:rPr>
          <w:rStyle w:val="Numeracinttulo"/>
          <w:rFonts w:cs="Tahoma"/>
          <w:spacing w:val="-4"/>
          <w:position w:val="-4"/>
          <w:szCs w:val="24"/>
        </w:rPr>
        <w:t>1.3.-</w:t>
      </w:r>
      <w:r w:rsidRPr="00000790">
        <w:rPr>
          <w:rStyle w:val="Numeracinttulo"/>
          <w:rFonts w:cs="Tahoma"/>
          <w:b w:val="0"/>
          <w:spacing w:val="-4"/>
          <w:position w:val="-4"/>
          <w:szCs w:val="24"/>
        </w:rPr>
        <w:t xml:space="preserve"> </w:t>
      </w:r>
      <w:r w:rsidR="00BD365B" w:rsidRPr="00000790">
        <w:rPr>
          <w:rStyle w:val="Numeracinttulo"/>
          <w:rFonts w:cs="Tahoma"/>
          <w:b w:val="0"/>
          <w:spacing w:val="-4"/>
          <w:position w:val="-4"/>
          <w:szCs w:val="24"/>
        </w:rPr>
        <w:t>L</w:t>
      </w:r>
      <w:r w:rsidR="0048029C" w:rsidRPr="00000790">
        <w:rPr>
          <w:rStyle w:val="Numeracinttulo"/>
          <w:rFonts w:cs="Tahoma"/>
          <w:b w:val="0"/>
          <w:spacing w:val="-4"/>
          <w:position w:val="-4"/>
          <w:szCs w:val="24"/>
        </w:rPr>
        <w:t xml:space="preserve">a Fiscalía radicó escrito de acusación que por reparto le correspondió al Juzgado Séptimo Penal del Circuito de esta </w:t>
      </w:r>
      <w:r w:rsidR="00AB01BA" w:rsidRPr="00000790">
        <w:rPr>
          <w:rStyle w:val="Numeracinttulo"/>
          <w:rFonts w:cs="Tahoma"/>
          <w:b w:val="0"/>
          <w:spacing w:val="-4"/>
          <w:position w:val="-4"/>
          <w:szCs w:val="24"/>
        </w:rPr>
        <w:t>ciudad</w:t>
      </w:r>
      <w:r w:rsidR="0048029C" w:rsidRPr="00000790">
        <w:rPr>
          <w:rStyle w:val="Numeracinttulo"/>
          <w:rFonts w:cs="Tahoma"/>
          <w:b w:val="0"/>
          <w:spacing w:val="-4"/>
          <w:position w:val="-4"/>
          <w:szCs w:val="24"/>
        </w:rPr>
        <w:t xml:space="preserve">, </w:t>
      </w:r>
      <w:r w:rsidR="00AB01BA" w:rsidRPr="00000790">
        <w:rPr>
          <w:rStyle w:val="Numeracinttulo"/>
          <w:rFonts w:cs="Tahoma"/>
          <w:b w:val="0"/>
          <w:spacing w:val="-4"/>
          <w:position w:val="-4"/>
          <w:szCs w:val="24"/>
        </w:rPr>
        <w:t>quien avocó el conocimiento de las diligencias</w:t>
      </w:r>
      <w:r w:rsidR="00F94203" w:rsidRPr="00000790">
        <w:rPr>
          <w:rStyle w:val="Refdenotaalpie"/>
          <w:rFonts w:ascii="Tahoma" w:hAnsi="Tahoma" w:cs="Tahoma"/>
          <w:spacing w:val="-4"/>
          <w:position w:val="-4"/>
          <w:sz w:val="24"/>
          <w:szCs w:val="24"/>
        </w:rPr>
        <w:footnoteReference w:id="1"/>
      </w:r>
      <w:r w:rsidR="00023A46" w:rsidRPr="00000790">
        <w:rPr>
          <w:rStyle w:val="Numeracinttulo"/>
          <w:rFonts w:cs="Tahoma"/>
          <w:b w:val="0"/>
          <w:spacing w:val="-4"/>
          <w:position w:val="-4"/>
          <w:szCs w:val="24"/>
        </w:rPr>
        <w:t>. La audiencia de formulación de acusación tuvo desarrollo en julio 12 de 2021, posteriormente la audiencia preparatoria, luego de un aplazamiento solicitado por la defensa, se llevó a cabo en marzo 07 de 2022</w:t>
      </w:r>
      <w:r w:rsidR="00BC37E2" w:rsidRPr="00000790">
        <w:rPr>
          <w:rStyle w:val="Numeracinttulo"/>
          <w:rFonts w:cs="Tahoma"/>
          <w:b w:val="0"/>
          <w:spacing w:val="-4"/>
          <w:position w:val="-4"/>
          <w:szCs w:val="24"/>
        </w:rPr>
        <w:t xml:space="preserve">. La audiencia de juicio oral, se instaló en las calendas de septiembre 20 de esa misma anualidad, diligencia en la cual, el delegado de la fiscalía solicitó variar el objeto de la misma con el fin de dar a conocer los términos de un preacuerdo que había celebrado con el señor </w:t>
      </w:r>
      <w:r w:rsidR="00FF6C2E">
        <w:rPr>
          <w:rStyle w:val="Numeracinttulo"/>
          <w:rFonts w:cs="Tahoma"/>
          <w:spacing w:val="-4"/>
          <w:position w:val="-4"/>
          <w:szCs w:val="24"/>
        </w:rPr>
        <w:t>MSMV</w:t>
      </w:r>
      <w:r w:rsidR="00BC37E2" w:rsidRPr="00000790">
        <w:rPr>
          <w:rStyle w:val="Numeracinttulo"/>
          <w:rFonts w:cs="Tahoma"/>
          <w:b w:val="0"/>
          <w:spacing w:val="-4"/>
          <w:position w:val="-4"/>
          <w:szCs w:val="24"/>
        </w:rPr>
        <w:t xml:space="preserve"> en compañía de su defensor </w:t>
      </w:r>
      <w:r w:rsidR="00726558" w:rsidRPr="00000790">
        <w:rPr>
          <w:rStyle w:val="Numeracinttulo"/>
          <w:rFonts w:cs="Tahoma"/>
          <w:b w:val="0"/>
          <w:spacing w:val="-4"/>
          <w:position w:val="-4"/>
          <w:szCs w:val="24"/>
        </w:rPr>
        <w:t xml:space="preserve">y </w:t>
      </w:r>
      <w:r w:rsidR="00BC37E2" w:rsidRPr="00000790">
        <w:rPr>
          <w:rStyle w:val="Numeracinttulo"/>
          <w:rFonts w:cs="Tahoma"/>
          <w:b w:val="0"/>
          <w:spacing w:val="-4"/>
          <w:position w:val="-4"/>
          <w:szCs w:val="24"/>
        </w:rPr>
        <w:t>de la siguiente manera</w:t>
      </w:r>
      <w:r w:rsidR="005F689B" w:rsidRPr="00000790">
        <w:rPr>
          <w:rStyle w:val="Numeracinttulo"/>
          <w:rFonts w:cs="Tahoma"/>
          <w:b w:val="0"/>
          <w:spacing w:val="-4"/>
          <w:position w:val="-4"/>
          <w:szCs w:val="24"/>
        </w:rPr>
        <w:t>:</w:t>
      </w:r>
      <w:r w:rsidR="00590B32" w:rsidRPr="00000790">
        <w:rPr>
          <w:rStyle w:val="Numeracinttulo"/>
          <w:rFonts w:cs="Tahoma"/>
          <w:b w:val="0"/>
          <w:spacing w:val="-4"/>
          <w:position w:val="-4"/>
          <w:szCs w:val="24"/>
        </w:rPr>
        <w:t xml:space="preserve"> </w:t>
      </w:r>
      <w:r w:rsidR="00590B32" w:rsidRPr="00000790">
        <w:rPr>
          <w:rFonts w:cs="Tahoma"/>
          <w:bCs/>
          <w:spacing w:val="-4"/>
          <w:position w:val="-4"/>
          <w:sz w:val="24"/>
          <w:szCs w:val="24"/>
        </w:rPr>
        <w:t xml:space="preserve">aceptaba el cargo endilgado, a cambio de </w:t>
      </w:r>
      <w:r w:rsidR="00726558" w:rsidRPr="00000790">
        <w:rPr>
          <w:rFonts w:cs="Tahoma"/>
          <w:bCs/>
          <w:spacing w:val="-4"/>
          <w:position w:val="-4"/>
          <w:sz w:val="24"/>
          <w:szCs w:val="24"/>
        </w:rPr>
        <w:t>modificar</w:t>
      </w:r>
      <w:r w:rsidR="00590B32" w:rsidRPr="00000790">
        <w:rPr>
          <w:rFonts w:cs="Tahoma"/>
          <w:bCs/>
          <w:spacing w:val="-4"/>
          <w:position w:val="-4"/>
          <w:sz w:val="24"/>
          <w:szCs w:val="24"/>
        </w:rPr>
        <w:t xml:space="preserve"> la conducta</w:t>
      </w:r>
      <w:r w:rsidR="00681AFF" w:rsidRPr="00000790">
        <w:rPr>
          <w:rFonts w:cs="Tahoma"/>
          <w:bCs/>
          <w:spacing w:val="-4"/>
          <w:position w:val="-4"/>
          <w:sz w:val="24"/>
          <w:szCs w:val="24"/>
        </w:rPr>
        <w:t xml:space="preserve"> imputada</w:t>
      </w:r>
      <w:r w:rsidR="00590B32" w:rsidRPr="00000790">
        <w:rPr>
          <w:rFonts w:cs="Tahoma"/>
          <w:bCs/>
          <w:spacing w:val="-4"/>
          <w:position w:val="-4"/>
          <w:sz w:val="24"/>
          <w:szCs w:val="24"/>
        </w:rPr>
        <w:t xml:space="preserve"> </w:t>
      </w:r>
      <w:r w:rsidR="005F689B" w:rsidRPr="00000790">
        <w:rPr>
          <w:rFonts w:cs="Tahoma"/>
          <w:bCs/>
          <w:spacing w:val="-4"/>
          <w:position w:val="-4"/>
          <w:sz w:val="24"/>
          <w:szCs w:val="24"/>
        </w:rPr>
        <w:t>por</w:t>
      </w:r>
      <w:r w:rsidR="00590B32" w:rsidRPr="00000790">
        <w:rPr>
          <w:rFonts w:cs="Tahoma"/>
          <w:bCs/>
          <w:spacing w:val="-4"/>
          <w:position w:val="-4"/>
          <w:sz w:val="24"/>
          <w:szCs w:val="24"/>
        </w:rPr>
        <w:t xml:space="preserve"> </w:t>
      </w:r>
      <w:r w:rsidR="00590B32" w:rsidRPr="00000790">
        <w:rPr>
          <w:rFonts w:cs="Tahoma"/>
          <w:b/>
          <w:bCs/>
          <w:spacing w:val="-4"/>
          <w:position w:val="-4"/>
          <w:sz w:val="24"/>
          <w:szCs w:val="24"/>
        </w:rPr>
        <w:t>“Acoso sexual”</w:t>
      </w:r>
      <w:r w:rsidR="005F689B" w:rsidRPr="00000790">
        <w:rPr>
          <w:rFonts w:cs="Tahoma"/>
          <w:b/>
          <w:bCs/>
          <w:spacing w:val="-4"/>
          <w:position w:val="-4"/>
          <w:sz w:val="24"/>
          <w:szCs w:val="24"/>
        </w:rPr>
        <w:t>,</w:t>
      </w:r>
      <w:r w:rsidR="00590B32" w:rsidRPr="00000790">
        <w:rPr>
          <w:rFonts w:cs="Tahoma"/>
          <w:bCs/>
          <w:spacing w:val="-4"/>
          <w:position w:val="-4"/>
          <w:sz w:val="24"/>
          <w:szCs w:val="24"/>
        </w:rPr>
        <w:t xml:space="preserve"> pactándose una </w:t>
      </w:r>
      <w:r w:rsidR="00590B32" w:rsidRPr="00000790">
        <w:rPr>
          <w:rFonts w:cs="Tahoma"/>
          <w:b/>
          <w:spacing w:val="-4"/>
          <w:position w:val="-4"/>
          <w:sz w:val="24"/>
          <w:szCs w:val="24"/>
        </w:rPr>
        <w:t>pena de 16 meses de prisión,</w:t>
      </w:r>
      <w:r w:rsidR="00590B32" w:rsidRPr="00000790">
        <w:rPr>
          <w:rFonts w:cs="Tahoma"/>
          <w:bCs/>
          <w:spacing w:val="-4"/>
          <w:position w:val="-4"/>
          <w:sz w:val="24"/>
          <w:szCs w:val="24"/>
        </w:rPr>
        <w:t xml:space="preserve"> </w:t>
      </w:r>
      <w:r w:rsidR="00590B32" w:rsidRPr="00000790">
        <w:rPr>
          <w:rFonts w:cs="Tahoma"/>
          <w:bCs/>
          <w:i/>
          <w:iCs/>
          <w:spacing w:val="-4"/>
          <w:position w:val="-4"/>
          <w:sz w:val="24"/>
          <w:szCs w:val="24"/>
        </w:rPr>
        <w:t>sin ningún otro beneficio</w:t>
      </w:r>
      <w:r w:rsidR="00590B32" w:rsidRPr="00000790">
        <w:rPr>
          <w:rFonts w:cs="Tahoma"/>
          <w:bCs/>
          <w:spacing w:val="-4"/>
          <w:position w:val="-4"/>
          <w:sz w:val="24"/>
          <w:szCs w:val="24"/>
        </w:rPr>
        <w:t xml:space="preserve"> y realizando indemnización integral de perjuicios</w:t>
      </w:r>
      <w:r w:rsidR="005F689B" w:rsidRPr="00000790">
        <w:rPr>
          <w:rFonts w:cs="Tahoma"/>
          <w:bCs/>
          <w:spacing w:val="-4"/>
          <w:position w:val="-4"/>
          <w:sz w:val="24"/>
          <w:szCs w:val="24"/>
        </w:rPr>
        <w:t>.</w:t>
      </w:r>
      <w:r w:rsidR="00590B32" w:rsidRPr="00000790">
        <w:rPr>
          <w:rFonts w:cs="Tahoma"/>
          <w:bCs/>
          <w:spacing w:val="-4"/>
          <w:position w:val="-4"/>
          <w:sz w:val="24"/>
          <w:szCs w:val="24"/>
        </w:rPr>
        <w:t xml:space="preserve"> </w:t>
      </w:r>
    </w:p>
    <w:p w14:paraId="4A94E58A" w14:textId="77777777" w:rsidR="00681AFF" w:rsidRPr="00000790" w:rsidRDefault="00681AFF" w:rsidP="00000790">
      <w:pPr>
        <w:spacing w:line="276" w:lineRule="auto"/>
        <w:rPr>
          <w:rStyle w:val="Numeracinttulo"/>
          <w:rFonts w:cs="Tahoma"/>
          <w:b w:val="0"/>
          <w:szCs w:val="24"/>
        </w:rPr>
      </w:pPr>
    </w:p>
    <w:p w14:paraId="4D36B261" w14:textId="77777777" w:rsidR="0015634A" w:rsidRPr="00000790" w:rsidRDefault="0015634A" w:rsidP="00000790">
      <w:pPr>
        <w:spacing w:line="276" w:lineRule="auto"/>
        <w:rPr>
          <w:rFonts w:cs="Tahoma"/>
          <w:spacing w:val="-4"/>
          <w:position w:val="-4"/>
          <w:sz w:val="24"/>
          <w:szCs w:val="24"/>
        </w:rPr>
      </w:pPr>
      <w:r w:rsidRPr="00000790">
        <w:rPr>
          <w:rStyle w:val="Numeracinttulo"/>
          <w:rFonts w:cs="Tahoma"/>
          <w:b w:val="0"/>
          <w:spacing w:val="-4"/>
          <w:position w:val="-4"/>
          <w:szCs w:val="24"/>
        </w:rPr>
        <w:lastRenderedPageBreak/>
        <w:t>-</w:t>
      </w:r>
      <w:r w:rsidR="00590B32" w:rsidRPr="00000790">
        <w:rPr>
          <w:rFonts w:cs="Tahoma"/>
          <w:bCs/>
          <w:spacing w:val="-4"/>
          <w:position w:val="-4"/>
          <w:sz w:val="24"/>
          <w:szCs w:val="24"/>
        </w:rPr>
        <w:t xml:space="preserve"> </w:t>
      </w:r>
      <w:r w:rsidR="009D0A1F" w:rsidRPr="00000790">
        <w:rPr>
          <w:rFonts w:cs="Tahoma"/>
          <w:bCs/>
          <w:spacing w:val="-4"/>
          <w:position w:val="-4"/>
          <w:sz w:val="24"/>
          <w:szCs w:val="24"/>
        </w:rPr>
        <w:t xml:space="preserve">El Despacho de conocimiento, en la misma diligencia verificó el preacuerdo con el </w:t>
      </w:r>
      <w:r w:rsidR="00681AFF" w:rsidRPr="00000790">
        <w:rPr>
          <w:rFonts w:cs="Tahoma"/>
          <w:bCs/>
          <w:spacing w:val="-4"/>
          <w:position w:val="-4"/>
          <w:sz w:val="24"/>
          <w:szCs w:val="24"/>
        </w:rPr>
        <w:t>encartado, quien</w:t>
      </w:r>
      <w:r w:rsidR="009D0A1F" w:rsidRPr="00000790">
        <w:rPr>
          <w:rFonts w:cs="Tahoma"/>
          <w:bCs/>
          <w:spacing w:val="-4"/>
          <w:position w:val="-4"/>
          <w:sz w:val="24"/>
          <w:szCs w:val="24"/>
        </w:rPr>
        <w:t xml:space="preserve"> </w:t>
      </w:r>
      <w:r w:rsidR="002635CB" w:rsidRPr="00000790">
        <w:rPr>
          <w:rFonts w:cs="Tahoma"/>
          <w:bCs/>
          <w:spacing w:val="-4"/>
          <w:position w:val="-4"/>
          <w:sz w:val="24"/>
          <w:szCs w:val="24"/>
        </w:rPr>
        <w:t>de manera libre, voluntaria y consciente acept</w:t>
      </w:r>
      <w:r w:rsidRPr="00000790">
        <w:rPr>
          <w:rFonts w:cs="Tahoma"/>
          <w:bCs/>
          <w:spacing w:val="-4"/>
          <w:position w:val="-4"/>
          <w:sz w:val="24"/>
          <w:szCs w:val="24"/>
        </w:rPr>
        <w:t>ó</w:t>
      </w:r>
      <w:r w:rsidR="002635CB" w:rsidRPr="00000790">
        <w:rPr>
          <w:rFonts w:cs="Tahoma"/>
          <w:bCs/>
          <w:spacing w:val="-4"/>
          <w:position w:val="-4"/>
          <w:sz w:val="24"/>
          <w:szCs w:val="24"/>
        </w:rPr>
        <w:t xml:space="preserve"> los cargos </w:t>
      </w:r>
      <w:r w:rsidRPr="00000790">
        <w:rPr>
          <w:rFonts w:cs="Tahoma"/>
          <w:bCs/>
          <w:spacing w:val="-4"/>
          <w:position w:val="-4"/>
          <w:sz w:val="24"/>
          <w:szCs w:val="24"/>
        </w:rPr>
        <w:t xml:space="preserve">en </w:t>
      </w:r>
      <w:r w:rsidR="002635CB" w:rsidRPr="00000790">
        <w:rPr>
          <w:rFonts w:cs="Tahoma"/>
          <w:bCs/>
          <w:spacing w:val="-4"/>
          <w:position w:val="-4"/>
          <w:sz w:val="24"/>
          <w:szCs w:val="24"/>
        </w:rPr>
        <w:t>los términos del mismo</w:t>
      </w:r>
      <w:r w:rsidRPr="00000790">
        <w:rPr>
          <w:rFonts w:cs="Tahoma"/>
          <w:bCs/>
          <w:spacing w:val="-4"/>
          <w:position w:val="-4"/>
          <w:sz w:val="24"/>
          <w:szCs w:val="24"/>
        </w:rPr>
        <w:t xml:space="preserve">. </w:t>
      </w:r>
    </w:p>
    <w:p w14:paraId="46660582" w14:textId="77777777" w:rsidR="0015634A" w:rsidRPr="00000790" w:rsidRDefault="0015634A" w:rsidP="00000790">
      <w:pPr>
        <w:spacing w:line="276" w:lineRule="auto"/>
        <w:rPr>
          <w:rFonts w:cs="Tahoma"/>
          <w:bCs/>
          <w:spacing w:val="-4"/>
          <w:position w:val="-4"/>
          <w:sz w:val="24"/>
          <w:szCs w:val="24"/>
        </w:rPr>
      </w:pPr>
    </w:p>
    <w:p w14:paraId="52EE3700" w14:textId="0825C2E4" w:rsidR="009D1DDE" w:rsidRPr="00000790" w:rsidRDefault="0078410F" w:rsidP="00000790">
      <w:pPr>
        <w:spacing w:line="276" w:lineRule="auto"/>
        <w:rPr>
          <w:rStyle w:val="Numeracinttulo"/>
          <w:rFonts w:cs="Tahoma"/>
          <w:b w:val="0"/>
          <w:bCs/>
          <w:spacing w:val="-4"/>
          <w:position w:val="-4"/>
          <w:szCs w:val="24"/>
        </w:rPr>
      </w:pPr>
      <w:r w:rsidRPr="00000790">
        <w:rPr>
          <w:rStyle w:val="Numeracinttulo"/>
          <w:rFonts w:cs="Tahoma"/>
          <w:spacing w:val="-4"/>
          <w:position w:val="-4"/>
          <w:szCs w:val="24"/>
        </w:rPr>
        <w:t xml:space="preserve">1.4.- </w:t>
      </w:r>
      <w:r w:rsidRPr="00000790">
        <w:rPr>
          <w:rStyle w:val="Numeracinttulo"/>
          <w:rFonts w:cs="Tahoma"/>
          <w:b w:val="0"/>
          <w:spacing w:val="-4"/>
          <w:position w:val="-4"/>
          <w:szCs w:val="24"/>
        </w:rPr>
        <w:t xml:space="preserve">En </w:t>
      </w:r>
      <w:r w:rsidR="00621412" w:rsidRPr="00000790">
        <w:rPr>
          <w:rStyle w:val="Numeracinttulo"/>
          <w:rFonts w:cs="Tahoma"/>
          <w:b w:val="0"/>
          <w:spacing w:val="-4"/>
          <w:position w:val="-4"/>
          <w:szCs w:val="24"/>
        </w:rPr>
        <w:t>diciembre 16</w:t>
      </w:r>
      <w:r w:rsidRPr="00000790">
        <w:rPr>
          <w:rStyle w:val="Numeracinttulo"/>
          <w:rFonts w:cs="Tahoma"/>
          <w:b w:val="0"/>
          <w:spacing w:val="-4"/>
          <w:position w:val="-4"/>
          <w:szCs w:val="24"/>
        </w:rPr>
        <w:t xml:space="preserve"> de 2022, el </w:t>
      </w:r>
      <w:r w:rsidR="00621412" w:rsidRPr="00000790">
        <w:rPr>
          <w:rStyle w:val="Numeracinttulo"/>
          <w:rFonts w:cs="Tahoma"/>
          <w:b w:val="0"/>
          <w:spacing w:val="-4"/>
          <w:position w:val="-4"/>
          <w:szCs w:val="24"/>
        </w:rPr>
        <w:t xml:space="preserve">Despacho </w:t>
      </w:r>
      <w:r w:rsidRPr="00000790">
        <w:rPr>
          <w:rStyle w:val="Numeracinttulo"/>
          <w:rFonts w:cs="Tahoma"/>
          <w:b w:val="0"/>
          <w:spacing w:val="-4"/>
          <w:position w:val="-4"/>
          <w:szCs w:val="24"/>
        </w:rPr>
        <w:t xml:space="preserve">le imparte aprobación al preacuerdo puesto en consideración de la Judicatura celebrado entre fiscalía y </w:t>
      </w:r>
      <w:r w:rsidR="00781F1A" w:rsidRPr="00000790">
        <w:rPr>
          <w:rStyle w:val="Numeracinttulo"/>
          <w:rFonts w:cs="Tahoma"/>
          <w:b w:val="0"/>
          <w:spacing w:val="-4"/>
          <w:position w:val="-4"/>
          <w:szCs w:val="24"/>
        </w:rPr>
        <w:t>procesado</w:t>
      </w:r>
      <w:r w:rsidRPr="00000790">
        <w:rPr>
          <w:rStyle w:val="Numeracinttulo"/>
          <w:rFonts w:cs="Tahoma"/>
          <w:b w:val="0"/>
          <w:spacing w:val="-4"/>
          <w:position w:val="-4"/>
          <w:szCs w:val="24"/>
        </w:rPr>
        <w:t>, le concede el uso de la palabra a las partes para que se pronuncien en los términos de lo previsto en el Art. 447 del C.P.P</w:t>
      </w:r>
      <w:r w:rsidRPr="00000790">
        <w:rPr>
          <w:rStyle w:val="Refdenotaalpie"/>
          <w:rFonts w:ascii="Tahoma" w:hAnsi="Tahoma" w:cs="Tahoma"/>
          <w:spacing w:val="-4"/>
          <w:position w:val="-4"/>
          <w:sz w:val="24"/>
          <w:szCs w:val="24"/>
        </w:rPr>
        <w:footnoteReference w:id="2"/>
      </w:r>
      <w:r w:rsidRPr="00000790">
        <w:rPr>
          <w:rStyle w:val="Numeracinttulo"/>
          <w:rFonts w:cs="Tahoma"/>
          <w:b w:val="0"/>
          <w:spacing w:val="-4"/>
          <w:position w:val="-4"/>
          <w:szCs w:val="24"/>
        </w:rPr>
        <w:t xml:space="preserve"> </w:t>
      </w:r>
      <w:r w:rsidR="00781F1A" w:rsidRPr="00000790">
        <w:rPr>
          <w:rStyle w:val="Numeracinttulo"/>
          <w:rFonts w:cs="Tahoma"/>
          <w:b w:val="0"/>
          <w:spacing w:val="-4"/>
          <w:position w:val="-4"/>
          <w:szCs w:val="24"/>
        </w:rPr>
        <w:t xml:space="preserve">y </w:t>
      </w:r>
      <w:r w:rsidR="008038E3" w:rsidRPr="00000790">
        <w:rPr>
          <w:rFonts w:cs="Tahoma"/>
          <w:bCs/>
          <w:spacing w:val="-4"/>
          <w:position w:val="-4"/>
          <w:sz w:val="24"/>
          <w:szCs w:val="24"/>
        </w:rPr>
        <w:t>emitió la respectiva sentencia de condena por medio de la cual</w:t>
      </w:r>
      <w:r w:rsidR="00E23A04" w:rsidRPr="00000790">
        <w:rPr>
          <w:rFonts w:cs="Tahoma"/>
          <w:bCs/>
          <w:spacing w:val="-4"/>
          <w:position w:val="-4"/>
          <w:sz w:val="24"/>
          <w:szCs w:val="24"/>
        </w:rPr>
        <w:t>: (i) conden</w:t>
      </w:r>
      <w:r w:rsidR="008038E3" w:rsidRPr="00000790">
        <w:rPr>
          <w:rFonts w:cs="Tahoma"/>
          <w:bCs/>
          <w:spacing w:val="-4"/>
          <w:position w:val="-4"/>
          <w:sz w:val="24"/>
          <w:szCs w:val="24"/>
        </w:rPr>
        <w:t>ó</w:t>
      </w:r>
      <w:r w:rsidR="00D106F7" w:rsidRPr="00000790">
        <w:rPr>
          <w:rFonts w:cs="Tahoma"/>
          <w:bCs/>
          <w:spacing w:val="-4"/>
          <w:position w:val="-4"/>
          <w:sz w:val="24"/>
          <w:szCs w:val="24"/>
        </w:rPr>
        <w:t xml:space="preserve"> al señor</w:t>
      </w:r>
      <w:r w:rsidR="008038E3" w:rsidRPr="00000790">
        <w:rPr>
          <w:rFonts w:cs="Tahoma"/>
          <w:bCs/>
          <w:spacing w:val="-4"/>
          <w:position w:val="-4"/>
          <w:sz w:val="24"/>
          <w:szCs w:val="24"/>
        </w:rPr>
        <w:t xml:space="preserve"> </w:t>
      </w:r>
      <w:r w:rsidR="00FF6C2E">
        <w:rPr>
          <w:rStyle w:val="Numeracinttulo"/>
          <w:rFonts w:cs="Tahoma"/>
          <w:spacing w:val="-4"/>
          <w:position w:val="-4"/>
          <w:szCs w:val="24"/>
        </w:rPr>
        <w:t>MSMV</w:t>
      </w:r>
      <w:r w:rsidR="00781F1A" w:rsidRPr="00000790">
        <w:rPr>
          <w:rStyle w:val="Numeracinttulo"/>
          <w:rFonts w:cs="Tahoma"/>
          <w:b w:val="0"/>
          <w:spacing w:val="-4"/>
          <w:position w:val="-4"/>
          <w:szCs w:val="24"/>
        </w:rPr>
        <w:t xml:space="preserve"> </w:t>
      </w:r>
      <w:r w:rsidR="00DB4062" w:rsidRPr="00000790">
        <w:rPr>
          <w:rFonts w:cs="Tahoma"/>
          <w:bCs/>
          <w:spacing w:val="-4"/>
          <w:position w:val="-4"/>
          <w:sz w:val="24"/>
          <w:szCs w:val="24"/>
        </w:rPr>
        <w:t xml:space="preserve">por </w:t>
      </w:r>
      <w:r w:rsidR="00D106F7" w:rsidRPr="00000790">
        <w:rPr>
          <w:rFonts w:cs="Tahoma"/>
          <w:bCs/>
          <w:spacing w:val="-4"/>
          <w:position w:val="-4"/>
          <w:sz w:val="24"/>
          <w:szCs w:val="24"/>
        </w:rPr>
        <w:t xml:space="preserve">el </w:t>
      </w:r>
      <w:r w:rsidR="00E14778" w:rsidRPr="00000790">
        <w:rPr>
          <w:rFonts w:cs="Tahoma"/>
          <w:bCs/>
          <w:spacing w:val="-4"/>
          <w:position w:val="-4"/>
          <w:sz w:val="24"/>
          <w:szCs w:val="24"/>
        </w:rPr>
        <w:t xml:space="preserve">delito de </w:t>
      </w:r>
      <w:r w:rsidR="00E14778" w:rsidRPr="00000790">
        <w:rPr>
          <w:rFonts w:cs="Tahoma"/>
          <w:b/>
          <w:bCs/>
          <w:spacing w:val="-4"/>
          <w:position w:val="-4"/>
          <w:sz w:val="24"/>
          <w:szCs w:val="24"/>
        </w:rPr>
        <w:t>Acoso sexual</w:t>
      </w:r>
      <w:r w:rsidR="00F5521A" w:rsidRPr="00000790">
        <w:rPr>
          <w:rFonts w:cs="Tahoma"/>
          <w:bCs/>
          <w:spacing w:val="-4"/>
          <w:position w:val="-4"/>
          <w:sz w:val="24"/>
          <w:szCs w:val="24"/>
        </w:rPr>
        <w:t xml:space="preserve"> </w:t>
      </w:r>
      <w:r w:rsidR="00E14778" w:rsidRPr="00000790">
        <w:rPr>
          <w:rFonts w:cs="Tahoma"/>
          <w:bCs/>
          <w:spacing w:val="-4"/>
          <w:position w:val="-4"/>
          <w:sz w:val="24"/>
          <w:szCs w:val="24"/>
        </w:rPr>
        <w:t>consagrado en el artículo 210A del Código Penal</w:t>
      </w:r>
      <w:r w:rsidR="005F689B" w:rsidRPr="00000790">
        <w:rPr>
          <w:rFonts w:cs="Tahoma"/>
          <w:bCs/>
          <w:spacing w:val="-4"/>
          <w:position w:val="-4"/>
          <w:sz w:val="24"/>
          <w:szCs w:val="24"/>
        </w:rPr>
        <w:t>;</w:t>
      </w:r>
      <w:r w:rsidR="00E14778" w:rsidRPr="00000790">
        <w:rPr>
          <w:rFonts w:cs="Tahoma"/>
          <w:bCs/>
          <w:spacing w:val="-4"/>
          <w:position w:val="-4"/>
          <w:sz w:val="24"/>
          <w:szCs w:val="24"/>
        </w:rPr>
        <w:t xml:space="preserve"> (ii) se le impuso pena privativa de la libertad de dieciséis (16) meses de prisión</w:t>
      </w:r>
      <w:r w:rsidR="005F689B" w:rsidRPr="00000790">
        <w:rPr>
          <w:rFonts w:cs="Tahoma"/>
          <w:bCs/>
          <w:spacing w:val="-4"/>
          <w:position w:val="-4"/>
          <w:sz w:val="24"/>
          <w:szCs w:val="24"/>
        </w:rPr>
        <w:t>,</w:t>
      </w:r>
      <w:r w:rsidR="00E14778" w:rsidRPr="00000790">
        <w:rPr>
          <w:rFonts w:cs="Tahoma"/>
          <w:bCs/>
          <w:spacing w:val="-4"/>
          <w:position w:val="-4"/>
          <w:sz w:val="24"/>
          <w:szCs w:val="24"/>
        </w:rPr>
        <w:t xml:space="preserve"> así como la inhabilitación para el ejercicio de derechos y funciones públicas por el lapso igual a la pena</w:t>
      </w:r>
      <w:r w:rsidR="005F689B" w:rsidRPr="00000790">
        <w:rPr>
          <w:rFonts w:cs="Tahoma"/>
          <w:bCs/>
          <w:spacing w:val="-4"/>
          <w:position w:val="-4"/>
          <w:sz w:val="24"/>
          <w:szCs w:val="24"/>
        </w:rPr>
        <w:t>; y</w:t>
      </w:r>
      <w:r w:rsidR="0069154F" w:rsidRPr="00000790">
        <w:rPr>
          <w:rFonts w:cs="Tahoma"/>
          <w:bCs/>
          <w:spacing w:val="-4"/>
          <w:position w:val="-4"/>
          <w:sz w:val="24"/>
          <w:szCs w:val="24"/>
        </w:rPr>
        <w:t xml:space="preserve"> (i</w:t>
      </w:r>
      <w:r w:rsidR="00D40B0A" w:rsidRPr="00000790">
        <w:rPr>
          <w:rFonts w:cs="Tahoma"/>
          <w:bCs/>
          <w:spacing w:val="-4"/>
          <w:position w:val="-4"/>
          <w:sz w:val="24"/>
          <w:szCs w:val="24"/>
        </w:rPr>
        <w:t>ii</w:t>
      </w:r>
      <w:r w:rsidR="0069154F" w:rsidRPr="00000790">
        <w:rPr>
          <w:rFonts w:cs="Tahoma"/>
          <w:bCs/>
          <w:spacing w:val="-4"/>
          <w:position w:val="-4"/>
          <w:sz w:val="24"/>
          <w:szCs w:val="24"/>
        </w:rPr>
        <w:t xml:space="preserve">) </w:t>
      </w:r>
      <w:r w:rsidR="009D1DDE" w:rsidRPr="00000790">
        <w:rPr>
          <w:rFonts w:cs="Tahoma"/>
          <w:bCs/>
          <w:spacing w:val="-4"/>
          <w:position w:val="-4"/>
          <w:sz w:val="24"/>
          <w:szCs w:val="24"/>
        </w:rPr>
        <w:t>le</w:t>
      </w:r>
      <w:r w:rsidR="00607760" w:rsidRPr="00000790">
        <w:rPr>
          <w:rFonts w:cs="Tahoma"/>
          <w:bCs/>
          <w:spacing w:val="-4"/>
          <w:position w:val="-4"/>
          <w:sz w:val="24"/>
          <w:szCs w:val="24"/>
        </w:rPr>
        <w:t xml:space="preserve"> negó el mecanismo de la sustitución condicional de la ejecución de la pena, así como la prisión domiciliaria</w:t>
      </w:r>
      <w:r w:rsidR="00C43FE4" w:rsidRPr="00000790">
        <w:rPr>
          <w:rFonts w:cs="Tahoma"/>
          <w:bCs/>
          <w:spacing w:val="-4"/>
          <w:position w:val="-4"/>
          <w:sz w:val="24"/>
          <w:szCs w:val="24"/>
        </w:rPr>
        <w:t>.</w:t>
      </w:r>
    </w:p>
    <w:p w14:paraId="17C0CE9F" w14:textId="77777777" w:rsidR="009D1DDE" w:rsidRPr="00000790" w:rsidRDefault="009D1DDE" w:rsidP="00000790">
      <w:pPr>
        <w:spacing w:line="276" w:lineRule="auto"/>
        <w:rPr>
          <w:rStyle w:val="Numeracinttulo"/>
          <w:rFonts w:cs="Tahoma"/>
          <w:b w:val="0"/>
          <w:bCs/>
          <w:spacing w:val="-4"/>
          <w:position w:val="-4"/>
          <w:szCs w:val="24"/>
        </w:rPr>
      </w:pPr>
    </w:p>
    <w:p w14:paraId="5AC37883" w14:textId="77777777" w:rsidR="00C77802" w:rsidRPr="00000790" w:rsidRDefault="00C77802" w:rsidP="00000790">
      <w:pPr>
        <w:spacing w:line="276" w:lineRule="auto"/>
        <w:rPr>
          <w:rStyle w:val="Numeracinttulo"/>
          <w:rFonts w:cs="Tahoma"/>
          <w:b w:val="0"/>
          <w:spacing w:val="-4"/>
          <w:position w:val="-4"/>
          <w:szCs w:val="24"/>
        </w:rPr>
      </w:pPr>
      <w:r w:rsidRPr="00000790">
        <w:rPr>
          <w:rStyle w:val="Numeracinttulo"/>
          <w:rFonts w:cs="Tahoma"/>
          <w:spacing w:val="-4"/>
          <w:position w:val="-4"/>
          <w:szCs w:val="24"/>
        </w:rPr>
        <w:t>1.</w:t>
      </w:r>
      <w:r w:rsidR="00F551D7" w:rsidRPr="00000790">
        <w:rPr>
          <w:rStyle w:val="Numeracinttulo"/>
          <w:rFonts w:cs="Tahoma"/>
          <w:spacing w:val="-4"/>
          <w:position w:val="-4"/>
          <w:szCs w:val="24"/>
        </w:rPr>
        <w:t>5</w:t>
      </w:r>
      <w:r w:rsidRPr="00000790">
        <w:rPr>
          <w:rStyle w:val="Numeracinttulo"/>
          <w:rFonts w:cs="Tahoma"/>
          <w:spacing w:val="-4"/>
          <w:position w:val="-4"/>
          <w:szCs w:val="24"/>
        </w:rPr>
        <w:t>.-</w:t>
      </w:r>
      <w:r w:rsidRPr="00000790">
        <w:rPr>
          <w:rStyle w:val="Numeracinttulo"/>
          <w:rFonts w:cs="Tahoma"/>
          <w:b w:val="0"/>
          <w:spacing w:val="-4"/>
          <w:position w:val="-4"/>
          <w:szCs w:val="24"/>
        </w:rPr>
        <w:t xml:space="preserve"> </w:t>
      </w:r>
      <w:r w:rsidR="00D106F7" w:rsidRPr="00000790">
        <w:rPr>
          <w:rStyle w:val="Numeracinttulo"/>
          <w:rFonts w:cs="Tahoma"/>
          <w:b w:val="0"/>
          <w:spacing w:val="-4"/>
          <w:position w:val="-4"/>
          <w:szCs w:val="24"/>
        </w:rPr>
        <w:t>El apoderado</w:t>
      </w:r>
      <w:r w:rsidR="00B67C59" w:rsidRPr="00000790">
        <w:rPr>
          <w:rStyle w:val="Numeracinttulo"/>
          <w:rFonts w:cs="Tahoma"/>
          <w:b w:val="0"/>
          <w:spacing w:val="-4"/>
          <w:position w:val="-4"/>
          <w:szCs w:val="24"/>
        </w:rPr>
        <w:t xml:space="preserve"> </w:t>
      </w:r>
      <w:r w:rsidR="00D106F7" w:rsidRPr="00000790">
        <w:rPr>
          <w:rStyle w:val="Numeracinttulo"/>
          <w:rFonts w:cs="Tahoma"/>
          <w:b w:val="0"/>
          <w:spacing w:val="-4"/>
          <w:position w:val="-4"/>
          <w:szCs w:val="24"/>
        </w:rPr>
        <w:t>del antes mencionado</w:t>
      </w:r>
      <w:r w:rsidR="006B4659" w:rsidRPr="00000790">
        <w:rPr>
          <w:rStyle w:val="Numeracinttulo"/>
          <w:rFonts w:cs="Tahoma"/>
          <w:b w:val="0"/>
          <w:spacing w:val="-4"/>
          <w:position w:val="-4"/>
          <w:szCs w:val="24"/>
        </w:rPr>
        <w:t xml:space="preserve"> estuv</w:t>
      </w:r>
      <w:r w:rsidR="00D106F7" w:rsidRPr="00000790">
        <w:rPr>
          <w:rStyle w:val="Numeracinttulo"/>
          <w:rFonts w:cs="Tahoma"/>
          <w:b w:val="0"/>
          <w:spacing w:val="-4"/>
          <w:position w:val="-4"/>
          <w:szCs w:val="24"/>
        </w:rPr>
        <w:t>o</w:t>
      </w:r>
      <w:r w:rsidR="006B4659" w:rsidRPr="00000790">
        <w:rPr>
          <w:rStyle w:val="Numeracinttulo"/>
          <w:rFonts w:cs="Tahoma"/>
          <w:b w:val="0"/>
          <w:spacing w:val="-4"/>
          <w:position w:val="-4"/>
          <w:szCs w:val="24"/>
        </w:rPr>
        <w:t xml:space="preserve"> </w:t>
      </w:r>
      <w:r w:rsidR="00ED64B2" w:rsidRPr="00000790">
        <w:rPr>
          <w:rStyle w:val="Numeracinttulo"/>
          <w:rFonts w:cs="Tahoma"/>
          <w:b w:val="0"/>
          <w:spacing w:val="-4"/>
          <w:position w:val="-4"/>
          <w:szCs w:val="24"/>
        </w:rPr>
        <w:t xml:space="preserve">inconforme </w:t>
      </w:r>
      <w:r w:rsidR="00D200EE" w:rsidRPr="00000790">
        <w:rPr>
          <w:rStyle w:val="Numeracinttulo"/>
          <w:rFonts w:cs="Tahoma"/>
          <w:b w:val="0"/>
          <w:spacing w:val="-4"/>
          <w:position w:val="-4"/>
          <w:szCs w:val="24"/>
        </w:rPr>
        <w:t xml:space="preserve">con </w:t>
      </w:r>
      <w:r w:rsidR="006B4659" w:rsidRPr="00000790">
        <w:rPr>
          <w:rStyle w:val="Numeracinttulo"/>
          <w:rFonts w:cs="Tahoma"/>
          <w:b w:val="0"/>
          <w:spacing w:val="-4"/>
          <w:position w:val="-4"/>
          <w:szCs w:val="24"/>
        </w:rPr>
        <w:t xml:space="preserve">la </w:t>
      </w:r>
      <w:r w:rsidR="00D200EE" w:rsidRPr="00000790">
        <w:rPr>
          <w:rStyle w:val="Numeracinttulo"/>
          <w:rFonts w:cs="Tahoma"/>
          <w:b w:val="0"/>
          <w:spacing w:val="-4"/>
          <w:position w:val="-4"/>
          <w:szCs w:val="24"/>
        </w:rPr>
        <w:t xml:space="preserve">determinación </w:t>
      </w:r>
      <w:r w:rsidR="006B4659" w:rsidRPr="00000790">
        <w:rPr>
          <w:rStyle w:val="Numeracinttulo"/>
          <w:rFonts w:cs="Tahoma"/>
          <w:b w:val="0"/>
          <w:spacing w:val="-4"/>
          <w:position w:val="-4"/>
          <w:szCs w:val="24"/>
        </w:rPr>
        <w:t>adoptada</w:t>
      </w:r>
      <w:r w:rsidR="00E12A23" w:rsidRPr="00000790">
        <w:rPr>
          <w:rStyle w:val="Numeracinttulo"/>
          <w:rFonts w:cs="Tahoma"/>
          <w:b w:val="0"/>
          <w:spacing w:val="-4"/>
          <w:position w:val="-4"/>
          <w:szCs w:val="24"/>
        </w:rPr>
        <w:t xml:space="preserve"> - solo en cuanto a la negativa de la prisión domiciliaria como padre cabeza de familia </w:t>
      </w:r>
      <w:r w:rsidR="0080615B" w:rsidRPr="00000790">
        <w:rPr>
          <w:rStyle w:val="Numeracinttulo"/>
          <w:rFonts w:cs="Tahoma"/>
          <w:b w:val="0"/>
          <w:spacing w:val="-4"/>
          <w:position w:val="-4"/>
          <w:szCs w:val="24"/>
        </w:rPr>
        <w:t xml:space="preserve">con permiso de trabajo </w:t>
      </w:r>
      <w:r w:rsidR="00E12A23" w:rsidRPr="00000790">
        <w:rPr>
          <w:rStyle w:val="Numeracinttulo"/>
          <w:rFonts w:cs="Tahoma"/>
          <w:b w:val="0"/>
          <w:spacing w:val="-4"/>
          <w:position w:val="-4"/>
          <w:szCs w:val="24"/>
        </w:rPr>
        <w:t>y/o la suspensión condicional de la ejecución de la pena-</w:t>
      </w:r>
      <w:r w:rsidR="006B4659" w:rsidRPr="00000790">
        <w:rPr>
          <w:rStyle w:val="Numeracinttulo"/>
          <w:rFonts w:cs="Tahoma"/>
          <w:b w:val="0"/>
          <w:spacing w:val="-4"/>
          <w:position w:val="-4"/>
          <w:szCs w:val="24"/>
        </w:rPr>
        <w:t xml:space="preserve"> procediéndose a su impugnación, </w:t>
      </w:r>
      <w:r w:rsidR="00D90439" w:rsidRPr="00000790">
        <w:rPr>
          <w:rStyle w:val="Numeracinttulo"/>
          <w:rFonts w:cs="Tahoma"/>
          <w:b w:val="0"/>
          <w:spacing w:val="-4"/>
          <w:position w:val="-4"/>
          <w:szCs w:val="24"/>
        </w:rPr>
        <w:t xml:space="preserve">la cual sustentaría </w:t>
      </w:r>
      <w:r w:rsidR="008B7770" w:rsidRPr="00000790">
        <w:rPr>
          <w:rStyle w:val="Numeracinttulo"/>
          <w:rFonts w:cs="Tahoma"/>
          <w:b w:val="0"/>
          <w:spacing w:val="-4"/>
          <w:position w:val="-4"/>
          <w:szCs w:val="24"/>
        </w:rPr>
        <w:t>por escrito. Dentro del término</w:t>
      </w:r>
      <w:r w:rsidR="00E14778" w:rsidRPr="00000790">
        <w:rPr>
          <w:rStyle w:val="Numeracinttulo"/>
          <w:rFonts w:cs="Tahoma"/>
          <w:b w:val="0"/>
          <w:spacing w:val="-4"/>
          <w:position w:val="-4"/>
          <w:szCs w:val="24"/>
        </w:rPr>
        <w:t xml:space="preserve">, el profesional del derecho </w:t>
      </w:r>
      <w:r w:rsidR="008B7770" w:rsidRPr="00000790">
        <w:rPr>
          <w:rStyle w:val="Numeracinttulo"/>
          <w:rFonts w:cs="Tahoma"/>
          <w:b w:val="0"/>
          <w:spacing w:val="-4"/>
          <w:position w:val="-4"/>
          <w:szCs w:val="24"/>
        </w:rPr>
        <w:t xml:space="preserve">sustentó el recurso impetrado, </w:t>
      </w:r>
      <w:r w:rsidRPr="00000790">
        <w:rPr>
          <w:rStyle w:val="Numeracinttulo"/>
          <w:rFonts w:cs="Tahoma"/>
          <w:b w:val="0"/>
          <w:spacing w:val="-4"/>
          <w:position w:val="-4"/>
          <w:szCs w:val="24"/>
        </w:rPr>
        <w:t xml:space="preserve">motivo por el cual fue concedido en el efecto suspensivo y se dispuso la remisión de los registros ante esta Corporación </w:t>
      </w:r>
      <w:r w:rsidR="00ED64B2" w:rsidRPr="00000790">
        <w:rPr>
          <w:rStyle w:val="Numeracinttulo"/>
          <w:rFonts w:cs="Tahoma"/>
          <w:b w:val="0"/>
          <w:spacing w:val="-4"/>
          <w:position w:val="-4"/>
          <w:szCs w:val="24"/>
        </w:rPr>
        <w:t xml:space="preserve">para </w:t>
      </w:r>
      <w:r w:rsidRPr="00000790">
        <w:rPr>
          <w:rStyle w:val="Numeracinttulo"/>
          <w:rFonts w:cs="Tahoma"/>
          <w:b w:val="0"/>
          <w:spacing w:val="-4"/>
          <w:position w:val="-4"/>
          <w:szCs w:val="24"/>
        </w:rPr>
        <w:t>desatar la alzada.</w:t>
      </w:r>
    </w:p>
    <w:p w14:paraId="17F30FC3" w14:textId="77777777" w:rsidR="002B797E" w:rsidRPr="00000790" w:rsidRDefault="002B797E" w:rsidP="00000790">
      <w:pPr>
        <w:spacing w:line="276" w:lineRule="auto"/>
        <w:rPr>
          <w:rFonts w:cs="Tahoma"/>
          <w:b/>
          <w:spacing w:val="-4"/>
          <w:position w:val="-4"/>
          <w:sz w:val="24"/>
          <w:szCs w:val="24"/>
        </w:rPr>
      </w:pPr>
    </w:p>
    <w:p w14:paraId="62B05AF8" w14:textId="77777777" w:rsidR="00C77802" w:rsidRPr="00000790" w:rsidRDefault="00C77802" w:rsidP="00000790">
      <w:pPr>
        <w:spacing w:line="276" w:lineRule="auto"/>
        <w:rPr>
          <w:rStyle w:val="Algerian"/>
          <w:rFonts w:ascii="Tahoma" w:hAnsi="Tahoma" w:cs="Tahoma"/>
          <w:spacing w:val="-4"/>
          <w:position w:val="-4"/>
          <w:sz w:val="24"/>
          <w:szCs w:val="24"/>
        </w:rPr>
      </w:pPr>
      <w:r w:rsidRPr="00000790">
        <w:rPr>
          <w:rStyle w:val="Algerian"/>
          <w:rFonts w:ascii="Tahoma" w:hAnsi="Tahoma" w:cs="Tahoma"/>
          <w:spacing w:val="-4"/>
          <w:position w:val="-4"/>
          <w:sz w:val="24"/>
          <w:szCs w:val="24"/>
        </w:rPr>
        <w:t>2.- Debate</w:t>
      </w:r>
    </w:p>
    <w:p w14:paraId="229EBF9A" w14:textId="77777777" w:rsidR="00C77802" w:rsidRPr="00000790" w:rsidRDefault="00C77802" w:rsidP="00000790">
      <w:pPr>
        <w:spacing w:line="276" w:lineRule="auto"/>
        <w:rPr>
          <w:rFonts w:cs="Tahoma"/>
          <w:spacing w:val="-4"/>
          <w:position w:val="-4"/>
          <w:sz w:val="24"/>
          <w:szCs w:val="24"/>
        </w:rPr>
      </w:pPr>
    </w:p>
    <w:p w14:paraId="3F2932D0" w14:textId="054404BF" w:rsidR="00A92868" w:rsidRPr="00000790" w:rsidRDefault="005F689B" w:rsidP="00000790">
      <w:pPr>
        <w:spacing w:line="276" w:lineRule="auto"/>
        <w:rPr>
          <w:rFonts w:cs="Tahoma"/>
          <w:sz w:val="24"/>
          <w:szCs w:val="24"/>
        </w:rPr>
      </w:pPr>
      <w:r w:rsidRPr="00000790">
        <w:rPr>
          <w:rFonts w:cs="Tahoma"/>
          <w:b/>
          <w:bCs/>
          <w:sz w:val="24"/>
          <w:szCs w:val="24"/>
        </w:rPr>
        <w:t>2.1</w:t>
      </w:r>
      <w:r w:rsidRPr="00000790">
        <w:rPr>
          <w:rFonts w:cs="Tahoma"/>
          <w:sz w:val="24"/>
          <w:szCs w:val="24"/>
        </w:rPr>
        <w:t xml:space="preserve">.- </w:t>
      </w:r>
      <w:r w:rsidR="00A92868" w:rsidRPr="00000790">
        <w:rPr>
          <w:rFonts w:cs="Tahoma"/>
          <w:sz w:val="24"/>
          <w:szCs w:val="24"/>
        </w:rPr>
        <w:t>De los argumentos presentados por el togado se infiere que su solicitud está orientada a que se le conceda a su representado la suspensión condicional de</w:t>
      </w:r>
      <w:r w:rsidR="00B15297" w:rsidRPr="00000790">
        <w:rPr>
          <w:rFonts w:cs="Tahoma"/>
          <w:sz w:val="24"/>
          <w:szCs w:val="24"/>
        </w:rPr>
        <w:t xml:space="preserve"> la ejecución</w:t>
      </w:r>
      <w:r w:rsidR="00A92868" w:rsidRPr="00000790">
        <w:rPr>
          <w:rFonts w:cs="Tahoma"/>
          <w:sz w:val="24"/>
          <w:szCs w:val="24"/>
        </w:rPr>
        <w:t xml:space="preserve"> la pena, o en su defecto, la prisión domiciliaria</w:t>
      </w:r>
      <w:r w:rsidR="00624083" w:rsidRPr="00000790">
        <w:rPr>
          <w:rFonts w:cs="Tahoma"/>
          <w:sz w:val="24"/>
          <w:szCs w:val="24"/>
        </w:rPr>
        <w:t xml:space="preserve"> con permiso para trabajar</w:t>
      </w:r>
      <w:r w:rsidR="00A92868" w:rsidRPr="00000790">
        <w:rPr>
          <w:rFonts w:cs="Tahoma"/>
          <w:sz w:val="24"/>
          <w:szCs w:val="24"/>
        </w:rPr>
        <w:t>, de conformidad con lo siguiente</w:t>
      </w:r>
      <w:r w:rsidR="00B65FCA" w:rsidRPr="00000790">
        <w:rPr>
          <w:rFonts w:cs="Tahoma"/>
          <w:sz w:val="24"/>
          <w:szCs w:val="24"/>
        </w:rPr>
        <w:t>:</w:t>
      </w:r>
    </w:p>
    <w:p w14:paraId="2A8F346C" w14:textId="77777777" w:rsidR="00A92868" w:rsidRPr="00000790" w:rsidRDefault="00A92868" w:rsidP="00000790">
      <w:pPr>
        <w:spacing w:line="276" w:lineRule="auto"/>
        <w:rPr>
          <w:rFonts w:cs="Tahoma"/>
          <w:sz w:val="24"/>
          <w:szCs w:val="24"/>
        </w:rPr>
      </w:pPr>
    </w:p>
    <w:p w14:paraId="52DAEB6D" w14:textId="77777777" w:rsidR="0080615B" w:rsidRPr="00000790" w:rsidRDefault="00B15297" w:rsidP="00000790">
      <w:pPr>
        <w:spacing w:line="276" w:lineRule="auto"/>
        <w:rPr>
          <w:rFonts w:cs="Tahoma"/>
          <w:sz w:val="24"/>
          <w:szCs w:val="24"/>
        </w:rPr>
      </w:pPr>
      <w:r w:rsidRPr="00000790">
        <w:rPr>
          <w:rFonts w:cs="Tahoma"/>
          <w:sz w:val="24"/>
          <w:szCs w:val="24"/>
        </w:rPr>
        <w:t>Para sustentar su primer pedimento, señala que p</w:t>
      </w:r>
      <w:r w:rsidR="007A7856" w:rsidRPr="00000790">
        <w:rPr>
          <w:rFonts w:cs="Tahoma"/>
          <w:sz w:val="24"/>
          <w:szCs w:val="24"/>
        </w:rPr>
        <w:t xml:space="preserve">or la falta de antecedentes de su </w:t>
      </w:r>
      <w:r w:rsidRPr="00000790">
        <w:rPr>
          <w:rFonts w:cs="Tahoma"/>
          <w:sz w:val="24"/>
          <w:szCs w:val="24"/>
        </w:rPr>
        <w:t>prohijado, p</w:t>
      </w:r>
      <w:r w:rsidR="007A7856" w:rsidRPr="00000790">
        <w:rPr>
          <w:rFonts w:cs="Tahoma"/>
          <w:sz w:val="24"/>
          <w:szCs w:val="24"/>
        </w:rPr>
        <w:t xml:space="preserve">or sus condiciones </w:t>
      </w:r>
      <w:r w:rsidRPr="00000790">
        <w:rPr>
          <w:rFonts w:cs="Tahoma"/>
          <w:sz w:val="24"/>
          <w:szCs w:val="24"/>
        </w:rPr>
        <w:t>f</w:t>
      </w:r>
      <w:r w:rsidR="007A7856" w:rsidRPr="00000790">
        <w:rPr>
          <w:rFonts w:cs="Tahoma"/>
          <w:sz w:val="24"/>
          <w:szCs w:val="24"/>
        </w:rPr>
        <w:t xml:space="preserve">amiliares, sociales, su formación académica, y su esfuerzo en servirle a la comunidad en el </w:t>
      </w:r>
      <w:r w:rsidRPr="00000790">
        <w:rPr>
          <w:rFonts w:cs="Tahoma"/>
          <w:sz w:val="24"/>
          <w:szCs w:val="24"/>
        </w:rPr>
        <w:t>c</w:t>
      </w:r>
      <w:r w:rsidR="007A7856" w:rsidRPr="00000790">
        <w:rPr>
          <w:rFonts w:cs="Tahoma"/>
          <w:sz w:val="24"/>
          <w:szCs w:val="24"/>
        </w:rPr>
        <w:t xml:space="preserve">ampo de la </w:t>
      </w:r>
      <w:r w:rsidRPr="00000790">
        <w:rPr>
          <w:rFonts w:cs="Tahoma"/>
          <w:sz w:val="24"/>
          <w:szCs w:val="24"/>
        </w:rPr>
        <w:t>s</w:t>
      </w:r>
      <w:r w:rsidR="007A7856" w:rsidRPr="00000790">
        <w:rPr>
          <w:rFonts w:cs="Tahoma"/>
          <w:sz w:val="24"/>
          <w:szCs w:val="24"/>
        </w:rPr>
        <w:t xml:space="preserve">alud, no es necesario el tratamiento </w:t>
      </w:r>
      <w:r w:rsidRPr="00000790">
        <w:rPr>
          <w:rFonts w:cs="Tahoma"/>
          <w:sz w:val="24"/>
          <w:szCs w:val="24"/>
        </w:rPr>
        <w:t>p</w:t>
      </w:r>
      <w:r w:rsidR="007A7856" w:rsidRPr="00000790">
        <w:rPr>
          <w:rFonts w:cs="Tahoma"/>
          <w:sz w:val="24"/>
          <w:szCs w:val="24"/>
        </w:rPr>
        <w:t xml:space="preserve">enitenciario, </w:t>
      </w:r>
      <w:r w:rsidRPr="00000790">
        <w:rPr>
          <w:rFonts w:cs="Tahoma"/>
          <w:sz w:val="24"/>
          <w:szCs w:val="24"/>
        </w:rPr>
        <w:t xml:space="preserve">máxime, si se tiene en cuenta que la sentencia emitida en su contra </w:t>
      </w:r>
      <w:r w:rsidR="007A7856" w:rsidRPr="00000790">
        <w:rPr>
          <w:rFonts w:cs="Tahoma"/>
          <w:sz w:val="24"/>
          <w:szCs w:val="24"/>
        </w:rPr>
        <w:t>no supera los 4 años</w:t>
      </w:r>
      <w:r w:rsidRPr="00000790">
        <w:rPr>
          <w:rFonts w:cs="Tahoma"/>
          <w:sz w:val="24"/>
          <w:szCs w:val="24"/>
        </w:rPr>
        <w:t xml:space="preserve">, lo que </w:t>
      </w:r>
      <w:r w:rsidR="007A7856" w:rsidRPr="00000790">
        <w:rPr>
          <w:rFonts w:cs="Tahoma"/>
          <w:sz w:val="24"/>
          <w:szCs w:val="24"/>
        </w:rPr>
        <w:t xml:space="preserve">hace que sea viable que se le otorgue </w:t>
      </w:r>
      <w:r w:rsidRPr="00000790">
        <w:rPr>
          <w:rFonts w:cs="Tahoma"/>
          <w:sz w:val="24"/>
          <w:szCs w:val="24"/>
        </w:rPr>
        <w:t xml:space="preserve">esa posibilidad. Sumado a ello, se debe tener en cuenta que la víctima fue debidamente indemnizada, situación que motivó a que el representante de víctimas, inclusive, coadyuvara esta solicitud en la audiencia de individualización de pena y sentencia. </w:t>
      </w:r>
    </w:p>
    <w:p w14:paraId="3386866C" w14:textId="77777777" w:rsidR="00B15297" w:rsidRPr="00000790" w:rsidRDefault="00B15297" w:rsidP="00000790">
      <w:pPr>
        <w:spacing w:line="276" w:lineRule="auto"/>
        <w:rPr>
          <w:rStyle w:val="Nombreprincipal"/>
          <w:rFonts w:cs="Tahoma"/>
          <w:b w:val="0"/>
          <w:smallCaps w:val="0"/>
          <w:sz w:val="24"/>
          <w:szCs w:val="24"/>
        </w:rPr>
      </w:pPr>
    </w:p>
    <w:p w14:paraId="4ADF9E32" w14:textId="77777777" w:rsidR="00C14F2E" w:rsidRPr="00000790" w:rsidRDefault="00B15297" w:rsidP="00000790">
      <w:pPr>
        <w:spacing w:line="276" w:lineRule="auto"/>
        <w:rPr>
          <w:rFonts w:cs="Tahoma"/>
          <w:sz w:val="24"/>
          <w:szCs w:val="24"/>
        </w:rPr>
      </w:pPr>
      <w:r w:rsidRPr="00000790">
        <w:rPr>
          <w:rFonts w:cs="Tahoma"/>
          <w:sz w:val="24"/>
          <w:szCs w:val="24"/>
        </w:rPr>
        <w:t xml:space="preserve">Por otra parte, adujo </w:t>
      </w:r>
      <w:r w:rsidR="0011315D" w:rsidRPr="00000790">
        <w:rPr>
          <w:rFonts w:cs="Tahoma"/>
          <w:sz w:val="24"/>
          <w:szCs w:val="24"/>
        </w:rPr>
        <w:t>que,</w:t>
      </w:r>
      <w:r w:rsidRPr="00000790">
        <w:rPr>
          <w:rFonts w:cs="Tahoma"/>
          <w:sz w:val="24"/>
          <w:szCs w:val="24"/>
        </w:rPr>
        <w:t xml:space="preserve"> de no concedérsele al anterior subrogado penal, debe tenerse en cuenta la calidad de padre cabeza de familia que ostenta</w:t>
      </w:r>
      <w:r w:rsidR="002274E3" w:rsidRPr="00000790">
        <w:rPr>
          <w:rFonts w:cs="Tahoma"/>
          <w:sz w:val="24"/>
          <w:szCs w:val="24"/>
        </w:rPr>
        <w:t xml:space="preserve"> su defendido</w:t>
      </w:r>
      <w:r w:rsidRPr="00000790">
        <w:rPr>
          <w:rFonts w:cs="Tahoma"/>
          <w:sz w:val="24"/>
          <w:szCs w:val="24"/>
        </w:rPr>
        <w:t xml:space="preserve">, </w:t>
      </w:r>
      <w:r w:rsidR="002274E3" w:rsidRPr="00000790">
        <w:rPr>
          <w:rFonts w:cs="Tahoma"/>
          <w:sz w:val="24"/>
          <w:szCs w:val="24"/>
        </w:rPr>
        <w:t>ya que,</w:t>
      </w:r>
      <w:r w:rsidRPr="00000790">
        <w:rPr>
          <w:rFonts w:cs="Tahoma"/>
          <w:sz w:val="24"/>
          <w:szCs w:val="24"/>
        </w:rPr>
        <w:t xml:space="preserve"> a la fecha, es quien vela y responde por el mantenimiento y subsistencia de sus dos abuelos, ambos con más de 70 años, y con las enfermedades propias de la edad, </w:t>
      </w:r>
      <w:r w:rsidR="007253FB" w:rsidRPr="00000790">
        <w:rPr>
          <w:rFonts w:cs="Tahoma"/>
          <w:sz w:val="24"/>
          <w:szCs w:val="24"/>
        </w:rPr>
        <w:t xml:space="preserve">quedando demostrado desde el arraigo allegado al proceso, que es quien </w:t>
      </w:r>
      <w:r w:rsidR="00C14F2E" w:rsidRPr="00000790">
        <w:rPr>
          <w:rFonts w:cs="Tahoma"/>
          <w:sz w:val="24"/>
          <w:szCs w:val="24"/>
        </w:rPr>
        <w:t xml:space="preserve">está a cargo de su cuidado y protección. </w:t>
      </w:r>
    </w:p>
    <w:p w14:paraId="7FC4D082" w14:textId="77777777" w:rsidR="00C14F2E" w:rsidRPr="00000790" w:rsidRDefault="00C14F2E" w:rsidP="00000790">
      <w:pPr>
        <w:spacing w:line="276" w:lineRule="auto"/>
        <w:rPr>
          <w:rFonts w:cs="Tahoma"/>
          <w:sz w:val="24"/>
          <w:szCs w:val="24"/>
        </w:rPr>
      </w:pPr>
    </w:p>
    <w:p w14:paraId="3C7FFE18" w14:textId="77777777" w:rsidR="0080615B" w:rsidRPr="00000790" w:rsidRDefault="00C14F2E" w:rsidP="00000790">
      <w:pPr>
        <w:spacing w:line="276" w:lineRule="auto"/>
        <w:rPr>
          <w:rStyle w:val="Nombreprincipal"/>
          <w:rFonts w:cs="Tahoma"/>
          <w:b w:val="0"/>
          <w:smallCaps w:val="0"/>
          <w:sz w:val="24"/>
          <w:szCs w:val="24"/>
        </w:rPr>
      </w:pPr>
      <w:r w:rsidRPr="00000790">
        <w:rPr>
          <w:rFonts w:cs="Tahoma"/>
          <w:sz w:val="24"/>
          <w:szCs w:val="24"/>
        </w:rPr>
        <w:t xml:space="preserve">Por último, agrega que es necesario que se le otorgue el permiso para trabajar con </w:t>
      </w:r>
      <w:r w:rsidR="002274E3" w:rsidRPr="00000790">
        <w:rPr>
          <w:rFonts w:cs="Tahoma"/>
          <w:sz w:val="24"/>
          <w:szCs w:val="24"/>
        </w:rPr>
        <w:t>el</w:t>
      </w:r>
      <w:r w:rsidRPr="00000790">
        <w:rPr>
          <w:rFonts w:cs="Tahoma"/>
          <w:sz w:val="24"/>
          <w:szCs w:val="24"/>
        </w:rPr>
        <w:t xml:space="preserve"> fin de pueda suplir los gastos propios del hogar.  </w:t>
      </w:r>
    </w:p>
    <w:p w14:paraId="1543A3BB" w14:textId="77777777" w:rsidR="00A92868" w:rsidRPr="00000790" w:rsidRDefault="00A92868" w:rsidP="00000790">
      <w:pPr>
        <w:spacing w:line="276" w:lineRule="auto"/>
        <w:rPr>
          <w:rFonts w:cs="Tahoma"/>
          <w:sz w:val="24"/>
          <w:szCs w:val="24"/>
        </w:rPr>
      </w:pPr>
    </w:p>
    <w:p w14:paraId="5EECFB92" w14:textId="6B0B5721" w:rsidR="00A92868" w:rsidRPr="00000790" w:rsidRDefault="00A92868" w:rsidP="00000790">
      <w:pPr>
        <w:spacing w:line="276" w:lineRule="auto"/>
        <w:rPr>
          <w:rFonts w:cs="Tahoma"/>
          <w:sz w:val="24"/>
          <w:szCs w:val="24"/>
        </w:rPr>
      </w:pPr>
      <w:r w:rsidRPr="00000790">
        <w:rPr>
          <w:rFonts w:cs="Tahoma"/>
          <w:b/>
          <w:sz w:val="24"/>
          <w:szCs w:val="24"/>
        </w:rPr>
        <w:t>2.2.-</w:t>
      </w:r>
      <w:r w:rsidRPr="00000790">
        <w:rPr>
          <w:rFonts w:cs="Tahoma"/>
          <w:sz w:val="24"/>
          <w:szCs w:val="24"/>
        </w:rPr>
        <w:t xml:space="preserve"> Los demás intervinientes guardaron absoluto silencio en su condición de no recurrentes.</w:t>
      </w:r>
    </w:p>
    <w:p w14:paraId="2D1A712B" w14:textId="77777777" w:rsidR="00E44A37" w:rsidRPr="00000790" w:rsidRDefault="00E44A37" w:rsidP="00000790">
      <w:pPr>
        <w:spacing w:line="276" w:lineRule="auto"/>
        <w:rPr>
          <w:rFonts w:cs="Tahoma"/>
          <w:sz w:val="24"/>
          <w:szCs w:val="24"/>
        </w:rPr>
      </w:pPr>
    </w:p>
    <w:p w14:paraId="70835101" w14:textId="77777777" w:rsidR="00F80903" w:rsidRPr="00000790" w:rsidRDefault="00F80903" w:rsidP="00000790">
      <w:pPr>
        <w:spacing w:line="276" w:lineRule="auto"/>
        <w:rPr>
          <w:rStyle w:val="Algerian"/>
          <w:rFonts w:ascii="Tahoma" w:hAnsi="Tahoma" w:cs="Tahoma"/>
          <w:spacing w:val="-4"/>
          <w:position w:val="-4"/>
          <w:sz w:val="24"/>
          <w:szCs w:val="24"/>
        </w:rPr>
      </w:pPr>
    </w:p>
    <w:p w14:paraId="65AD7606" w14:textId="065B1D65" w:rsidR="00F23026" w:rsidRPr="00000790" w:rsidRDefault="00F23026" w:rsidP="00000790">
      <w:pPr>
        <w:spacing w:line="276" w:lineRule="auto"/>
        <w:rPr>
          <w:rFonts w:cs="Tahoma"/>
          <w:spacing w:val="-4"/>
          <w:position w:val="-4"/>
          <w:sz w:val="24"/>
          <w:szCs w:val="24"/>
        </w:rPr>
      </w:pPr>
      <w:r w:rsidRPr="00000790">
        <w:rPr>
          <w:rStyle w:val="Algerian"/>
          <w:rFonts w:ascii="Tahoma" w:hAnsi="Tahoma" w:cs="Tahoma"/>
          <w:spacing w:val="-4"/>
          <w:position w:val="-4"/>
          <w:sz w:val="24"/>
          <w:szCs w:val="24"/>
        </w:rPr>
        <w:t>3.- Para resolver, se considera</w:t>
      </w:r>
    </w:p>
    <w:p w14:paraId="4A95A3DD" w14:textId="77777777" w:rsidR="00F23026" w:rsidRPr="00000790" w:rsidRDefault="00F23026" w:rsidP="00000790">
      <w:pPr>
        <w:spacing w:line="276" w:lineRule="auto"/>
        <w:rPr>
          <w:rFonts w:cs="Tahoma"/>
          <w:spacing w:val="-4"/>
          <w:position w:val="-4"/>
          <w:sz w:val="24"/>
          <w:szCs w:val="24"/>
        </w:rPr>
      </w:pPr>
    </w:p>
    <w:p w14:paraId="69BC2D66" w14:textId="77777777" w:rsidR="00F23026" w:rsidRPr="00000790" w:rsidRDefault="00F23026" w:rsidP="00000790">
      <w:pPr>
        <w:spacing w:line="276" w:lineRule="auto"/>
        <w:rPr>
          <w:rFonts w:cs="Tahoma"/>
          <w:spacing w:val="-4"/>
          <w:position w:val="-4"/>
          <w:sz w:val="24"/>
          <w:szCs w:val="24"/>
        </w:rPr>
      </w:pPr>
      <w:r w:rsidRPr="00000790">
        <w:rPr>
          <w:rFonts w:cs="Tahoma"/>
          <w:b/>
          <w:spacing w:val="-4"/>
          <w:position w:val="-4"/>
          <w:sz w:val="24"/>
          <w:szCs w:val="24"/>
        </w:rPr>
        <w:t>3.1.- Competencia</w:t>
      </w:r>
    </w:p>
    <w:p w14:paraId="73269345" w14:textId="77777777" w:rsidR="00F23026" w:rsidRPr="00000790" w:rsidRDefault="00F23026" w:rsidP="00000790">
      <w:pPr>
        <w:spacing w:line="276" w:lineRule="auto"/>
        <w:rPr>
          <w:rFonts w:cs="Tahoma"/>
          <w:spacing w:val="-4"/>
          <w:position w:val="-4"/>
          <w:sz w:val="24"/>
          <w:szCs w:val="24"/>
        </w:rPr>
      </w:pPr>
    </w:p>
    <w:p w14:paraId="29ECA984" w14:textId="77777777" w:rsidR="00F23026" w:rsidRPr="00000790" w:rsidRDefault="00F23026" w:rsidP="00000790">
      <w:pPr>
        <w:spacing w:line="276" w:lineRule="auto"/>
        <w:rPr>
          <w:rFonts w:cs="Tahoma"/>
          <w:spacing w:val="-4"/>
          <w:position w:val="-4"/>
          <w:sz w:val="24"/>
          <w:szCs w:val="24"/>
        </w:rPr>
      </w:pPr>
      <w:r w:rsidRPr="00000790">
        <w:rPr>
          <w:rFonts w:cs="Tahoma"/>
          <w:spacing w:val="-4"/>
          <w:position w:val="-4"/>
          <w:sz w:val="24"/>
          <w:szCs w:val="24"/>
        </w:rPr>
        <w:t>La tiene esta Colegiatura de conformidad con los factores objetivo, territorial y funcional a voces de los artículos 20, 34.1 y 179 de la Ley 906 de 2004 -modificado este último por el artículo 91 de la Ley 1395 de 2010-, al haber sido oportunamente interpuesta y debidamente sustentada una apelación contra providencia susceptible de ese recurso y por una parte habilitada para hacerlo -en nuestro caso la defensa-.</w:t>
      </w:r>
    </w:p>
    <w:p w14:paraId="772FF2B5" w14:textId="77777777" w:rsidR="00F23026" w:rsidRPr="00000790" w:rsidRDefault="00F23026" w:rsidP="00000790">
      <w:pPr>
        <w:spacing w:line="276" w:lineRule="auto"/>
        <w:rPr>
          <w:rFonts w:cs="Tahoma"/>
          <w:b/>
          <w:spacing w:val="-4"/>
          <w:position w:val="-4"/>
          <w:sz w:val="24"/>
          <w:szCs w:val="24"/>
        </w:rPr>
      </w:pPr>
    </w:p>
    <w:p w14:paraId="057F0E15" w14:textId="77777777" w:rsidR="00F23026" w:rsidRPr="00000790" w:rsidRDefault="00F23026" w:rsidP="00000790">
      <w:pPr>
        <w:spacing w:line="276" w:lineRule="auto"/>
        <w:rPr>
          <w:rFonts w:cs="Tahoma"/>
          <w:spacing w:val="-4"/>
          <w:position w:val="-4"/>
          <w:sz w:val="24"/>
          <w:szCs w:val="24"/>
        </w:rPr>
      </w:pPr>
      <w:r w:rsidRPr="00000790">
        <w:rPr>
          <w:rFonts w:cs="Tahoma"/>
          <w:b/>
          <w:spacing w:val="-4"/>
          <w:position w:val="-4"/>
          <w:sz w:val="24"/>
          <w:szCs w:val="24"/>
        </w:rPr>
        <w:t>3.2.-</w:t>
      </w:r>
      <w:r w:rsidRPr="00000790">
        <w:rPr>
          <w:rFonts w:cs="Tahoma"/>
          <w:spacing w:val="-4"/>
          <w:position w:val="-4"/>
          <w:sz w:val="24"/>
          <w:szCs w:val="24"/>
        </w:rPr>
        <w:t xml:space="preserve"> </w:t>
      </w:r>
      <w:r w:rsidRPr="00000790">
        <w:rPr>
          <w:rFonts w:cs="Tahoma"/>
          <w:b/>
          <w:spacing w:val="-4"/>
          <w:position w:val="-4"/>
          <w:sz w:val="24"/>
          <w:szCs w:val="24"/>
        </w:rPr>
        <w:t>Problema jurídico planteado</w:t>
      </w:r>
    </w:p>
    <w:p w14:paraId="764BE6B6" w14:textId="77777777" w:rsidR="00AF2032" w:rsidRPr="00000790" w:rsidRDefault="00AF2032" w:rsidP="00000790">
      <w:pPr>
        <w:spacing w:line="276" w:lineRule="auto"/>
        <w:rPr>
          <w:rFonts w:cs="Tahoma"/>
          <w:sz w:val="24"/>
          <w:szCs w:val="24"/>
        </w:rPr>
      </w:pPr>
    </w:p>
    <w:p w14:paraId="58DEBEF7" w14:textId="20C418E9" w:rsidR="00AF2032" w:rsidRPr="00000790" w:rsidRDefault="00AF2032" w:rsidP="00000790">
      <w:pPr>
        <w:spacing w:line="276" w:lineRule="auto"/>
        <w:rPr>
          <w:rFonts w:cs="Tahoma"/>
          <w:sz w:val="24"/>
          <w:szCs w:val="24"/>
        </w:rPr>
      </w:pPr>
      <w:r w:rsidRPr="00000790">
        <w:rPr>
          <w:rFonts w:cs="Tahoma"/>
          <w:sz w:val="24"/>
          <w:szCs w:val="24"/>
        </w:rPr>
        <w:t xml:space="preserve">Se contrae básicamente a establecer si la determinación adoptada por la juez de instancia se encuentra ajustada a derecho específicamente en lo concerniente con </w:t>
      </w:r>
      <w:r w:rsidR="00B65FCA" w:rsidRPr="00000790">
        <w:rPr>
          <w:rFonts w:cs="Tahoma"/>
          <w:sz w:val="24"/>
          <w:szCs w:val="24"/>
        </w:rPr>
        <w:t xml:space="preserve">la negativa de conceder al procesado </w:t>
      </w:r>
      <w:r w:rsidRPr="00000790">
        <w:rPr>
          <w:rFonts w:cs="Tahoma"/>
          <w:sz w:val="24"/>
          <w:szCs w:val="24"/>
        </w:rPr>
        <w:t xml:space="preserve">el subrogado de la suspensión condicional de la ejecución de la pena y/o el sustituto de la prisión domiciliaria con permiso para trabajar. </w:t>
      </w:r>
    </w:p>
    <w:p w14:paraId="7450E477" w14:textId="77777777" w:rsidR="00A56279" w:rsidRPr="00000790" w:rsidRDefault="00A56279" w:rsidP="00000790">
      <w:pPr>
        <w:widowControl w:val="0"/>
        <w:autoSpaceDE w:val="0"/>
        <w:autoSpaceDN w:val="0"/>
        <w:adjustRightInd w:val="0"/>
        <w:spacing w:line="276" w:lineRule="auto"/>
        <w:rPr>
          <w:rFonts w:cs="Tahoma"/>
          <w:spacing w:val="-4"/>
          <w:position w:val="-4"/>
          <w:sz w:val="24"/>
          <w:szCs w:val="24"/>
        </w:rPr>
      </w:pPr>
    </w:p>
    <w:p w14:paraId="5E59A828" w14:textId="77777777" w:rsidR="00F23026" w:rsidRPr="00000790" w:rsidRDefault="00F23026" w:rsidP="00000790">
      <w:pPr>
        <w:spacing w:line="276" w:lineRule="auto"/>
        <w:rPr>
          <w:rFonts w:cs="Tahoma"/>
          <w:b/>
          <w:spacing w:val="-4"/>
          <w:position w:val="-4"/>
          <w:sz w:val="24"/>
          <w:szCs w:val="24"/>
        </w:rPr>
      </w:pPr>
      <w:r w:rsidRPr="00000790">
        <w:rPr>
          <w:rFonts w:cs="Tahoma"/>
          <w:b/>
          <w:spacing w:val="-4"/>
          <w:position w:val="-4"/>
          <w:sz w:val="24"/>
          <w:szCs w:val="24"/>
        </w:rPr>
        <w:t>3.3.- Solución a la controversia</w:t>
      </w:r>
    </w:p>
    <w:p w14:paraId="3094FB59" w14:textId="77777777" w:rsidR="00D146BD" w:rsidRPr="00000790" w:rsidRDefault="00D146BD" w:rsidP="00000790">
      <w:pPr>
        <w:spacing w:line="276" w:lineRule="auto"/>
        <w:rPr>
          <w:rFonts w:cs="Tahoma"/>
          <w:sz w:val="24"/>
          <w:szCs w:val="24"/>
        </w:rPr>
      </w:pPr>
    </w:p>
    <w:p w14:paraId="1DFD9E74" w14:textId="77777777" w:rsidR="00D146BD" w:rsidRPr="00000790" w:rsidRDefault="00D146BD" w:rsidP="00000790">
      <w:pPr>
        <w:spacing w:line="276" w:lineRule="auto"/>
        <w:rPr>
          <w:rFonts w:cs="Tahoma"/>
          <w:sz w:val="24"/>
          <w:szCs w:val="24"/>
        </w:rPr>
      </w:pPr>
      <w:r w:rsidRPr="00000790">
        <w:rPr>
          <w:rFonts w:cs="Tahoma"/>
          <w:sz w:val="24"/>
          <w:szCs w:val="24"/>
        </w:rPr>
        <w:t xml:space="preserve">Antes de resolver el problema jurídico planteado, debe advertir esta Colegiatura, que </w:t>
      </w:r>
      <w:r w:rsidR="00C70A91" w:rsidRPr="00000790">
        <w:rPr>
          <w:rFonts w:cs="Tahoma"/>
          <w:sz w:val="24"/>
          <w:szCs w:val="24"/>
        </w:rPr>
        <w:t xml:space="preserve">dentro de la actuación </w:t>
      </w:r>
      <w:r w:rsidR="004C1A8D" w:rsidRPr="00000790">
        <w:rPr>
          <w:rFonts w:cs="Tahoma"/>
          <w:sz w:val="24"/>
          <w:szCs w:val="24"/>
        </w:rPr>
        <w:t>surtida</w:t>
      </w:r>
      <w:r w:rsidR="00C70A91" w:rsidRPr="00000790">
        <w:rPr>
          <w:rFonts w:cs="Tahoma"/>
          <w:sz w:val="24"/>
          <w:szCs w:val="24"/>
        </w:rPr>
        <w:t xml:space="preserve"> en el Juzgado de conocimiento, </w:t>
      </w:r>
      <w:r w:rsidRPr="00000790">
        <w:rPr>
          <w:rFonts w:cs="Tahoma"/>
          <w:sz w:val="24"/>
          <w:szCs w:val="24"/>
        </w:rPr>
        <w:t>se avizora una irregularida</w:t>
      </w:r>
      <w:r w:rsidR="00C70A91" w:rsidRPr="00000790">
        <w:rPr>
          <w:rFonts w:cs="Tahoma"/>
          <w:sz w:val="24"/>
          <w:szCs w:val="24"/>
        </w:rPr>
        <w:t xml:space="preserve">d, que en principio, debería </w:t>
      </w:r>
      <w:r w:rsidR="00C11CFB" w:rsidRPr="00000790">
        <w:rPr>
          <w:rFonts w:cs="Tahoma"/>
          <w:sz w:val="24"/>
          <w:szCs w:val="24"/>
        </w:rPr>
        <w:t xml:space="preserve">ser </w:t>
      </w:r>
      <w:r w:rsidR="00C70A91" w:rsidRPr="00000790">
        <w:rPr>
          <w:rFonts w:cs="Tahoma"/>
          <w:sz w:val="24"/>
          <w:szCs w:val="24"/>
        </w:rPr>
        <w:t>considerar</w:t>
      </w:r>
      <w:r w:rsidR="00C11CFB" w:rsidRPr="00000790">
        <w:rPr>
          <w:rFonts w:cs="Tahoma"/>
          <w:sz w:val="24"/>
          <w:szCs w:val="24"/>
        </w:rPr>
        <w:t>a</w:t>
      </w:r>
      <w:r w:rsidR="00C70A91" w:rsidRPr="00000790">
        <w:rPr>
          <w:rFonts w:cs="Tahoma"/>
          <w:sz w:val="24"/>
          <w:szCs w:val="24"/>
        </w:rPr>
        <w:t xml:space="preserve"> insubsanable lo que obligaría </w:t>
      </w:r>
      <w:r w:rsidRPr="00000790">
        <w:rPr>
          <w:rFonts w:cs="Tahoma"/>
          <w:sz w:val="24"/>
          <w:szCs w:val="24"/>
        </w:rPr>
        <w:t xml:space="preserve">a la Sala a retrotraer la actuación a segmentos ya superados; </w:t>
      </w:r>
      <w:r w:rsidR="00C70A91" w:rsidRPr="00000790">
        <w:rPr>
          <w:rFonts w:cs="Tahoma"/>
          <w:sz w:val="24"/>
          <w:szCs w:val="24"/>
        </w:rPr>
        <w:t>sin embargo, atendiendo la línea jurisprudencial vigente de</w:t>
      </w:r>
      <w:r w:rsidR="003B4CE2" w:rsidRPr="00000790">
        <w:rPr>
          <w:rFonts w:cs="Tahoma"/>
          <w:sz w:val="24"/>
          <w:szCs w:val="24"/>
        </w:rPr>
        <w:t>l órgano de cierre en materia penal</w:t>
      </w:r>
      <w:r w:rsidR="00C70A91" w:rsidRPr="00000790">
        <w:rPr>
          <w:rFonts w:cs="Tahoma"/>
          <w:sz w:val="24"/>
          <w:szCs w:val="24"/>
        </w:rPr>
        <w:t>, en virtud de no atentar contra el principio de la -</w:t>
      </w:r>
      <w:r w:rsidR="00C70A91" w:rsidRPr="00000790">
        <w:rPr>
          <w:rFonts w:cs="Tahoma"/>
          <w:i/>
          <w:sz w:val="24"/>
          <w:szCs w:val="24"/>
        </w:rPr>
        <w:t xml:space="preserve">non </w:t>
      </w:r>
      <w:proofErr w:type="spellStart"/>
      <w:r w:rsidR="00C70A91" w:rsidRPr="00000790">
        <w:rPr>
          <w:rFonts w:cs="Tahoma"/>
          <w:i/>
          <w:sz w:val="24"/>
          <w:szCs w:val="24"/>
        </w:rPr>
        <w:t>reformatio</w:t>
      </w:r>
      <w:proofErr w:type="spellEnd"/>
      <w:r w:rsidR="00C70A91" w:rsidRPr="00000790">
        <w:rPr>
          <w:rFonts w:cs="Tahoma"/>
          <w:i/>
          <w:sz w:val="24"/>
          <w:szCs w:val="24"/>
        </w:rPr>
        <w:t xml:space="preserve"> in </w:t>
      </w:r>
      <w:proofErr w:type="spellStart"/>
      <w:r w:rsidR="00C70A91" w:rsidRPr="00000790">
        <w:rPr>
          <w:rFonts w:cs="Tahoma"/>
          <w:i/>
          <w:sz w:val="24"/>
          <w:szCs w:val="24"/>
        </w:rPr>
        <w:t>pejus</w:t>
      </w:r>
      <w:proofErr w:type="spellEnd"/>
      <w:r w:rsidR="00C70A91" w:rsidRPr="00000790">
        <w:rPr>
          <w:rFonts w:cs="Tahoma"/>
          <w:i/>
          <w:sz w:val="24"/>
          <w:szCs w:val="24"/>
        </w:rPr>
        <w:t>-</w:t>
      </w:r>
      <w:r w:rsidR="00C70A91" w:rsidRPr="00000790">
        <w:rPr>
          <w:rFonts w:cs="Tahoma"/>
          <w:sz w:val="24"/>
          <w:szCs w:val="24"/>
        </w:rPr>
        <w:t xml:space="preserve"> y lo dispuesto en el artículo 31 constitucional, esta sala de decisión se abstendrá de hacerlo por </w:t>
      </w:r>
      <w:r w:rsidR="000F50A7" w:rsidRPr="00000790">
        <w:rPr>
          <w:rFonts w:cs="Tahoma"/>
          <w:sz w:val="24"/>
          <w:szCs w:val="24"/>
        </w:rPr>
        <w:t xml:space="preserve">las razones que se exponen a continuación. </w:t>
      </w:r>
      <w:r w:rsidR="00C70A91" w:rsidRPr="00000790">
        <w:rPr>
          <w:rFonts w:cs="Tahoma"/>
          <w:sz w:val="24"/>
          <w:szCs w:val="24"/>
        </w:rPr>
        <w:t xml:space="preserve"> </w:t>
      </w:r>
    </w:p>
    <w:p w14:paraId="25B49219" w14:textId="77777777" w:rsidR="00D146BD" w:rsidRPr="00000790" w:rsidRDefault="00D146BD" w:rsidP="00000790">
      <w:pPr>
        <w:spacing w:line="276" w:lineRule="auto"/>
        <w:rPr>
          <w:rFonts w:cs="Tahoma"/>
          <w:spacing w:val="-4"/>
          <w:position w:val="-4"/>
          <w:sz w:val="24"/>
          <w:szCs w:val="24"/>
        </w:rPr>
      </w:pPr>
    </w:p>
    <w:p w14:paraId="1B558746" w14:textId="734601C4" w:rsidR="005D2699" w:rsidRPr="00000790" w:rsidRDefault="005D2699" w:rsidP="00000790">
      <w:pPr>
        <w:spacing w:line="276" w:lineRule="auto"/>
        <w:rPr>
          <w:rFonts w:cs="Tahoma"/>
          <w:spacing w:val="-4"/>
          <w:position w:val="-4"/>
          <w:sz w:val="24"/>
          <w:szCs w:val="24"/>
        </w:rPr>
      </w:pPr>
      <w:r w:rsidRPr="00000790">
        <w:rPr>
          <w:rFonts w:cs="Tahoma"/>
          <w:spacing w:val="-4"/>
          <w:position w:val="-4"/>
          <w:sz w:val="24"/>
          <w:szCs w:val="24"/>
        </w:rPr>
        <w:t xml:space="preserve">En el presente asunto, se tiene que por hechos ocurridos en julio 15 de 2020, se formuló imputación contra </w:t>
      </w:r>
      <w:r w:rsidR="00FF6C2E">
        <w:rPr>
          <w:rStyle w:val="Numeracinttulo"/>
          <w:rFonts w:cs="Tahoma"/>
          <w:spacing w:val="-4"/>
          <w:position w:val="-4"/>
          <w:szCs w:val="24"/>
        </w:rPr>
        <w:t>MSMV</w:t>
      </w:r>
      <w:r w:rsidRPr="00000790">
        <w:rPr>
          <w:rFonts w:cs="Tahoma"/>
          <w:spacing w:val="-4"/>
          <w:position w:val="-4"/>
          <w:sz w:val="24"/>
          <w:szCs w:val="24"/>
        </w:rPr>
        <w:t xml:space="preserve">, como presunto autor del punible de </w:t>
      </w:r>
      <w:r w:rsidR="00874BA0" w:rsidRPr="00000790">
        <w:rPr>
          <w:rStyle w:val="Numeracinttulo"/>
          <w:rFonts w:cs="Tahoma"/>
          <w:spacing w:val="-4"/>
          <w:position w:val="-4"/>
          <w:szCs w:val="24"/>
        </w:rPr>
        <w:t>ACCESO CARNAL O ACTO SEXUAL ABUSIVO CON INCAPAZ DE RESISTIR</w:t>
      </w:r>
      <w:r w:rsidRPr="00000790">
        <w:rPr>
          <w:rStyle w:val="Numeracinttulo"/>
          <w:rFonts w:cs="Tahoma"/>
          <w:b w:val="0"/>
          <w:spacing w:val="-4"/>
          <w:position w:val="-4"/>
          <w:szCs w:val="24"/>
        </w:rPr>
        <w:t xml:space="preserve"> -art. 210 inciso 2° C.P</w:t>
      </w:r>
      <w:r w:rsidR="006B70B5" w:rsidRPr="00000790">
        <w:rPr>
          <w:rStyle w:val="Numeracinttulo"/>
          <w:rFonts w:cs="Tahoma"/>
          <w:b w:val="0"/>
          <w:spacing w:val="-4"/>
          <w:position w:val="-4"/>
          <w:szCs w:val="24"/>
        </w:rPr>
        <w:t>.</w:t>
      </w:r>
      <w:r w:rsidRPr="00000790">
        <w:rPr>
          <w:rStyle w:val="Numeracinttulo"/>
          <w:rFonts w:cs="Tahoma"/>
          <w:b w:val="0"/>
          <w:spacing w:val="-4"/>
          <w:position w:val="-4"/>
          <w:szCs w:val="24"/>
        </w:rPr>
        <w:t>-</w:t>
      </w:r>
    </w:p>
    <w:p w14:paraId="3B335921" w14:textId="77777777" w:rsidR="005D2699" w:rsidRPr="00000790" w:rsidRDefault="005D2699" w:rsidP="00000790">
      <w:pPr>
        <w:spacing w:line="276" w:lineRule="auto"/>
        <w:rPr>
          <w:rFonts w:cs="Tahoma"/>
          <w:spacing w:val="-4"/>
          <w:position w:val="-4"/>
          <w:sz w:val="24"/>
          <w:szCs w:val="24"/>
        </w:rPr>
      </w:pPr>
    </w:p>
    <w:p w14:paraId="3BEF1284" w14:textId="315E646E" w:rsidR="00E82989" w:rsidRDefault="005D2699" w:rsidP="00000790">
      <w:pPr>
        <w:spacing w:line="276" w:lineRule="auto"/>
        <w:rPr>
          <w:rFonts w:cs="Tahoma"/>
          <w:spacing w:val="-4"/>
          <w:position w:val="-4"/>
          <w:sz w:val="24"/>
          <w:szCs w:val="24"/>
        </w:rPr>
      </w:pPr>
      <w:r w:rsidRPr="00000790">
        <w:rPr>
          <w:rFonts w:cs="Tahoma"/>
          <w:spacing w:val="-4"/>
          <w:position w:val="-4"/>
          <w:sz w:val="24"/>
          <w:szCs w:val="24"/>
        </w:rPr>
        <w:t>Luego de surtidas las etapas procesales correspondientes</w:t>
      </w:r>
      <w:r w:rsidR="00702A49" w:rsidRPr="00000790">
        <w:rPr>
          <w:rFonts w:cs="Tahoma"/>
          <w:spacing w:val="-4"/>
          <w:position w:val="-4"/>
          <w:sz w:val="24"/>
          <w:szCs w:val="24"/>
        </w:rPr>
        <w:t xml:space="preserve"> – audiencia de formulación de acusación y audiencia preparatoria</w:t>
      </w:r>
      <w:r w:rsidR="00C11CFB" w:rsidRPr="00000790">
        <w:rPr>
          <w:rFonts w:cs="Tahoma"/>
          <w:spacing w:val="-4"/>
          <w:position w:val="-4"/>
          <w:sz w:val="24"/>
          <w:szCs w:val="24"/>
        </w:rPr>
        <w:t xml:space="preserve">, una vez </w:t>
      </w:r>
      <w:r w:rsidR="00B24312" w:rsidRPr="00000790">
        <w:rPr>
          <w:rFonts w:cs="Tahoma"/>
          <w:spacing w:val="-4"/>
          <w:position w:val="-4"/>
          <w:sz w:val="24"/>
          <w:szCs w:val="24"/>
        </w:rPr>
        <w:t xml:space="preserve">instalada </w:t>
      </w:r>
      <w:r w:rsidR="00C11CFB" w:rsidRPr="00000790">
        <w:rPr>
          <w:rFonts w:cs="Tahoma"/>
          <w:spacing w:val="-4"/>
          <w:position w:val="-4"/>
          <w:sz w:val="24"/>
          <w:szCs w:val="24"/>
        </w:rPr>
        <w:t xml:space="preserve">la audiencia de juicio oral, </w:t>
      </w:r>
      <w:r w:rsidRPr="00000790">
        <w:rPr>
          <w:rFonts w:cs="Tahoma"/>
          <w:spacing w:val="-4"/>
          <w:position w:val="-4"/>
          <w:sz w:val="24"/>
          <w:szCs w:val="24"/>
        </w:rPr>
        <w:t xml:space="preserve">por parte del delegado del ente instructor se </w:t>
      </w:r>
      <w:r w:rsidR="00C11CFB" w:rsidRPr="00000790">
        <w:rPr>
          <w:rFonts w:cs="Tahoma"/>
          <w:spacing w:val="-4"/>
          <w:position w:val="-4"/>
          <w:sz w:val="24"/>
          <w:szCs w:val="24"/>
        </w:rPr>
        <w:t xml:space="preserve">solicitó variar el objeto de la </w:t>
      </w:r>
      <w:r w:rsidR="00872321" w:rsidRPr="00000790">
        <w:rPr>
          <w:rFonts w:cs="Tahoma"/>
          <w:spacing w:val="-4"/>
          <w:position w:val="-4"/>
          <w:sz w:val="24"/>
          <w:szCs w:val="24"/>
        </w:rPr>
        <w:t>diligencia</w:t>
      </w:r>
      <w:r w:rsidR="00C11CFB" w:rsidRPr="00000790">
        <w:rPr>
          <w:rFonts w:cs="Tahoma"/>
          <w:spacing w:val="-4"/>
          <w:position w:val="-4"/>
          <w:sz w:val="24"/>
          <w:szCs w:val="24"/>
        </w:rPr>
        <w:t xml:space="preserve">, con el fin de dar a conocer los términos de una negociación a la que había llegado con el ciudadano </w:t>
      </w:r>
      <w:r w:rsidR="00FF6C2E">
        <w:rPr>
          <w:rFonts w:cs="Tahoma"/>
          <w:spacing w:val="-4"/>
          <w:position w:val="-4"/>
          <w:sz w:val="24"/>
          <w:szCs w:val="24"/>
        </w:rPr>
        <w:t>MSMV</w:t>
      </w:r>
      <w:r w:rsidR="00C11CFB" w:rsidRPr="00000790">
        <w:rPr>
          <w:rFonts w:cs="Tahoma"/>
          <w:spacing w:val="-4"/>
          <w:position w:val="-4"/>
          <w:sz w:val="24"/>
          <w:szCs w:val="24"/>
        </w:rPr>
        <w:t>, lo que conllevaría a la terminación anticipada del proceso bajo la modalidad de un preacuerdo.</w:t>
      </w:r>
    </w:p>
    <w:p w14:paraId="0D3FAA8D" w14:textId="77777777" w:rsidR="00DD15E1" w:rsidRPr="00000790" w:rsidRDefault="00DD15E1" w:rsidP="00000790">
      <w:pPr>
        <w:spacing w:line="276" w:lineRule="auto"/>
        <w:rPr>
          <w:rFonts w:cs="Tahoma"/>
          <w:spacing w:val="-4"/>
          <w:position w:val="-4"/>
          <w:sz w:val="24"/>
          <w:szCs w:val="24"/>
        </w:rPr>
      </w:pPr>
    </w:p>
    <w:p w14:paraId="4B74D636" w14:textId="7F45149B" w:rsidR="00DB02E9" w:rsidRPr="00000790" w:rsidRDefault="00DB02E9" w:rsidP="00000790">
      <w:pPr>
        <w:widowControl w:val="0"/>
        <w:autoSpaceDE w:val="0"/>
        <w:autoSpaceDN w:val="0"/>
        <w:adjustRightInd w:val="0"/>
        <w:spacing w:line="276" w:lineRule="auto"/>
        <w:rPr>
          <w:rFonts w:cs="Tahoma"/>
          <w:spacing w:val="-4"/>
          <w:position w:val="-4"/>
          <w:sz w:val="24"/>
          <w:szCs w:val="24"/>
        </w:rPr>
      </w:pPr>
      <w:r w:rsidRPr="00000790">
        <w:rPr>
          <w:rFonts w:cs="Tahoma"/>
          <w:spacing w:val="-4"/>
          <w:position w:val="-4"/>
          <w:sz w:val="24"/>
          <w:szCs w:val="24"/>
        </w:rPr>
        <w:lastRenderedPageBreak/>
        <w:t xml:space="preserve">De la verbalización del preacuerdo, se tiene que el mismo fue aceptado de manera libre, voluntaria y consciente por parte del encartado, ofreciéndose por parte de la Fiscalía tipificar la actuación por él desplegada en el </w:t>
      </w:r>
      <w:r w:rsidR="009C0E31" w:rsidRPr="00000790">
        <w:rPr>
          <w:rFonts w:cs="Tahoma"/>
          <w:b/>
          <w:spacing w:val="-4"/>
          <w:position w:val="-4"/>
          <w:sz w:val="24"/>
          <w:szCs w:val="24"/>
        </w:rPr>
        <w:t>Artículo</w:t>
      </w:r>
      <w:r w:rsidRPr="00000790">
        <w:rPr>
          <w:rFonts w:cs="Tahoma"/>
          <w:b/>
          <w:spacing w:val="-4"/>
          <w:position w:val="-4"/>
          <w:sz w:val="24"/>
          <w:szCs w:val="24"/>
        </w:rPr>
        <w:t xml:space="preserve"> 210 A del C.P</w:t>
      </w:r>
      <w:r w:rsidR="00585CB5" w:rsidRPr="00000790">
        <w:rPr>
          <w:rFonts w:cs="Tahoma"/>
          <w:b/>
          <w:spacing w:val="-4"/>
          <w:position w:val="-4"/>
          <w:sz w:val="24"/>
          <w:szCs w:val="24"/>
        </w:rPr>
        <w:t>.</w:t>
      </w:r>
      <w:r w:rsidR="00F80903" w:rsidRPr="00000790">
        <w:rPr>
          <w:rFonts w:cs="Tahoma"/>
          <w:b/>
          <w:spacing w:val="-4"/>
          <w:position w:val="-4"/>
          <w:sz w:val="24"/>
          <w:szCs w:val="24"/>
        </w:rPr>
        <w:t xml:space="preserve"> </w:t>
      </w:r>
      <w:r w:rsidRPr="00000790">
        <w:rPr>
          <w:rFonts w:cs="Tahoma"/>
          <w:b/>
          <w:bCs/>
          <w:spacing w:val="-4"/>
          <w:position w:val="-4"/>
          <w:sz w:val="24"/>
          <w:szCs w:val="24"/>
        </w:rPr>
        <w:t>-Acoso sexual</w:t>
      </w:r>
      <w:r w:rsidR="009C0E31" w:rsidRPr="00000790">
        <w:rPr>
          <w:rFonts w:cs="Tahoma"/>
          <w:b/>
          <w:bCs/>
          <w:spacing w:val="-4"/>
          <w:position w:val="-4"/>
          <w:sz w:val="24"/>
          <w:szCs w:val="24"/>
        </w:rPr>
        <w:t>-,</w:t>
      </w:r>
      <w:r w:rsidR="009C0E31" w:rsidRPr="00000790">
        <w:rPr>
          <w:rFonts w:cs="Tahoma"/>
          <w:spacing w:val="-4"/>
          <w:position w:val="-4"/>
          <w:sz w:val="24"/>
          <w:szCs w:val="24"/>
        </w:rPr>
        <w:t xml:space="preserve"> </w:t>
      </w:r>
      <w:r w:rsidR="003079C5" w:rsidRPr="00000790">
        <w:rPr>
          <w:rFonts w:cs="Tahoma"/>
          <w:spacing w:val="-4"/>
          <w:position w:val="-4"/>
          <w:sz w:val="24"/>
          <w:szCs w:val="24"/>
        </w:rPr>
        <w:t xml:space="preserve">fijando una pena de prisión de 16 meses. Lo anterior, </w:t>
      </w:r>
      <w:r w:rsidR="00B24312" w:rsidRPr="00000790">
        <w:rPr>
          <w:rFonts w:cs="Tahoma"/>
          <w:spacing w:val="-4"/>
          <w:position w:val="-4"/>
          <w:sz w:val="24"/>
          <w:szCs w:val="24"/>
        </w:rPr>
        <w:t>ya que,</w:t>
      </w:r>
      <w:r w:rsidR="003079C5" w:rsidRPr="00000790">
        <w:rPr>
          <w:rFonts w:cs="Tahoma"/>
          <w:spacing w:val="-4"/>
          <w:position w:val="-4"/>
          <w:sz w:val="24"/>
          <w:szCs w:val="24"/>
        </w:rPr>
        <w:t xml:space="preserve"> en su sentir, los actos desplegados por el señor </w:t>
      </w:r>
      <w:r w:rsidR="00FF6C2E">
        <w:rPr>
          <w:rFonts w:cs="Tahoma"/>
          <w:spacing w:val="-4"/>
          <w:position w:val="-4"/>
          <w:sz w:val="24"/>
          <w:szCs w:val="24"/>
        </w:rPr>
        <w:t>MSMV</w:t>
      </w:r>
      <w:r w:rsidR="003079C5" w:rsidRPr="00000790">
        <w:rPr>
          <w:rFonts w:cs="Tahoma"/>
          <w:spacing w:val="-4"/>
          <w:position w:val="-4"/>
          <w:sz w:val="24"/>
          <w:szCs w:val="24"/>
        </w:rPr>
        <w:t>, se enmarca</w:t>
      </w:r>
      <w:r w:rsidR="00074F64" w:rsidRPr="00000790">
        <w:rPr>
          <w:rFonts w:cs="Tahoma"/>
          <w:spacing w:val="-4"/>
          <w:position w:val="-4"/>
          <w:sz w:val="24"/>
          <w:szCs w:val="24"/>
        </w:rPr>
        <w:t>ban</w:t>
      </w:r>
      <w:r w:rsidR="003079C5" w:rsidRPr="00000790">
        <w:rPr>
          <w:rFonts w:cs="Tahoma"/>
          <w:spacing w:val="-4"/>
          <w:position w:val="-4"/>
          <w:sz w:val="24"/>
          <w:szCs w:val="24"/>
        </w:rPr>
        <w:t xml:space="preserve"> dentro de los elementos que conforman la tipificación de este delito. </w:t>
      </w:r>
    </w:p>
    <w:p w14:paraId="5C4AA903" w14:textId="77777777" w:rsidR="003079C5" w:rsidRPr="00000790" w:rsidRDefault="003079C5" w:rsidP="00000790">
      <w:pPr>
        <w:widowControl w:val="0"/>
        <w:autoSpaceDE w:val="0"/>
        <w:autoSpaceDN w:val="0"/>
        <w:adjustRightInd w:val="0"/>
        <w:spacing w:line="276" w:lineRule="auto"/>
        <w:rPr>
          <w:rFonts w:cs="Tahoma"/>
          <w:spacing w:val="-4"/>
          <w:position w:val="-4"/>
          <w:sz w:val="24"/>
          <w:szCs w:val="24"/>
        </w:rPr>
      </w:pPr>
    </w:p>
    <w:p w14:paraId="3742B84C" w14:textId="606800DD" w:rsidR="002A25F9" w:rsidRPr="00000790" w:rsidRDefault="001273CA" w:rsidP="00000790">
      <w:pPr>
        <w:widowControl w:val="0"/>
        <w:autoSpaceDE w:val="0"/>
        <w:autoSpaceDN w:val="0"/>
        <w:adjustRightInd w:val="0"/>
        <w:spacing w:line="276" w:lineRule="auto"/>
        <w:rPr>
          <w:rFonts w:cs="Tahoma"/>
          <w:spacing w:val="-4"/>
          <w:position w:val="-4"/>
          <w:sz w:val="24"/>
          <w:szCs w:val="24"/>
        </w:rPr>
      </w:pPr>
      <w:r w:rsidRPr="00000790">
        <w:rPr>
          <w:rFonts w:cs="Tahoma"/>
          <w:spacing w:val="-4"/>
          <w:position w:val="-4"/>
          <w:sz w:val="24"/>
          <w:szCs w:val="24"/>
        </w:rPr>
        <w:t>La funcionaria de primer grado, consideró que el preacuerdo puesto en consideración de su despacho, se encontraba ajustado al principio de legalidad</w:t>
      </w:r>
      <w:r w:rsidR="00A56177" w:rsidRPr="00000790">
        <w:rPr>
          <w:rFonts w:cs="Tahoma"/>
          <w:spacing w:val="-4"/>
          <w:position w:val="-4"/>
          <w:sz w:val="24"/>
          <w:szCs w:val="24"/>
        </w:rPr>
        <w:t xml:space="preserve">, por lo que </w:t>
      </w:r>
      <w:r w:rsidR="00F95902" w:rsidRPr="00000790">
        <w:rPr>
          <w:rFonts w:cs="Tahoma"/>
          <w:spacing w:val="-4"/>
          <w:position w:val="-4"/>
          <w:sz w:val="24"/>
          <w:szCs w:val="24"/>
        </w:rPr>
        <w:t>decidió</w:t>
      </w:r>
      <w:r w:rsidR="00A56177" w:rsidRPr="00000790">
        <w:rPr>
          <w:rFonts w:cs="Tahoma"/>
          <w:spacing w:val="-4"/>
          <w:position w:val="-4"/>
          <w:sz w:val="24"/>
          <w:szCs w:val="24"/>
        </w:rPr>
        <w:t xml:space="preserve"> impartirle aprobación,</w:t>
      </w:r>
      <w:r w:rsidR="00F95902" w:rsidRPr="00000790">
        <w:rPr>
          <w:rFonts w:cs="Tahoma"/>
          <w:spacing w:val="-4"/>
          <w:position w:val="-4"/>
          <w:sz w:val="24"/>
          <w:szCs w:val="24"/>
        </w:rPr>
        <w:t xml:space="preserve"> condenando al señor </w:t>
      </w:r>
      <w:r w:rsidR="00E678CF">
        <w:rPr>
          <w:rFonts w:cs="Tahoma"/>
          <w:spacing w:val="-4"/>
          <w:position w:val="-4"/>
          <w:sz w:val="24"/>
          <w:szCs w:val="24"/>
        </w:rPr>
        <w:t>MSMV</w:t>
      </w:r>
      <w:r w:rsidR="00F95902" w:rsidRPr="00000790">
        <w:rPr>
          <w:rFonts w:cs="Tahoma"/>
          <w:spacing w:val="-4"/>
          <w:position w:val="-4"/>
          <w:sz w:val="24"/>
          <w:szCs w:val="24"/>
        </w:rPr>
        <w:t xml:space="preserve"> a título de autor, </w:t>
      </w:r>
      <w:r w:rsidR="00F95902" w:rsidRPr="00000790">
        <w:rPr>
          <w:rFonts w:cs="Tahoma"/>
          <w:b/>
          <w:spacing w:val="-4"/>
          <w:position w:val="-4"/>
          <w:sz w:val="24"/>
          <w:szCs w:val="24"/>
        </w:rPr>
        <w:t xml:space="preserve">como responsable del delito de </w:t>
      </w:r>
      <w:r w:rsidR="00B436DC" w:rsidRPr="00000790">
        <w:rPr>
          <w:rFonts w:cs="Tahoma"/>
          <w:b/>
          <w:spacing w:val="-4"/>
          <w:position w:val="-4"/>
          <w:sz w:val="24"/>
          <w:szCs w:val="24"/>
        </w:rPr>
        <w:t>a</w:t>
      </w:r>
      <w:r w:rsidR="00F95902" w:rsidRPr="00000790">
        <w:rPr>
          <w:rFonts w:cs="Tahoma"/>
          <w:b/>
          <w:spacing w:val="-4"/>
          <w:position w:val="-4"/>
          <w:sz w:val="24"/>
          <w:szCs w:val="24"/>
        </w:rPr>
        <w:t>coso sexual</w:t>
      </w:r>
      <w:r w:rsidR="00F95902" w:rsidRPr="00000790">
        <w:rPr>
          <w:rStyle w:val="Refdenotaalpie"/>
          <w:rFonts w:ascii="Tahoma" w:hAnsi="Tahoma" w:cs="Tahoma"/>
          <w:spacing w:val="-4"/>
          <w:position w:val="-4"/>
          <w:sz w:val="24"/>
          <w:szCs w:val="24"/>
        </w:rPr>
        <w:footnoteReference w:id="3"/>
      </w:r>
      <w:r w:rsidR="00F95902" w:rsidRPr="00000790">
        <w:rPr>
          <w:rFonts w:cs="Tahoma"/>
          <w:spacing w:val="-4"/>
          <w:position w:val="-4"/>
          <w:sz w:val="24"/>
          <w:szCs w:val="24"/>
        </w:rPr>
        <w:t>, a la pena principal de dieciséis (16) meses de prisión</w:t>
      </w:r>
      <w:r w:rsidR="00B8019E" w:rsidRPr="00000790">
        <w:rPr>
          <w:rFonts w:cs="Tahoma"/>
          <w:spacing w:val="-4"/>
          <w:position w:val="-4"/>
          <w:sz w:val="24"/>
          <w:szCs w:val="24"/>
        </w:rPr>
        <w:t>;</w:t>
      </w:r>
      <w:r w:rsidR="00F95902" w:rsidRPr="00000790">
        <w:rPr>
          <w:rFonts w:cs="Tahoma"/>
          <w:spacing w:val="-4"/>
          <w:position w:val="-4"/>
          <w:sz w:val="24"/>
          <w:szCs w:val="24"/>
        </w:rPr>
        <w:t xml:space="preserve"> situación que desde ahora</w:t>
      </w:r>
      <w:r w:rsidR="00F13C04" w:rsidRPr="00000790">
        <w:rPr>
          <w:rFonts w:cs="Tahoma"/>
          <w:spacing w:val="-4"/>
          <w:position w:val="-4"/>
          <w:sz w:val="24"/>
          <w:szCs w:val="24"/>
        </w:rPr>
        <w:t xml:space="preserve"> es</w:t>
      </w:r>
      <w:r w:rsidR="00FD1528" w:rsidRPr="00000790">
        <w:rPr>
          <w:rFonts w:cs="Tahoma"/>
          <w:spacing w:val="-4"/>
          <w:position w:val="-4"/>
          <w:sz w:val="24"/>
          <w:szCs w:val="24"/>
        </w:rPr>
        <w:t xml:space="preserve"> objeto de </w:t>
      </w:r>
      <w:r w:rsidR="00F95902" w:rsidRPr="00000790">
        <w:rPr>
          <w:rFonts w:cs="Tahoma"/>
          <w:spacing w:val="-4"/>
          <w:position w:val="-4"/>
          <w:sz w:val="24"/>
          <w:szCs w:val="24"/>
        </w:rPr>
        <w:t>reproch</w:t>
      </w:r>
      <w:r w:rsidR="00FD1528" w:rsidRPr="00000790">
        <w:rPr>
          <w:rFonts w:cs="Tahoma"/>
          <w:spacing w:val="-4"/>
          <w:position w:val="-4"/>
          <w:sz w:val="24"/>
          <w:szCs w:val="24"/>
        </w:rPr>
        <w:t>e por parte</w:t>
      </w:r>
      <w:r w:rsidR="00F95902" w:rsidRPr="00000790">
        <w:rPr>
          <w:rFonts w:cs="Tahoma"/>
          <w:spacing w:val="-4"/>
          <w:position w:val="-4"/>
          <w:sz w:val="24"/>
          <w:szCs w:val="24"/>
        </w:rPr>
        <w:t xml:space="preserve"> esta Sala</w:t>
      </w:r>
      <w:r w:rsidR="00FD1528" w:rsidRPr="00000790">
        <w:rPr>
          <w:rFonts w:cs="Tahoma"/>
          <w:spacing w:val="-4"/>
          <w:position w:val="-4"/>
          <w:sz w:val="24"/>
          <w:szCs w:val="24"/>
        </w:rPr>
        <w:t>.</w:t>
      </w:r>
      <w:r w:rsidR="00F95902" w:rsidRPr="00000790">
        <w:rPr>
          <w:rFonts w:cs="Tahoma"/>
          <w:spacing w:val="-4"/>
          <w:position w:val="-4"/>
          <w:sz w:val="24"/>
          <w:szCs w:val="24"/>
        </w:rPr>
        <w:t xml:space="preserve"> </w:t>
      </w:r>
    </w:p>
    <w:p w14:paraId="15A51E25" w14:textId="77777777" w:rsidR="005B0EC6" w:rsidRPr="00000790" w:rsidRDefault="005B0EC6" w:rsidP="00000790">
      <w:pPr>
        <w:widowControl w:val="0"/>
        <w:autoSpaceDE w:val="0"/>
        <w:autoSpaceDN w:val="0"/>
        <w:adjustRightInd w:val="0"/>
        <w:spacing w:line="276" w:lineRule="auto"/>
        <w:rPr>
          <w:rFonts w:cs="Tahoma"/>
          <w:spacing w:val="-4"/>
          <w:position w:val="-4"/>
          <w:sz w:val="24"/>
          <w:szCs w:val="24"/>
        </w:rPr>
      </w:pPr>
    </w:p>
    <w:p w14:paraId="7A821F72" w14:textId="77777777" w:rsidR="003079C5" w:rsidRPr="00000790" w:rsidRDefault="003079C5" w:rsidP="00000790">
      <w:pPr>
        <w:widowControl w:val="0"/>
        <w:autoSpaceDE w:val="0"/>
        <w:autoSpaceDN w:val="0"/>
        <w:adjustRightInd w:val="0"/>
        <w:spacing w:line="276" w:lineRule="auto"/>
        <w:rPr>
          <w:rFonts w:cs="Tahoma"/>
          <w:spacing w:val="-4"/>
          <w:position w:val="-4"/>
          <w:sz w:val="24"/>
          <w:szCs w:val="24"/>
        </w:rPr>
      </w:pPr>
      <w:r w:rsidRPr="00000790">
        <w:rPr>
          <w:rFonts w:cs="Tahoma"/>
          <w:spacing w:val="-4"/>
          <w:position w:val="-4"/>
          <w:sz w:val="24"/>
          <w:szCs w:val="24"/>
        </w:rPr>
        <w:t xml:space="preserve">Como es sabido, la figura de las negociaciones </w:t>
      </w:r>
      <w:proofErr w:type="spellStart"/>
      <w:r w:rsidRPr="00000790">
        <w:rPr>
          <w:rFonts w:cs="Tahoma"/>
          <w:spacing w:val="-4"/>
          <w:position w:val="-4"/>
          <w:sz w:val="24"/>
          <w:szCs w:val="24"/>
        </w:rPr>
        <w:t>preacordadas</w:t>
      </w:r>
      <w:proofErr w:type="spellEnd"/>
      <w:r w:rsidRPr="00000790">
        <w:rPr>
          <w:rFonts w:cs="Tahoma"/>
          <w:spacing w:val="-4"/>
          <w:position w:val="-4"/>
          <w:sz w:val="24"/>
          <w:szCs w:val="24"/>
        </w:rPr>
        <w:t xml:space="preserve"> y su control por parte del juez, como así lo ha referido el órgano de cierre en materia penal</w:t>
      </w:r>
      <w:r w:rsidRPr="00000790">
        <w:rPr>
          <w:rFonts w:cs="Tahoma"/>
          <w:spacing w:val="-4"/>
          <w:position w:val="-4"/>
          <w:sz w:val="24"/>
          <w:szCs w:val="24"/>
          <w:vertAlign w:val="superscript"/>
        </w:rPr>
        <w:footnoteReference w:id="4"/>
      </w:r>
      <w:r w:rsidRPr="00000790">
        <w:rPr>
          <w:rFonts w:cs="Tahoma"/>
          <w:spacing w:val="-4"/>
          <w:position w:val="-4"/>
          <w:sz w:val="24"/>
          <w:szCs w:val="24"/>
        </w:rPr>
        <w:t>, fue prevista con la finalidad de humanizar la actuación procesal y la pena, obtener pronta y cumplida justicia, activar la solución de los conflictos sociales que genera el delito, propiciar la reparación integral de los perjuicios ocasionados con el injusto, y lograr la participación del imputado en la definición de su caso. Por tanto, la Fiscalía y el imputado o acusado poden llegar a transacciones que impliquen la terminación del trámite a voces del artículo 348 CPP.</w:t>
      </w:r>
    </w:p>
    <w:p w14:paraId="6CFD467B" w14:textId="77777777" w:rsidR="003079C5" w:rsidRPr="00000790" w:rsidRDefault="003079C5" w:rsidP="00000790">
      <w:pPr>
        <w:spacing w:line="276" w:lineRule="auto"/>
        <w:rPr>
          <w:rFonts w:cs="Tahoma"/>
          <w:spacing w:val="-4"/>
          <w:position w:val="-4"/>
          <w:sz w:val="24"/>
          <w:szCs w:val="24"/>
        </w:rPr>
      </w:pPr>
    </w:p>
    <w:p w14:paraId="4B85D671" w14:textId="77777777" w:rsidR="002A25F9" w:rsidRPr="00000790" w:rsidRDefault="002A25F9" w:rsidP="00000790">
      <w:pPr>
        <w:spacing w:line="276" w:lineRule="auto"/>
        <w:rPr>
          <w:rFonts w:cs="Tahoma"/>
          <w:spacing w:val="-4"/>
          <w:position w:val="-4"/>
          <w:sz w:val="24"/>
          <w:szCs w:val="24"/>
        </w:rPr>
      </w:pPr>
      <w:r w:rsidRPr="00000790">
        <w:rPr>
          <w:rFonts w:cs="Tahoma"/>
          <w:spacing w:val="-4"/>
          <w:position w:val="-4"/>
          <w:sz w:val="24"/>
          <w:szCs w:val="24"/>
        </w:rPr>
        <w:t>En cuanto a ese control que debe ejercer el juez, como de tiempo atrás lo ha sostenido esta Corporación</w:t>
      </w:r>
      <w:r w:rsidRPr="00000790">
        <w:rPr>
          <w:rFonts w:cs="Tahoma"/>
          <w:spacing w:val="-4"/>
          <w:position w:val="-4"/>
          <w:sz w:val="24"/>
          <w:szCs w:val="24"/>
          <w:vertAlign w:val="superscript"/>
        </w:rPr>
        <w:footnoteReference w:id="5"/>
      </w:r>
      <w:r w:rsidRPr="00000790">
        <w:rPr>
          <w:rFonts w:cs="Tahoma"/>
          <w:spacing w:val="-4"/>
          <w:position w:val="-4"/>
          <w:sz w:val="24"/>
          <w:szCs w:val="24"/>
        </w:rPr>
        <w:t xml:space="preserve">, es claro que el funcionario de conocimiento no se debe entrometer de fondo en la imputación y en la acusación, como quiera que hay lugar a respetar la autonomía que la Fiscalía posee en tal sentido por disposición legal y constitucional; sin embargo, </w:t>
      </w:r>
      <w:r w:rsidRPr="00000790">
        <w:rPr>
          <w:rFonts w:cs="Tahoma"/>
          <w:b/>
          <w:spacing w:val="-4"/>
          <w:position w:val="-4"/>
          <w:sz w:val="24"/>
          <w:szCs w:val="24"/>
        </w:rPr>
        <w:t>para el tema de los preacuerdos el juez sí está obligado a efectuar un control material en cuanto no basta con analizar si fue libre, voluntario y debidamente asistido, porque existen multiplicidad de factores que se enmarcan dentro del principio de legalidad y que no pueden pasar desapercibidos al momento de su aprobación</w:t>
      </w:r>
      <w:r w:rsidRPr="00000790">
        <w:rPr>
          <w:rFonts w:cs="Tahoma"/>
          <w:spacing w:val="-4"/>
          <w:position w:val="-4"/>
          <w:sz w:val="24"/>
          <w:szCs w:val="24"/>
        </w:rPr>
        <w:t>. Dígase por caso los principios de congruencia, razonabilidad y proporcionalidad, en consideración a que el juez está en la obligación de verificar que la negociación cumpla con los fines para los cuales fue creada con miras a la autocomposición de los conflictos, incluidos por supuestos los intereses de las víctimas.</w:t>
      </w:r>
    </w:p>
    <w:p w14:paraId="68808D55" w14:textId="77777777" w:rsidR="00DB02E9" w:rsidRPr="00000790" w:rsidRDefault="00DB02E9" w:rsidP="00000790">
      <w:pPr>
        <w:spacing w:line="276" w:lineRule="auto"/>
        <w:rPr>
          <w:rFonts w:cs="Tahoma"/>
          <w:spacing w:val="-4"/>
          <w:position w:val="-4"/>
          <w:sz w:val="24"/>
          <w:szCs w:val="24"/>
        </w:rPr>
      </w:pPr>
    </w:p>
    <w:p w14:paraId="26BADF61" w14:textId="77777777" w:rsidR="003C300C" w:rsidRPr="00000790" w:rsidRDefault="00575F73" w:rsidP="00000790">
      <w:pPr>
        <w:spacing w:line="276" w:lineRule="auto"/>
        <w:rPr>
          <w:rFonts w:cs="Tahoma"/>
          <w:spacing w:val="-4"/>
          <w:position w:val="-4"/>
          <w:sz w:val="24"/>
          <w:szCs w:val="24"/>
          <w:lang w:val="es-CO" w:eastAsia="es-ES_tradnl"/>
        </w:rPr>
      </w:pPr>
      <w:r w:rsidRPr="00000790">
        <w:rPr>
          <w:rFonts w:cs="Tahoma"/>
          <w:spacing w:val="-4"/>
          <w:position w:val="-4"/>
          <w:sz w:val="24"/>
          <w:szCs w:val="24"/>
          <w:lang w:val="es-CO" w:eastAsia="es-ES_tradnl"/>
        </w:rPr>
        <w:t>Como se recordará, la Corte Constitucional en decisión SU-479/19 precisó las facultades que tiene el funcionario de conocimiento para realizar un control material a los preacuerdos que son puestos a su consideración, en claro acatamiento a lo que la Corte Constitucional denominó como “</w:t>
      </w:r>
      <w:r w:rsidRPr="00326075">
        <w:rPr>
          <w:rFonts w:cs="Tahoma"/>
          <w:spacing w:val="-4"/>
          <w:position w:val="-4"/>
          <w:sz w:val="22"/>
          <w:szCs w:val="24"/>
          <w:lang w:val="es-CO" w:eastAsia="es-ES_tradnl"/>
        </w:rPr>
        <w:t>la segunda postura de la Sala Penal de la Corte Suprema de Justicia sobre la materia</w:t>
      </w:r>
      <w:r w:rsidRPr="00000790">
        <w:rPr>
          <w:rFonts w:cs="Tahoma"/>
          <w:spacing w:val="-4"/>
          <w:position w:val="-4"/>
          <w:sz w:val="24"/>
          <w:szCs w:val="24"/>
          <w:lang w:val="es-CO" w:eastAsia="es-ES_tradnl"/>
        </w:rPr>
        <w:t xml:space="preserve">”, en la cual dijo que </w:t>
      </w:r>
      <w:r w:rsidRPr="00000790">
        <w:rPr>
          <w:rFonts w:cs="Tahoma"/>
          <w:b/>
          <w:spacing w:val="-4"/>
          <w:position w:val="-4"/>
          <w:sz w:val="24"/>
          <w:szCs w:val="24"/>
          <w:lang w:val="es-CO" w:eastAsia="es-ES_tradnl"/>
        </w:rPr>
        <w:t>los fiscales no podían disponer de la acción penal a su antojo y que los preacuerdos estaban sometidos al principio de legalidad</w:t>
      </w:r>
      <w:r w:rsidRPr="00000790">
        <w:rPr>
          <w:rFonts w:cs="Tahoma"/>
          <w:spacing w:val="-4"/>
          <w:position w:val="-4"/>
          <w:sz w:val="24"/>
          <w:szCs w:val="24"/>
          <w:lang w:val="es-CO" w:eastAsia="es-ES_tradnl"/>
        </w:rPr>
        <w:t xml:space="preserve">. </w:t>
      </w:r>
      <w:r w:rsidR="003C300C" w:rsidRPr="00000790">
        <w:rPr>
          <w:rFonts w:cs="Tahoma"/>
          <w:spacing w:val="-4"/>
          <w:position w:val="-4"/>
          <w:sz w:val="24"/>
          <w:szCs w:val="24"/>
          <w:lang w:val="es-CO" w:eastAsia="es-ES_tradnl"/>
        </w:rPr>
        <w:t xml:space="preserve">Asimismo, </w:t>
      </w:r>
      <w:r w:rsidR="00EF5556" w:rsidRPr="00000790">
        <w:rPr>
          <w:rFonts w:cs="Tahoma"/>
          <w:spacing w:val="-4"/>
          <w:position w:val="-4"/>
          <w:sz w:val="24"/>
          <w:szCs w:val="24"/>
          <w:lang w:val="es-CO" w:eastAsia="es-ES_tradnl"/>
        </w:rPr>
        <w:t xml:space="preserve">señaló </w:t>
      </w:r>
      <w:r w:rsidR="00451E79" w:rsidRPr="00000790">
        <w:rPr>
          <w:rFonts w:cs="Tahoma"/>
          <w:b/>
          <w:spacing w:val="-4"/>
          <w:position w:val="-4"/>
          <w:sz w:val="24"/>
          <w:szCs w:val="24"/>
          <w:lang w:val="es-CO" w:eastAsia="es-ES_tradnl"/>
        </w:rPr>
        <w:t xml:space="preserve">que los jueces, ante una terminación anticipada del proceso, están obligados a verificar los presupuestos establecidos en el ordenamiento </w:t>
      </w:r>
      <w:r w:rsidR="00451E79" w:rsidRPr="00000790">
        <w:rPr>
          <w:rFonts w:cs="Tahoma"/>
          <w:b/>
          <w:spacing w:val="-4"/>
          <w:position w:val="-4"/>
          <w:sz w:val="24"/>
          <w:szCs w:val="24"/>
          <w:lang w:val="es-CO" w:eastAsia="es-ES_tradnl"/>
        </w:rPr>
        <w:lastRenderedPageBreak/>
        <w:t>jurídico para emitir condena, lo que incluye la verificación del estándar previsto en el artículo 327 de la Ley 906 de 2004</w:t>
      </w:r>
      <w:r w:rsidR="00451E79" w:rsidRPr="00000790">
        <w:rPr>
          <w:rFonts w:cs="Tahoma"/>
          <w:spacing w:val="-4"/>
          <w:position w:val="-4"/>
          <w:sz w:val="24"/>
          <w:szCs w:val="24"/>
          <w:lang w:val="es-CO" w:eastAsia="es-ES_tradnl"/>
        </w:rPr>
        <w:t xml:space="preserve">, aun cuando no sea materia de impugnación ni esté ligado a los temas de inconformidad -CSJ SP, 16 de diciembre de 2015, Rad. 38957, reiterada en CSJ SP1961 – 2019-. Esto, debido a que deben asegurarse de que: i) </w:t>
      </w:r>
      <w:r w:rsidR="00451E79" w:rsidRPr="00000790">
        <w:rPr>
          <w:rFonts w:cs="Tahoma"/>
          <w:b/>
          <w:spacing w:val="-4"/>
          <w:position w:val="-4"/>
          <w:sz w:val="24"/>
          <w:szCs w:val="24"/>
          <w:lang w:val="es-CO" w:eastAsia="es-ES_tradnl"/>
        </w:rPr>
        <w:t>No haya un cambio de calificación jurídica sin base fáctica, para conceder beneficios desproporcionados;</w:t>
      </w:r>
      <w:r w:rsidR="00451E79" w:rsidRPr="00000790">
        <w:rPr>
          <w:rFonts w:cs="Tahoma"/>
          <w:spacing w:val="-4"/>
          <w:position w:val="-4"/>
          <w:sz w:val="24"/>
          <w:szCs w:val="24"/>
          <w:lang w:val="es-CO" w:eastAsia="es-ES_tradnl"/>
        </w:rPr>
        <w:t xml:space="preserve"> ii) Los acuerdos se ajusten al marco constitucional y, puntualmente, a los principios que los inspiran; y iii) Que los fiscales se guíen por las directivas emitidas por la Fiscalía General de la Nación.</w:t>
      </w:r>
    </w:p>
    <w:p w14:paraId="6A185C7C" w14:textId="77777777" w:rsidR="00451E79" w:rsidRPr="00000790" w:rsidRDefault="00451E79" w:rsidP="00000790">
      <w:pPr>
        <w:spacing w:line="276" w:lineRule="auto"/>
        <w:rPr>
          <w:rFonts w:cs="Tahoma"/>
          <w:spacing w:val="-4"/>
          <w:position w:val="-4"/>
          <w:sz w:val="24"/>
          <w:szCs w:val="24"/>
          <w:lang w:val="es-CO" w:eastAsia="es-ES_tradnl"/>
        </w:rPr>
      </w:pPr>
    </w:p>
    <w:p w14:paraId="43A0EF7E" w14:textId="77777777" w:rsidR="00575F73" w:rsidRPr="00000790" w:rsidRDefault="00575F73" w:rsidP="00000790">
      <w:pPr>
        <w:spacing w:line="276" w:lineRule="auto"/>
        <w:rPr>
          <w:rFonts w:cs="Tahoma"/>
          <w:spacing w:val="-4"/>
          <w:position w:val="-4"/>
          <w:sz w:val="24"/>
          <w:szCs w:val="24"/>
          <w:lang w:val="es-CO" w:eastAsia="es-ES_tradnl"/>
        </w:rPr>
      </w:pPr>
      <w:r w:rsidRPr="00000790">
        <w:rPr>
          <w:rFonts w:cs="Tahoma"/>
          <w:spacing w:val="-4"/>
          <w:position w:val="-4"/>
          <w:sz w:val="24"/>
          <w:szCs w:val="24"/>
          <w:lang w:val="es-CO" w:eastAsia="es-ES_tradnl"/>
        </w:rPr>
        <w:t xml:space="preserve">Dicho lo anterior, debemos recordar </w:t>
      </w:r>
      <w:r w:rsidR="0096051E" w:rsidRPr="00000790">
        <w:rPr>
          <w:rFonts w:cs="Tahoma"/>
          <w:spacing w:val="-4"/>
          <w:position w:val="-4"/>
          <w:sz w:val="24"/>
          <w:szCs w:val="24"/>
          <w:lang w:val="es-CO" w:eastAsia="es-ES_tradnl"/>
        </w:rPr>
        <w:t xml:space="preserve">también </w:t>
      </w:r>
      <w:r w:rsidRPr="00000790">
        <w:rPr>
          <w:rFonts w:cs="Tahoma"/>
          <w:spacing w:val="-4"/>
          <w:position w:val="-4"/>
          <w:sz w:val="24"/>
          <w:szCs w:val="24"/>
          <w:lang w:val="es-CO" w:eastAsia="es-ES_tradnl"/>
        </w:rPr>
        <w:t xml:space="preserve">que de acuerdo con las disposiciones de la Ley 906/04 sobre preacuerdos, el fiscal puede optar por alguna de las siguientes alternativas: (i) conceder un descuento de la pena según la etapa en la que se encuentre el proceso; (ii) eliminar un cargo específico; (iii) eliminar una causal de agravación; y (iv) tipificar la conducta de una manera más benévola. </w:t>
      </w:r>
    </w:p>
    <w:p w14:paraId="10108493" w14:textId="77777777" w:rsidR="00575F73" w:rsidRPr="00000790" w:rsidRDefault="00575F73" w:rsidP="00000790">
      <w:pPr>
        <w:spacing w:line="276" w:lineRule="auto"/>
        <w:rPr>
          <w:rFonts w:cs="Tahoma"/>
          <w:spacing w:val="-4"/>
          <w:position w:val="-4"/>
          <w:sz w:val="24"/>
          <w:szCs w:val="24"/>
          <w:lang w:val="es-CO" w:eastAsia="es-ES_tradnl"/>
        </w:rPr>
      </w:pPr>
    </w:p>
    <w:p w14:paraId="64BAC009" w14:textId="7E25C097" w:rsidR="00E82989" w:rsidRPr="00000790" w:rsidRDefault="00EF5556" w:rsidP="00000790">
      <w:pPr>
        <w:spacing w:line="276" w:lineRule="auto"/>
        <w:rPr>
          <w:rFonts w:cs="Tahoma"/>
          <w:i/>
          <w:iCs/>
          <w:spacing w:val="-4"/>
          <w:position w:val="-4"/>
          <w:sz w:val="24"/>
          <w:szCs w:val="24"/>
        </w:rPr>
      </w:pPr>
      <w:r w:rsidRPr="00000790">
        <w:rPr>
          <w:rFonts w:cs="Tahoma"/>
          <w:spacing w:val="-4"/>
          <w:position w:val="-4"/>
          <w:sz w:val="24"/>
          <w:szCs w:val="24"/>
        </w:rPr>
        <w:t xml:space="preserve">Sin embargo, descendiendo al caso concreto, se observa que </w:t>
      </w:r>
      <w:r w:rsidR="006C17D3" w:rsidRPr="00000790">
        <w:rPr>
          <w:rFonts w:cs="Tahoma"/>
          <w:spacing w:val="-4"/>
          <w:position w:val="-4"/>
          <w:sz w:val="24"/>
          <w:szCs w:val="24"/>
        </w:rPr>
        <w:t xml:space="preserve">ni las facultades con las que cuenta el funcionario judicial para verificar el cumplimento de los presupuestos establecidos en el ordenamiento jurídico para emitir una sentencia condenatoria ni las disposiciones normativas exigidas para el titular de la </w:t>
      </w:r>
      <w:r w:rsidR="00630D7D" w:rsidRPr="00000790">
        <w:rPr>
          <w:rFonts w:cs="Tahoma"/>
          <w:spacing w:val="-4"/>
          <w:position w:val="-4"/>
          <w:sz w:val="24"/>
          <w:szCs w:val="24"/>
        </w:rPr>
        <w:t>acción</w:t>
      </w:r>
      <w:r w:rsidR="006C17D3" w:rsidRPr="00000790">
        <w:rPr>
          <w:rFonts w:cs="Tahoma"/>
          <w:spacing w:val="-4"/>
          <w:position w:val="-4"/>
          <w:sz w:val="24"/>
          <w:szCs w:val="24"/>
        </w:rPr>
        <w:t xml:space="preserve"> penal en materia de</w:t>
      </w:r>
      <w:r w:rsidR="00630D7D" w:rsidRPr="00000790">
        <w:rPr>
          <w:rFonts w:cs="Tahoma"/>
          <w:spacing w:val="-4"/>
          <w:position w:val="-4"/>
          <w:sz w:val="24"/>
          <w:szCs w:val="24"/>
        </w:rPr>
        <w:t xml:space="preserve"> preacuerdos</w:t>
      </w:r>
      <w:r w:rsidR="006C17D3" w:rsidRPr="00000790">
        <w:rPr>
          <w:rFonts w:cs="Tahoma"/>
          <w:spacing w:val="-4"/>
          <w:position w:val="-4"/>
          <w:sz w:val="24"/>
          <w:szCs w:val="24"/>
        </w:rPr>
        <w:t xml:space="preserve">, </w:t>
      </w:r>
      <w:r w:rsidR="00630D7D" w:rsidRPr="00000790">
        <w:rPr>
          <w:rFonts w:cs="Tahoma"/>
          <w:spacing w:val="-4"/>
          <w:position w:val="-4"/>
          <w:sz w:val="24"/>
          <w:szCs w:val="24"/>
        </w:rPr>
        <w:t>fueron</w:t>
      </w:r>
      <w:r w:rsidR="006C17D3" w:rsidRPr="00000790">
        <w:rPr>
          <w:rFonts w:cs="Tahoma"/>
          <w:spacing w:val="-4"/>
          <w:position w:val="-4"/>
          <w:sz w:val="24"/>
          <w:szCs w:val="24"/>
        </w:rPr>
        <w:t xml:space="preserve"> tenidas en cuenta en la actuación surtida</w:t>
      </w:r>
      <w:r w:rsidR="00630D7D" w:rsidRPr="00000790">
        <w:rPr>
          <w:rFonts w:cs="Tahoma"/>
          <w:spacing w:val="-4"/>
          <w:position w:val="-4"/>
          <w:sz w:val="24"/>
          <w:szCs w:val="24"/>
        </w:rPr>
        <w:t xml:space="preserve"> en primera instancia</w:t>
      </w:r>
      <w:r w:rsidR="00B24312" w:rsidRPr="00000790">
        <w:rPr>
          <w:rFonts w:cs="Tahoma"/>
          <w:spacing w:val="-4"/>
          <w:position w:val="-4"/>
          <w:sz w:val="24"/>
          <w:szCs w:val="24"/>
        </w:rPr>
        <w:t xml:space="preserve">. Obsérvese, como </w:t>
      </w:r>
      <w:r w:rsidR="00630D7D" w:rsidRPr="00000790">
        <w:rPr>
          <w:rFonts w:cs="Tahoma"/>
          <w:spacing w:val="-4"/>
          <w:position w:val="-4"/>
          <w:sz w:val="24"/>
          <w:szCs w:val="24"/>
        </w:rPr>
        <w:t xml:space="preserve">el delegado fiscal, a la hora de dar a conocer los términos de la negociación, de manera </w:t>
      </w:r>
      <w:r w:rsidR="006E75C9" w:rsidRPr="00000790">
        <w:rPr>
          <w:rFonts w:cs="Tahoma"/>
          <w:spacing w:val="-4"/>
          <w:position w:val="-4"/>
          <w:sz w:val="24"/>
          <w:szCs w:val="24"/>
        </w:rPr>
        <w:t>muy placida, luego de dar lectura del contenido del Artículo 210A C.P</w:t>
      </w:r>
      <w:r w:rsidR="00585CB5" w:rsidRPr="00000790">
        <w:rPr>
          <w:rFonts w:cs="Tahoma"/>
          <w:spacing w:val="-4"/>
          <w:position w:val="-4"/>
          <w:sz w:val="24"/>
          <w:szCs w:val="24"/>
        </w:rPr>
        <w:t>.</w:t>
      </w:r>
      <w:r w:rsidR="006E75C9" w:rsidRPr="00000790">
        <w:rPr>
          <w:rFonts w:cs="Tahoma"/>
          <w:spacing w:val="-4"/>
          <w:position w:val="-4"/>
          <w:sz w:val="24"/>
          <w:szCs w:val="24"/>
        </w:rPr>
        <w:t xml:space="preserve"> </w:t>
      </w:r>
      <w:r w:rsidR="00585CB5" w:rsidRPr="00000790">
        <w:rPr>
          <w:rFonts w:cs="Tahoma"/>
          <w:spacing w:val="-4"/>
          <w:position w:val="-4"/>
          <w:sz w:val="24"/>
          <w:szCs w:val="24"/>
        </w:rPr>
        <w:t>-</w:t>
      </w:r>
      <w:r w:rsidR="006E75C9" w:rsidRPr="00000790">
        <w:rPr>
          <w:rFonts w:cs="Tahoma"/>
          <w:spacing w:val="-4"/>
          <w:position w:val="-4"/>
          <w:sz w:val="24"/>
          <w:szCs w:val="24"/>
        </w:rPr>
        <w:t>El que en beneficio suyo o de un tercero y valiéndose de su superioridad manifiesta o relaciones de autoridad o de poder, edad, sexo, posición laboral, social, familiar o económica, acose, persiga, hostigue o asedie física o verbalmente, con fines sexuales no consentidos, a otra persona, incurrirá en prisión de uno (1) a tres (3) años-</w:t>
      </w:r>
      <w:r w:rsidR="00585CB5" w:rsidRPr="00000790">
        <w:rPr>
          <w:rFonts w:cs="Tahoma"/>
          <w:spacing w:val="-4"/>
          <w:position w:val="-4"/>
          <w:sz w:val="24"/>
          <w:szCs w:val="24"/>
        </w:rPr>
        <w:t>, s</w:t>
      </w:r>
      <w:r w:rsidR="00747FB7" w:rsidRPr="00000790">
        <w:rPr>
          <w:rFonts w:cs="Tahoma"/>
          <w:spacing w:val="-4"/>
          <w:position w:val="-4"/>
          <w:sz w:val="24"/>
          <w:szCs w:val="24"/>
        </w:rPr>
        <w:t xml:space="preserve">eñaló </w:t>
      </w:r>
      <w:r w:rsidR="004E32A1" w:rsidRPr="00000790">
        <w:rPr>
          <w:rFonts w:cs="Tahoma"/>
          <w:spacing w:val="-4"/>
          <w:position w:val="-4"/>
          <w:sz w:val="24"/>
          <w:szCs w:val="24"/>
        </w:rPr>
        <w:t>lo siguiente</w:t>
      </w:r>
      <w:r w:rsidR="00585CB5" w:rsidRPr="00000790">
        <w:rPr>
          <w:rFonts w:cs="Tahoma"/>
          <w:spacing w:val="-4"/>
          <w:position w:val="-4"/>
          <w:sz w:val="24"/>
          <w:szCs w:val="24"/>
        </w:rPr>
        <w:t>:</w:t>
      </w:r>
      <w:r w:rsidR="004E32A1" w:rsidRPr="00000790">
        <w:rPr>
          <w:rFonts w:cs="Tahoma"/>
          <w:spacing w:val="-4"/>
          <w:position w:val="-4"/>
          <w:sz w:val="24"/>
          <w:szCs w:val="24"/>
        </w:rPr>
        <w:t xml:space="preserve"> </w:t>
      </w:r>
      <w:r w:rsidR="004E32A1" w:rsidRPr="00000790">
        <w:rPr>
          <w:rFonts w:cs="Tahoma"/>
          <w:i/>
          <w:iCs/>
          <w:spacing w:val="-4"/>
          <w:position w:val="-4"/>
          <w:sz w:val="24"/>
          <w:szCs w:val="24"/>
        </w:rPr>
        <w:t>“</w:t>
      </w:r>
      <w:r w:rsidR="004E32A1" w:rsidRPr="00326075">
        <w:rPr>
          <w:rFonts w:cs="Tahoma"/>
          <w:i/>
          <w:iCs/>
          <w:spacing w:val="-4"/>
          <w:position w:val="-4"/>
          <w:sz w:val="22"/>
          <w:szCs w:val="24"/>
        </w:rPr>
        <w:t>(…) la anterior descripción</w:t>
      </w:r>
      <w:r w:rsidR="00EB14F4" w:rsidRPr="00326075">
        <w:rPr>
          <w:rFonts w:cs="Tahoma"/>
          <w:i/>
          <w:iCs/>
          <w:spacing w:val="-4"/>
          <w:position w:val="-4"/>
          <w:sz w:val="22"/>
          <w:szCs w:val="24"/>
        </w:rPr>
        <w:t xml:space="preserve"> se enmarca dentro de los hechos jurídicamente relevantes, porque en sentir de la fiscalía y de acuerdo a la </w:t>
      </w:r>
      <w:r w:rsidR="004E32A1" w:rsidRPr="00326075">
        <w:rPr>
          <w:rFonts w:cs="Tahoma"/>
          <w:i/>
          <w:iCs/>
          <w:spacing w:val="-4"/>
          <w:position w:val="-4"/>
          <w:sz w:val="22"/>
          <w:szCs w:val="24"/>
        </w:rPr>
        <w:t>situación</w:t>
      </w:r>
      <w:r w:rsidR="00EB14F4" w:rsidRPr="00326075">
        <w:rPr>
          <w:rFonts w:cs="Tahoma"/>
          <w:i/>
          <w:iCs/>
          <w:spacing w:val="-4"/>
          <w:position w:val="-4"/>
          <w:sz w:val="22"/>
          <w:szCs w:val="24"/>
        </w:rPr>
        <w:t xml:space="preserve"> </w:t>
      </w:r>
      <w:proofErr w:type="spellStart"/>
      <w:r w:rsidR="004E32A1" w:rsidRPr="00326075">
        <w:rPr>
          <w:rFonts w:cs="Tahoma"/>
          <w:i/>
          <w:iCs/>
          <w:spacing w:val="-4"/>
          <w:position w:val="-4"/>
          <w:sz w:val="22"/>
          <w:szCs w:val="24"/>
        </w:rPr>
        <w:t>pr</w:t>
      </w:r>
      <w:r w:rsidR="00736932" w:rsidRPr="00326075">
        <w:rPr>
          <w:rFonts w:cs="Tahoma"/>
          <w:i/>
          <w:iCs/>
          <w:spacing w:val="-4"/>
          <w:position w:val="-4"/>
          <w:sz w:val="22"/>
          <w:szCs w:val="24"/>
        </w:rPr>
        <w:t>ea</w:t>
      </w:r>
      <w:r w:rsidR="004E32A1" w:rsidRPr="00326075">
        <w:rPr>
          <w:rFonts w:cs="Tahoma"/>
          <w:i/>
          <w:iCs/>
          <w:spacing w:val="-4"/>
          <w:position w:val="-4"/>
          <w:sz w:val="22"/>
          <w:szCs w:val="24"/>
        </w:rPr>
        <w:t>cordada</w:t>
      </w:r>
      <w:proofErr w:type="spellEnd"/>
      <w:r w:rsidR="00EB14F4" w:rsidRPr="00326075">
        <w:rPr>
          <w:rFonts w:cs="Tahoma"/>
          <w:i/>
          <w:iCs/>
          <w:spacing w:val="-4"/>
          <w:position w:val="-4"/>
          <w:sz w:val="22"/>
          <w:szCs w:val="24"/>
        </w:rPr>
        <w:t xml:space="preserve"> de responsabilidad, hostigó y acosó sexualmente a la </w:t>
      </w:r>
      <w:r w:rsidR="00585CB5" w:rsidRPr="00326075">
        <w:rPr>
          <w:rFonts w:cs="Tahoma"/>
          <w:i/>
          <w:iCs/>
          <w:spacing w:val="-4"/>
          <w:position w:val="-4"/>
          <w:sz w:val="22"/>
          <w:szCs w:val="24"/>
        </w:rPr>
        <w:t>víctima</w:t>
      </w:r>
      <w:r w:rsidR="00EB14F4" w:rsidRPr="00326075">
        <w:rPr>
          <w:rFonts w:cs="Tahoma"/>
          <w:i/>
          <w:iCs/>
          <w:spacing w:val="-4"/>
          <w:position w:val="-4"/>
          <w:sz w:val="22"/>
          <w:szCs w:val="24"/>
        </w:rPr>
        <w:t xml:space="preserve"> en el momento en que se encontraba </w:t>
      </w:r>
      <w:r w:rsidR="004E32A1" w:rsidRPr="00326075">
        <w:rPr>
          <w:rFonts w:cs="Tahoma"/>
          <w:i/>
          <w:iCs/>
          <w:spacing w:val="-4"/>
          <w:position w:val="-4"/>
          <w:sz w:val="22"/>
          <w:szCs w:val="24"/>
        </w:rPr>
        <w:t>convaleciente</w:t>
      </w:r>
      <w:r w:rsidR="00EB14F4" w:rsidRPr="00326075">
        <w:rPr>
          <w:rFonts w:cs="Tahoma"/>
          <w:i/>
          <w:iCs/>
          <w:spacing w:val="-4"/>
          <w:position w:val="-4"/>
          <w:sz w:val="22"/>
          <w:szCs w:val="24"/>
        </w:rPr>
        <w:t xml:space="preserve"> de salud para efectos de </w:t>
      </w:r>
      <w:r w:rsidR="004E32A1" w:rsidRPr="00326075">
        <w:rPr>
          <w:rFonts w:cs="Tahoma"/>
          <w:i/>
          <w:iCs/>
          <w:spacing w:val="-4"/>
          <w:position w:val="-4"/>
          <w:sz w:val="22"/>
          <w:szCs w:val="24"/>
        </w:rPr>
        <w:t>realizar</w:t>
      </w:r>
      <w:r w:rsidR="00EB14F4" w:rsidRPr="00326075">
        <w:rPr>
          <w:rFonts w:cs="Tahoma"/>
          <w:i/>
          <w:iCs/>
          <w:spacing w:val="-4"/>
          <w:position w:val="-4"/>
          <w:sz w:val="22"/>
          <w:szCs w:val="24"/>
        </w:rPr>
        <w:t xml:space="preserve"> los tocamientos a los que hace referencia estos hechos</w:t>
      </w:r>
      <w:r w:rsidR="00585CB5" w:rsidRPr="00326075">
        <w:rPr>
          <w:rFonts w:cs="Tahoma"/>
          <w:i/>
          <w:iCs/>
          <w:spacing w:val="-4"/>
          <w:position w:val="-4"/>
          <w:sz w:val="22"/>
          <w:szCs w:val="24"/>
        </w:rPr>
        <w:t xml:space="preserve"> </w:t>
      </w:r>
      <w:r w:rsidR="004E32A1" w:rsidRPr="00326075">
        <w:rPr>
          <w:rFonts w:cs="Tahoma"/>
          <w:i/>
          <w:iCs/>
          <w:spacing w:val="-4"/>
          <w:position w:val="-4"/>
          <w:sz w:val="22"/>
          <w:szCs w:val="24"/>
        </w:rPr>
        <w:t>(…</w:t>
      </w:r>
      <w:r w:rsidR="008D760C">
        <w:rPr>
          <w:rFonts w:cs="Tahoma"/>
          <w:i/>
          <w:iCs/>
          <w:spacing w:val="-4"/>
          <w:position w:val="-4"/>
          <w:sz w:val="22"/>
          <w:szCs w:val="24"/>
        </w:rPr>
        <w:t>).</w:t>
      </w:r>
      <w:r w:rsidR="00F03359" w:rsidRPr="00000790">
        <w:rPr>
          <w:rStyle w:val="Refdenotaalpie"/>
          <w:rFonts w:ascii="Tahoma" w:hAnsi="Tahoma" w:cs="Tahoma"/>
          <w:i/>
          <w:iCs/>
          <w:spacing w:val="-4"/>
          <w:position w:val="-4"/>
          <w:sz w:val="24"/>
          <w:szCs w:val="24"/>
        </w:rPr>
        <w:footnoteReference w:id="6"/>
      </w:r>
    </w:p>
    <w:p w14:paraId="6B6601CB" w14:textId="77777777" w:rsidR="00630D7D" w:rsidRPr="00000790" w:rsidRDefault="00630D7D" w:rsidP="00000790">
      <w:pPr>
        <w:spacing w:line="276" w:lineRule="auto"/>
        <w:rPr>
          <w:rFonts w:eastAsia="Adobe Gothic Std B" w:cs="Tahoma"/>
          <w:sz w:val="24"/>
          <w:szCs w:val="24"/>
          <w:lang w:eastAsia="es-ES"/>
        </w:rPr>
      </w:pPr>
    </w:p>
    <w:p w14:paraId="435FB17F" w14:textId="2F667A91" w:rsidR="00142FCD" w:rsidRPr="00000790" w:rsidRDefault="004E32A1" w:rsidP="00000790">
      <w:pPr>
        <w:spacing w:line="276" w:lineRule="auto"/>
        <w:rPr>
          <w:rFonts w:eastAsia="Adobe Gothic Std B" w:cs="Tahoma"/>
          <w:sz w:val="24"/>
          <w:szCs w:val="24"/>
          <w:lang w:eastAsia="es-ES"/>
        </w:rPr>
      </w:pPr>
      <w:r w:rsidRPr="00000790">
        <w:rPr>
          <w:rFonts w:eastAsia="Adobe Gothic Std B" w:cs="Tahoma"/>
          <w:sz w:val="24"/>
          <w:szCs w:val="24"/>
          <w:lang w:eastAsia="es-ES"/>
        </w:rPr>
        <w:t xml:space="preserve">La manifestación anterior, llama poderosamente la atención de esta Corporación, </w:t>
      </w:r>
      <w:r w:rsidR="00142FCD" w:rsidRPr="00000790">
        <w:rPr>
          <w:rFonts w:eastAsia="Adobe Gothic Std B" w:cs="Tahoma"/>
          <w:sz w:val="24"/>
          <w:szCs w:val="24"/>
          <w:lang w:eastAsia="es-ES"/>
        </w:rPr>
        <w:t>porque</w:t>
      </w:r>
      <w:r w:rsidRPr="00000790">
        <w:rPr>
          <w:rFonts w:eastAsia="Adobe Gothic Std B" w:cs="Tahoma"/>
          <w:sz w:val="24"/>
          <w:szCs w:val="24"/>
          <w:lang w:eastAsia="es-ES"/>
        </w:rPr>
        <w:t xml:space="preserve"> si en sentir del delegado del ente instructor, los hechos jurídicamente relevantes</w:t>
      </w:r>
      <w:r w:rsidR="00E67988" w:rsidRPr="00000790">
        <w:rPr>
          <w:rFonts w:eastAsia="Adobe Gothic Std B" w:cs="Tahoma"/>
          <w:sz w:val="24"/>
          <w:szCs w:val="24"/>
          <w:lang w:eastAsia="es-ES"/>
        </w:rPr>
        <w:t xml:space="preserve"> no se enmarcaban dentro del tipo penal que le fue imputado</w:t>
      </w:r>
      <w:r w:rsidR="00736932" w:rsidRPr="00000790">
        <w:rPr>
          <w:rFonts w:eastAsia="Adobe Gothic Std B" w:cs="Tahoma"/>
          <w:sz w:val="24"/>
          <w:szCs w:val="24"/>
          <w:lang w:eastAsia="es-ES"/>
        </w:rPr>
        <w:t xml:space="preserve"> al señor </w:t>
      </w:r>
      <w:r w:rsidR="00FF6C2E">
        <w:rPr>
          <w:rFonts w:eastAsia="Adobe Gothic Std B" w:cs="Tahoma"/>
          <w:sz w:val="24"/>
          <w:szCs w:val="24"/>
          <w:lang w:eastAsia="es-ES"/>
        </w:rPr>
        <w:t>MSMV</w:t>
      </w:r>
      <w:r w:rsidR="0071378A" w:rsidRPr="00000790">
        <w:rPr>
          <w:rFonts w:eastAsia="Adobe Gothic Std B" w:cs="Tahoma"/>
          <w:sz w:val="24"/>
          <w:szCs w:val="24"/>
          <w:lang w:eastAsia="es-ES"/>
        </w:rPr>
        <w:t xml:space="preserve"> </w:t>
      </w:r>
      <w:r w:rsidR="0071378A" w:rsidRPr="00000790">
        <w:rPr>
          <w:rFonts w:eastAsia="Adobe Gothic Std B" w:cs="Tahoma"/>
          <w:b/>
          <w:bCs/>
          <w:sz w:val="24"/>
          <w:szCs w:val="24"/>
          <w:lang w:eastAsia="es-ES"/>
        </w:rPr>
        <w:t>-Acceso carnal o acto sexual abusivo con incapaz de resistir -art. 210 inciso 2° C.P.-</w:t>
      </w:r>
      <w:r w:rsidR="00E67988" w:rsidRPr="00000790">
        <w:rPr>
          <w:rFonts w:eastAsia="Adobe Gothic Std B" w:cs="Tahoma"/>
          <w:sz w:val="24"/>
          <w:szCs w:val="24"/>
          <w:lang w:eastAsia="es-ES"/>
        </w:rPr>
        <w:t xml:space="preserve">, </w:t>
      </w:r>
      <w:r w:rsidR="00763AEA" w:rsidRPr="00000790">
        <w:rPr>
          <w:rFonts w:eastAsia="Adobe Gothic Std B" w:cs="Tahoma"/>
          <w:sz w:val="24"/>
          <w:szCs w:val="24"/>
          <w:lang w:eastAsia="es-ES"/>
        </w:rPr>
        <w:t xml:space="preserve">debió ser la </w:t>
      </w:r>
      <w:r w:rsidR="00630D7D" w:rsidRPr="00000790">
        <w:rPr>
          <w:rFonts w:eastAsia="Adobe Gothic Std B" w:cs="Tahoma"/>
          <w:sz w:val="24"/>
          <w:szCs w:val="24"/>
          <w:lang w:eastAsia="es-ES"/>
        </w:rPr>
        <w:t>audiencia de formulación de la acusación</w:t>
      </w:r>
      <w:r w:rsidR="00763AEA" w:rsidRPr="00000790">
        <w:rPr>
          <w:rFonts w:eastAsia="Adobe Gothic Std B" w:cs="Tahoma"/>
          <w:sz w:val="24"/>
          <w:szCs w:val="24"/>
          <w:lang w:eastAsia="es-ES"/>
        </w:rPr>
        <w:t xml:space="preserve"> el </w:t>
      </w:r>
      <w:r w:rsidR="00630D7D" w:rsidRPr="00000790">
        <w:rPr>
          <w:rFonts w:eastAsia="Adobe Gothic Std B" w:cs="Tahoma"/>
          <w:sz w:val="24"/>
          <w:szCs w:val="24"/>
          <w:lang w:eastAsia="es-ES"/>
        </w:rPr>
        <w:t>escenario en el que la Fiscalía, según los reglado en el inciso 1º del artículo 339 C.P.P.</w:t>
      </w:r>
      <w:r w:rsidR="00F010AF" w:rsidRPr="00000790">
        <w:rPr>
          <w:rFonts w:eastAsia="Adobe Gothic Std B" w:cs="Tahoma"/>
          <w:sz w:val="24"/>
          <w:szCs w:val="24"/>
          <w:lang w:eastAsia="es-ES"/>
        </w:rPr>
        <w:t>,</w:t>
      </w:r>
      <w:r w:rsidR="00630D7D" w:rsidRPr="00000790">
        <w:rPr>
          <w:rFonts w:eastAsia="Adobe Gothic Std B" w:cs="Tahoma"/>
          <w:sz w:val="24"/>
          <w:szCs w:val="24"/>
          <w:lang w:eastAsia="es-ES"/>
        </w:rPr>
        <w:t xml:space="preserve"> ten</w:t>
      </w:r>
      <w:r w:rsidR="00142FCD" w:rsidRPr="00000790">
        <w:rPr>
          <w:rFonts w:eastAsia="Adobe Gothic Std B" w:cs="Tahoma"/>
          <w:sz w:val="24"/>
          <w:szCs w:val="24"/>
          <w:lang w:eastAsia="es-ES"/>
        </w:rPr>
        <w:t xml:space="preserve">ía </w:t>
      </w:r>
      <w:r w:rsidR="00630D7D" w:rsidRPr="00000790">
        <w:rPr>
          <w:rFonts w:eastAsia="Adobe Gothic Std B" w:cs="Tahoma"/>
          <w:sz w:val="24"/>
          <w:szCs w:val="24"/>
          <w:lang w:eastAsia="es-ES"/>
        </w:rPr>
        <w:t xml:space="preserve">la oportunidad, </w:t>
      </w:r>
      <w:r w:rsidR="00630D7D" w:rsidRPr="00000790">
        <w:rPr>
          <w:rFonts w:eastAsia="Adobe Gothic Std B" w:cs="Tahoma"/>
          <w:b/>
          <w:i/>
          <w:sz w:val="24"/>
          <w:szCs w:val="24"/>
          <w:lang w:eastAsia="es-ES"/>
        </w:rPr>
        <w:t>sí e</w:t>
      </w:r>
      <w:r w:rsidR="00142FCD" w:rsidRPr="00000790">
        <w:rPr>
          <w:rFonts w:eastAsia="Adobe Gothic Std B" w:cs="Tahoma"/>
          <w:b/>
          <w:i/>
          <w:sz w:val="24"/>
          <w:szCs w:val="24"/>
          <w:lang w:eastAsia="es-ES"/>
        </w:rPr>
        <w:t xml:space="preserve">ra </w:t>
      </w:r>
      <w:r w:rsidR="00630D7D" w:rsidRPr="00000790">
        <w:rPr>
          <w:rFonts w:eastAsia="Adobe Gothic Std B" w:cs="Tahoma"/>
          <w:b/>
          <w:i/>
          <w:sz w:val="24"/>
          <w:szCs w:val="24"/>
          <w:lang w:eastAsia="es-ES"/>
        </w:rPr>
        <w:t xml:space="preserve">su </w:t>
      </w:r>
      <w:r w:rsidR="00585CB5" w:rsidRPr="00000790">
        <w:rPr>
          <w:rFonts w:eastAsia="Adobe Gothic Std B" w:cs="Tahoma"/>
          <w:b/>
          <w:i/>
          <w:sz w:val="24"/>
          <w:szCs w:val="24"/>
          <w:lang w:eastAsia="es-ES"/>
        </w:rPr>
        <w:t>propósito</w:t>
      </w:r>
      <w:r w:rsidR="00630D7D" w:rsidRPr="00000790">
        <w:rPr>
          <w:rFonts w:eastAsia="Adobe Gothic Std B" w:cs="Tahoma"/>
          <w:sz w:val="24"/>
          <w:szCs w:val="24"/>
          <w:lang w:eastAsia="es-ES"/>
        </w:rPr>
        <w:t>, de corregir, aclarar o adicionar el libelo acusatorio</w:t>
      </w:r>
      <w:r w:rsidR="00142FCD" w:rsidRPr="00000790">
        <w:rPr>
          <w:rFonts w:eastAsia="Adobe Gothic Std B" w:cs="Tahoma"/>
          <w:sz w:val="24"/>
          <w:szCs w:val="24"/>
          <w:lang w:eastAsia="es-ES"/>
        </w:rPr>
        <w:t xml:space="preserve"> para que de esa forma lo fáctico coincidiera con lo jurídico, a fin de evitar</w:t>
      </w:r>
      <w:r w:rsidR="00F010AF" w:rsidRPr="00000790">
        <w:rPr>
          <w:rFonts w:eastAsia="Adobe Gothic Std B" w:cs="Tahoma"/>
          <w:sz w:val="24"/>
          <w:szCs w:val="24"/>
          <w:lang w:eastAsia="es-ES"/>
        </w:rPr>
        <w:t xml:space="preserve"> una</w:t>
      </w:r>
      <w:r w:rsidR="00142FCD" w:rsidRPr="00000790">
        <w:rPr>
          <w:rFonts w:eastAsia="Adobe Gothic Std B" w:cs="Tahoma"/>
          <w:sz w:val="24"/>
          <w:szCs w:val="24"/>
          <w:lang w:eastAsia="es-ES"/>
        </w:rPr>
        <w:t xml:space="preserve"> violación del </w:t>
      </w:r>
      <w:r w:rsidR="00142FCD" w:rsidRPr="00000790">
        <w:rPr>
          <w:rFonts w:eastAsia="Adobe Gothic Std B" w:cs="Tahoma"/>
          <w:i/>
          <w:iCs/>
          <w:sz w:val="24"/>
          <w:szCs w:val="24"/>
          <w:lang w:eastAsia="es-ES"/>
        </w:rPr>
        <w:t xml:space="preserve">principio de </w:t>
      </w:r>
      <w:r w:rsidR="00F010AF" w:rsidRPr="00000790">
        <w:rPr>
          <w:rFonts w:eastAsia="Adobe Gothic Std B" w:cs="Tahoma"/>
          <w:i/>
          <w:iCs/>
          <w:sz w:val="24"/>
          <w:szCs w:val="24"/>
          <w:lang w:eastAsia="es-ES"/>
        </w:rPr>
        <w:t>congruencia</w:t>
      </w:r>
      <w:r w:rsidR="00142FCD" w:rsidRPr="00000790">
        <w:rPr>
          <w:rFonts w:eastAsia="Adobe Gothic Std B" w:cs="Tahoma"/>
          <w:sz w:val="24"/>
          <w:szCs w:val="24"/>
          <w:lang w:eastAsia="es-ES"/>
        </w:rPr>
        <w:t xml:space="preserve"> y de esa forma corregir una hipotética actuación irregular. No obstante</w:t>
      </w:r>
      <w:r w:rsidR="0071378A" w:rsidRPr="00000790">
        <w:rPr>
          <w:rFonts w:eastAsia="Adobe Gothic Std B" w:cs="Tahoma"/>
          <w:sz w:val="24"/>
          <w:szCs w:val="24"/>
          <w:lang w:eastAsia="es-ES"/>
        </w:rPr>
        <w:t>,</w:t>
      </w:r>
      <w:r w:rsidR="00142FCD" w:rsidRPr="00000790">
        <w:rPr>
          <w:rFonts w:eastAsia="Adobe Gothic Std B" w:cs="Tahoma"/>
          <w:sz w:val="24"/>
          <w:szCs w:val="24"/>
          <w:lang w:eastAsia="es-ES"/>
        </w:rPr>
        <w:t xml:space="preserve"> eso no sucedió, ya que fue solo hasta la audiencia de juicio oral, en desarrollo de la celebración de un preacuerdo, en donde el delegado fiscal, expuso tal </w:t>
      </w:r>
      <w:r w:rsidR="0071378A" w:rsidRPr="00000790">
        <w:rPr>
          <w:rFonts w:eastAsia="Adobe Gothic Std B" w:cs="Tahoma"/>
          <w:sz w:val="24"/>
          <w:szCs w:val="24"/>
          <w:lang w:eastAsia="es-ES"/>
        </w:rPr>
        <w:t>situación</w:t>
      </w:r>
      <w:r w:rsidR="00142FCD" w:rsidRPr="00000790">
        <w:rPr>
          <w:rFonts w:eastAsia="Adobe Gothic Std B" w:cs="Tahoma"/>
          <w:sz w:val="24"/>
          <w:szCs w:val="24"/>
          <w:lang w:eastAsia="es-ES"/>
        </w:rPr>
        <w:t xml:space="preserve">. </w:t>
      </w:r>
    </w:p>
    <w:p w14:paraId="49292C94" w14:textId="77777777" w:rsidR="0071378A" w:rsidRPr="00000790" w:rsidRDefault="0071378A" w:rsidP="00000790">
      <w:pPr>
        <w:spacing w:line="276" w:lineRule="auto"/>
        <w:rPr>
          <w:rFonts w:eastAsia="Adobe Gothic Std B" w:cs="Tahoma"/>
          <w:sz w:val="24"/>
          <w:szCs w:val="24"/>
          <w:lang w:eastAsia="es-ES"/>
        </w:rPr>
      </w:pPr>
    </w:p>
    <w:p w14:paraId="4BA002A1" w14:textId="7FD3CD93" w:rsidR="00707D21" w:rsidRPr="00000790" w:rsidRDefault="00142FCD" w:rsidP="00000790">
      <w:pPr>
        <w:spacing w:line="276" w:lineRule="auto"/>
        <w:rPr>
          <w:rFonts w:cs="Tahoma"/>
          <w:sz w:val="24"/>
          <w:szCs w:val="24"/>
        </w:rPr>
      </w:pPr>
      <w:r w:rsidRPr="00000790">
        <w:rPr>
          <w:rFonts w:eastAsia="Adobe Gothic Std B" w:cs="Tahoma"/>
          <w:sz w:val="24"/>
          <w:szCs w:val="24"/>
          <w:lang w:eastAsia="es-ES"/>
        </w:rPr>
        <w:t xml:space="preserve">Por otra parte, </w:t>
      </w:r>
      <w:r w:rsidR="00F62B5E" w:rsidRPr="00000790">
        <w:rPr>
          <w:rFonts w:eastAsia="Adobe Gothic Std B" w:cs="Tahoma"/>
          <w:sz w:val="24"/>
          <w:szCs w:val="24"/>
          <w:lang w:eastAsia="es-ES"/>
        </w:rPr>
        <w:t xml:space="preserve">también </w:t>
      </w:r>
      <w:r w:rsidRPr="00000790">
        <w:rPr>
          <w:rFonts w:eastAsia="Adobe Gothic Std B" w:cs="Tahoma"/>
          <w:sz w:val="24"/>
          <w:szCs w:val="24"/>
          <w:lang w:eastAsia="es-ES"/>
        </w:rPr>
        <w:t xml:space="preserve">llama la atención de la </w:t>
      </w:r>
      <w:r w:rsidR="000C7A10" w:rsidRPr="00000790">
        <w:rPr>
          <w:rFonts w:eastAsia="Adobe Gothic Std B" w:cs="Tahoma"/>
          <w:sz w:val="24"/>
          <w:szCs w:val="24"/>
          <w:lang w:eastAsia="es-ES"/>
        </w:rPr>
        <w:t>S</w:t>
      </w:r>
      <w:r w:rsidRPr="00000790">
        <w:rPr>
          <w:rFonts w:eastAsia="Adobe Gothic Std B" w:cs="Tahoma"/>
          <w:sz w:val="24"/>
          <w:szCs w:val="24"/>
          <w:lang w:eastAsia="es-ES"/>
        </w:rPr>
        <w:t xml:space="preserve">ala, </w:t>
      </w:r>
      <w:r w:rsidR="00C03D46" w:rsidRPr="00000790">
        <w:rPr>
          <w:rFonts w:eastAsia="Adobe Gothic Std B" w:cs="Tahoma"/>
          <w:sz w:val="24"/>
          <w:szCs w:val="24"/>
          <w:lang w:eastAsia="es-ES"/>
        </w:rPr>
        <w:t xml:space="preserve">que el delegado fiscal, de manera </w:t>
      </w:r>
      <w:r w:rsidR="000C7A10" w:rsidRPr="00000790">
        <w:rPr>
          <w:rFonts w:eastAsia="Adobe Gothic Std B" w:cs="Tahoma"/>
          <w:sz w:val="24"/>
          <w:szCs w:val="24"/>
          <w:lang w:eastAsia="es-ES"/>
        </w:rPr>
        <w:t>escueta</w:t>
      </w:r>
      <w:r w:rsidR="00707D21" w:rsidRPr="00000790">
        <w:rPr>
          <w:rFonts w:eastAsia="Adobe Gothic Std B" w:cs="Tahoma"/>
          <w:sz w:val="24"/>
          <w:szCs w:val="24"/>
          <w:lang w:eastAsia="es-ES"/>
        </w:rPr>
        <w:t xml:space="preserve"> y sin hacer un</w:t>
      </w:r>
      <w:r w:rsidR="00C03D46" w:rsidRPr="00000790">
        <w:rPr>
          <w:rFonts w:eastAsia="Adobe Gothic Std B" w:cs="Tahoma"/>
          <w:sz w:val="24"/>
          <w:szCs w:val="24"/>
          <w:lang w:eastAsia="es-ES"/>
        </w:rPr>
        <w:t xml:space="preserve"> análisis dogmático </w:t>
      </w:r>
      <w:r w:rsidR="00707D21" w:rsidRPr="00000790">
        <w:rPr>
          <w:rFonts w:eastAsia="Adobe Gothic Std B" w:cs="Tahoma"/>
          <w:sz w:val="24"/>
          <w:szCs w:val="24"/>
          <w:lang w:eastAsia="es-ES"/>
        </w:rPr>
        <w:t xml:space="preserve">de las </w:t>
      </w:r>
      <w:r w:rsidR="00C03D46" w:rsidRPr="00000790">
        <w:rPr>
          <w:rFonts w:eastAsia="Adobe Gothic Std B" w:cs="Tahoma"/>
          <w:sz w:val="24"/>
          <w:szCs w:val="24"/>
          <w:lang w:eastAsia="es-ES"/>
        </w:rPr>
        <w:t>diferenci</w:t>
      </w:r>
      <w:r w:rsidR="00707D21" w:rsidRPr="00000790">
        <w:rPr>
          <w:rFonts w:eastAsia="Adobe Gothic Std B" w:cs="Tahoma"/>
          <w:sz w:val="24"/>
          <w:szCs w:val="24"/>
          <w:lang w:eastAsia="es-ES"/>
        </w:rPr>
        <w:t>as entre</w:t>
      </w:r>
      <w:r w:rsidR="00C03D46" w:rsidRPr="00000790">
        <w:rPr>
          <w:rFonts w:eastAsia="Adobe Gothic Std B" w:cs="Tahoma"/>
          <w:sz w:val="24"/>
          <w:szCs w:val="24"/>
          <w:lang w:eastAsia="es-ES"/>
        </w:rPr>
        <w:t xml:space="preserve"> la conducta de acoso sexual </w:t>
      </w:r>
      <w:r w:rsidR="00707D21" w:rsidRPr="00000790">
        <w:rPr>
          <w:rFonts w:eastAsia="Adobe Gothic Std B" w:cs="Tahoma"/>
          <w:sz w:val="24"/>
          <w:szCs w:val="24"/>
          <w:lang w:eastAsia="es-ES"/>
        </w:rPr>
        <w:t>y otros delitos de</w:t>
      </w:r>
      <w:r w:rsidR="00C03D46" w:rsidRPr="00000790">
        <w:rPr>
          <w:rFonts w:eastAsia="Adobe Gothic Std B" w:cs="Tahoma"/>
          <w:sz w:val="24"/>
          <w:szCs w:val="24"/>
          <w:lang w:eastAsia="es-ES"/>
        </w:rPr>
        <w:t xml:space="preserve"> contenido sexual, </w:t>
      </w:r>
      <w:r w:rsidR="00707D21" w:rsidRPr="00000790">
        <w:rPr>
          <w:rFonts w:eastAsia="Adobe Gothic Std B" w:cs="Tahoma"/>
          <w:sz w:val="24"/>
          <w:szCs w:val="24"/>
          <w:lang w:eastAsia="es-ES"/>
        </w:rPr>
        <w:t xml:space="preserve">como es el </w:t>
      </w:r>
      <w:r w:rsidR="00C03D46" w:rsidRPr="00000790">
        <w:rPr>
          <w:rFonts w:eastAsia="Adobe Gothic Std B" w:cs="Tahoma"/>
          <w:sz w:val="24"/>
          <w:szCs w:val="24"/>
          <w:lang w:eastAsia="es-ES"/>
        </w:rPr>
        <w:t xml:space="preserve">acceso carnal o actos sexuales, </w:t>
      </w:r>
      <w:r w:rsidR="00707D21" w:rsidRPr="00000790">
        <w:rPr>
          <w:rFonts w:eastAsia="Adobe Gothic Std B" w:cs="Tahoma"/>
          <w:sz w:val="24"/>
          <w:szCs w:val="24"/>
          <w:lang w:eastAsia="es-ES"/>
        </w:rPr>
        <w:lastRenderedPageBreak/>
        <w:t xml:space="preserve">haya realizado un cambio de la calificación jurídica, sin por lo menos hacer un juicioso análisis de los verbos rectores </w:t>
      </w:r>
      <w:r w:rsidR="00707D21" w:rsidRPr="00000790">
        <w:rPr>
          <w:rFonts w:cs="Tahoma"/>
          <w:sz w:val="24"/>
          <w:szCs w:val="24"/>
        </w:rPr>
        <w:t xml:space="preserve">que conforman cada una de estas conductas, determinando arbitrariamente, que los hechos </w:t>
      </w:r>
      <w:r w:rsidR="00F5152E" w:rsidRPr="00000790">
        <w:rPr>
          <w:rFonts w:cs="Tahoma"/>
          <w:sz w:val="24"/>
          <w:szCs w:val="24"/>
        </w:rPr>
        <w:t>jurídicamente</w:t>
      </w:r>
      <w:r w:rsidR="00707D21" w:rsidRPr="00000790">
        <w:rPr>
          <w:rFonts w:cs="Tahoma"/>
          <w:sz w:val="24"/>
          <w:szCs w:val="24"/>
        </w:rPr>
        <w:t xml:space="preserve"> relevantes, se enmarcaban dentro del delito de acoso sexual</w:t>
      </w:r>
      <w:r w:rsidR="00707D21" w:rsidRPr="00000790">
        <w:rPr>
          <w:rStyle w:val="Refdenotaalpie"/>
          <w:rFonts w:ascii="Tahoma" w:hAnsi="Tahoma" w:cs="Tahoma"/>
          <w:sz w:val="24"/>
          <w:szCs w:val="24"/>
        </w:rPr>
        <w:footnoteReference w:id="7"/>
      </w:r>
      <w:r w:rsidR="000C7A10" w:rsidRPr="00000790">
        <w:rPr>
          <w:rFonts w:cs="Tahoma"/>
          <w:sz w:val="24"/>
          <w:szCs w:val="24"/>
        </w:rPr>
        <w:t>,</w:t>
      </w:r>
      <w:r w:rsidR="00F5152E" w:rsidRPr="00000790">
        <w:rPr>
          <w:rFonts w:cs="Tahoma"/>
          <w:sz w:val="24"/>
          <w:szCs w:val="24"/>
        </w:rPr>
        <w:t xml:space="preserve"> desconociendo inclusive, múltiples pronunciamientos de la alta Corporación que han señalado; </w:t>
      </w:r>
    </w:p>
    <w:p w14:paraId="5491C4A9" w14:textId="77777777" w:rsidR="00707D21" w:rsidRPr="00000790" w:rsidRDefault="00707D21" w:rsidP="00000790">
      <w:pPr>
        <w:spacing w:line="276" w:lineRule="auto"/>
        <w:rPr>
          <w:rFonts w:cs="Tahoma"/>
          <w:sz w:val="24"/>
          <w:szCs w:val="24"/>
        </w:rPr>
      </w:pPr>
    </w:p>
    <w:p w14:paraId="77326FFE" w14:textId="77777777" w:rsidR="00F5152E" w:rsidRPr="004B01EA" w:rsidRDefault="00F5152E" w:rsidP="004B01EA">
      <w:pPr>
        <w:spacing w:line="240" w:lineRule="auto"/>
        <w:ind w:left="426" w:right="420"/>
        <w:rPr>
          <w:rFonts w:cs="Tahoma"/>
          <w:spacing w:val="-4"/>
          <w:sz w:val="22"/>
          <w:szCs w:val="24"/>
        </w:rPr>
      </w:pPr>
      <w:r w:rsidRPr="004B01EA">
        <w:rPr>
          <w:rFonts w:cs="Tahoma"/>
          <w:spacing w:val="-4"/>
          <w:sz w:val="22"/>
          <w:szCs w:val="24"/>
        </w:rPr>
        <w:t>“</w:t>
      </w:r>
      <w:bookmarkStart w:id="1" w:name="_Hlk134101254"/>
      <w:r w:rsidRPr="004B01EA">
        <w:rPr>
          <w:rFonts w:cs="Tahoma"/>
          <w:sz w:val="22"/>
          <w:szCs w:val="24"/>
        </w:rPr>
        <w:t>Debe precisarse aquí, que la conducta se consuma y el daño es producido por razón del acoso, hostigamiento, asedio o persecución emprendidas por el victimario, que en términos generales genera zozobra, intimidación o afectación sicológica a quien lo padece, para no hablar de la limitación que se produce respecto de la libertad sexual</w:t>
      </w:r>
      <w:bookmarkEnd w:id="1"/>
      <w:r w:rsidRPr="004B01EA">
        <w:rPr>
          <w:rFonts w:cs="Tahoma"/>
          <w:sz w:val="22"/>
          <w:szCs w:val="24"/>
        </w:rPr>
        <w:t xml:space="preserve">. </w:t>
      </w:r>
    </w:p>
    <w:p w14:paraId="64FF52FD" w14:textId="77777777" w:rsidR="00F5152E" w:rsidRPr="004B01EA" w:rsidRDefault="00F5152E" w:rsidP="004B01EA">
      <w:pPr>
        <w:spacing w:line="240" w:lineRule="auto"/>
        <w:ind w:left="426" w:right="420"/>
        <w:rPr>
          <w:rFonts w:cs="Tahoma"/>
          <w:sz w:val="22"/>
          <w:szCs w:val="24"/>
        </w:rPr>
      </w:pPr>
    </w:p>
    <w:p w14:paraId="321FAD85" w14:textId="77777777" w:rsidR="00F5152E" w:rsidRPr="004B01EA" w:rsidRDefault="00F5152E" w:rsidP="004B01EA">
      <w:pPr>
        <w:spacing w:line="240" w:lineRule="auto"/>
        <w:ind w:left="426" w:right="420"/>
        <w:rPr>
          <w:rFonts w:cs="Tahoma"/>
          <w:spacing w:val="-4"/>
          <w:sz w:val="22"/>
          <w:szCs w:val="24"/>
        </w:rPr>
      </w:pPr>
      <w:r w:rsidRPr="004B01EA">
        <w:rPr>
          <w:rFonts w:cs="Tahoma"/>
          <w:b/>
          <w:sz w:val="22"/>
          <w:szCs w:val="24"/>
        </w:rPr>
        <w:t>Vale decir, el acoso sexual opera ajeno a algún tipo de acto sexual o acceso carnal que se produzca por ocasión de los comportamientos del victimario</w:t>
      </w:r>
      <w:r w:rsidRPr="004B01EA">
        <w:rPr>
          <w:rFonts w:cs="Tahoma"/>
          <w:sz w:val="22"/>
          <w:szCs w:val="24"/>
        </w:rPr>
        <w:t xml:space="preserve">, en tanto, cabe reiterar, lo sancionado no es que se logre el propósito, sino que con tal fin se emprendan conductas en sí mismas vejatorias que directamente afectan a la persona, razón suficiente para definir que no se trata de un delito de resultado, en lo que al cometido eminentemente sexual respecta. </w:t>
      </w:r>
    </w:p>
    <w:p w14:paraId="04509997" w14:textId="77777777" w:rsidR="00F5152E" w:rsidRPr="004B01EA" w:rsidRDefault="00F5152E" w:rsidP="004B01EA">
      <w:pPr>
        <w:spacing w:line="240" w:lineRule="auto"/>
        <w:ind w:left="426" w:right="420"/>
        <w:rPr>
          <w:rFonts w:cs="Tahoma"/>
          <w:sz w:val="22"/>
          <w:szCs w:val="24"/>
        </w:rPr>
      </w:pPr>
    </w:p>
    <w:p w14:paraId="2320FA44" w14:textId="77777777" w:rsidR="00F5152E" w:rsidRPr="004B01EA" w:rsidRDefault="00F5152E" w:rsidP="004B01EA">
      <w:pPr>
        <w:spacing w:line="240" w:lineRule="auto"/>
        <w:ind w:left="426" w:right="420"/>
        <w:rPr>
          <w:rFonts w:cs="Tahoma"/>
          <w:spacing w:val="-4"/>
          <w:sz w:val="22"/>
          <w:szCs w:val="24"/>
        </w:rPr>
      </w:pPr>
      <w:r w:rsidRPr="004B01EA">
        <w:rPr>
          <w:rFonts w:cs="Tahoma"/>
          <w:sz w:val="22"/>
          <w:szCs w:val="24"/>
        </w:rPr>
        <w:t xml:space="preserve">Sobre el particular, debe la Corte precisar que con la introducción que hizo la Ley 1719 de 2014, del artículo 212 A del C.P., evidente </w:t>
      </w:r>
      <w:r w:rsidRPr="004B01EA">
        <w:rPr>
          <w:rFonts w:cs="Tahoma"/>
          <w:b/>
          <w:sz w:val="22"/>
          <w:szCs w:val="24"/>
        </w:rPr>
        <w:t>se advierte que si el comportamiento del agente alcanza los hitos del acto sexual o el acceso carnal, la conducta punible a atribuir no lo es el acoso sexual,</w:t>
      </w:r>
      <w:r w:rsidRPr="004B01EA">
        <w:rPr>
          <w:rFonts w:cs="Tahoma"/>
          <w:sz w:val="22"/>
          <w:szCs w:val="24"/>
        </w:rPr>
        <w:t xml:space="preserve"> eventualmente alguno de aquellos, siempre y cuando converjan todas las exigencias normativas para ello.”</w:t>
      </w:r>
      <w:r w:rsidRPr="004B01EA">
        <w:rPr>
          <w:rStyle w:val="Refdenotaalpie"/>
          <w:rFonts w:ascii="Tahoma" w:hAnsi="Tahoma" w:cs="Tahoma"/>
          <w:sz w:val="22"/>
          <w:szCs w:val="24"/>
        </w:rPr>
        <w:footnoteReference w:id="8"/>
      </w:r>
    </w:p>
    <w:p w14:paraId="432DD653" w14:textId="77777777" w:rsidR="00F5152E" w:rsidRPr="00000790" w:rsidRDefault="00F5152E" w:rsidP="00000790">
      <w:pPr>
        <w:spacing w:line="276" w:lineRule="auto"/>
        <w:rPr>
          <w:rFonts w:cs="Tahoma"/>
          <w:spacing w:val="-4"/>
          <w:position w:val="-4"/>
          <w:sz w:val="24"/>
          <w:szCs w:val="24"/>
        </w:rPr>
      </w:pPr>
    </w:p>
    <w:p w14:paraId="5083FCE7" w14:textId="3D07A620" w:rsidR="00430C74" w:rsidRPr="00000790" w:rsidRDefault="00F5152E" w:rsidP="00000790">
      <w:pPr>
        <w:spacing w:line="276" w:lineRule="auto"/>
        <w:rPr>
          <w:rFonts w:cs="Tahoma"/>
          <w:spacing w:val="-4"/>
          <w:position w:val="-4"/>
          <w:sz w:val="24"/>
          <w:szCs w:val="24"/>
        </w:rPr>
      </w:pPr>
      <w:r w:rsidRPr="00000790">
        <w:rPr>
          <w:rFonts w:cs="Tahoma"/>
          <w:spacing w:val="-4"/>
          <w:position w:val="-4"/>
          <w:sz w:val="24"/>
          <w:szCs w:val="24"/>
        </w:rPr>
        <w:t xml:space="preserve">De acuerdo a lo anterior, </w:t>
      </w:r>
      <w:r w:rsidR="00817D13" w:rsidRPr="00000790">
        <w:rPr>
          <w:rFonts w:cs="Tahoma"/>
          <w:spacing w:val="-4"/>
          <w:position w:val="-4"/>
          <w:sz w:val="24"/>
          <w:szCs w:val="24"/>
        </w:rPr>
        <w:t>aunado a una revisión minuciosa de</w:t>
      </w:r>
      <w:r w:rsidR="00F62B5E" w:rsidRPr="00000790">
        <w:rPr>
          <w:rFonts w:cs="Tahoma"/>
          <w:spacing w:val="-4"/>
          <w:position w:val="-4"/>
          <w:sz w:val="24"/>
          <w:szCs w:val="24"/>
        </w:rPr>
        <w:t xml:space="preserve"> los elementos que conforman el </w:t>
      </w:r>
      <w:r w:rsidR="00817D13" w:rsidRPr="00000790">
        <w:rPr>
          <w:rFonts w:cs="Tahoma"/>
          <w:spacing w:val="-4"/>
          <w:position w:val="-4"/>
          <w:sz w:val="24"/>
          <w:szCs w:val="24"/>
        </w:rPr>
        <w:t xml:space="preserve">delito en mención, se puede señalar que </w:t>
      </w:r>
      <w:r w:rsidRPr="00000790">
        <w:rPr>
          <w:rFonts w:cs="Tahoma"/>
          <w:spacing w:val="-4"/>
          <w:position w:val="-4"/>
          <w:sz w:val="24"/>
          <w:szCs w:val="24"/>
        </w:rPr>
        <w:t xml:space="preserve">el asedio se refleja en el mal objetivo que resulta de la negativa, en cuanto, el acosador no ofrece salida digna para quien se halla a su merced, </w:t>
      </w:r>
      <w:r w:rsidR="00817D13" w:rsidRPr="00000790">
        <w:rPr>
          <w:rFonts w:cs="Tahoma"/>
          <w:spacing w:val="-4"/>
          <w:position w:val="-4"/>
          <w:sz w:val="24"/>
          <w:szCs w:val="24"/>
        </w:rPr>
        <w:t xml:space="preserve">situación </w:t>
      </w:r>
      <w:r w:rsidR="00823C47" w:rsidRPr="00000790">
        <w:rPr>
          <w:rFonts w:cs="Tahoma"/>
          <w:spacing w:val="-4"/>
          <w:position w:val="-4"/>
          <w:sz w:val="24"/>
          <w:szCs w:val="24"/>
        </w:rPr>
        <w:t>que,</w:t>
      </w:r>
      <w:r w:rsidR="00817D13" w:rsidRPr="00000790">
        <w:rPr>
          <w:rFonts w:cs="Tahoma"/>
          <w:spacing w:val="-4"/>
          <w:position w:val="-4"/>
          <w:sz w:val="24"/>
          <w:szCs w:val="24"/>
        </w:rPr>
        <w:t xml:space="preserve"> de acuerdo a los hechos jurídicamente relevantes </w:t>
      </w:r>
      <w:r w:rsidR="00FF57B6" w:rsidRPr="00000790">
        <w:rPr>
          <w:rFonts w:cs="Tahoma"/>
          <w:spacing w:val="-4"/>
          <w:position w:val="-4"/>
          <w:sz w:val="24"/>
          <w:szCs w:val="24"/>
        </w:rPr>
        <w:t>y a</w:t>
      </w:r>
      <w:r w:rsidR="00817D13" w:rsidRPr="00000790">
        <w:rPr>
          <w:rFonts w:cs="Tahoma"/>
          <w:spacing w:val="-4"/>
          <w:position w:val="-4"/>
          <w:sz w:val="24"/>
          <w:szCs w:val="24"/>
        </w:rPr>
        <w:t xml:space="preserve"> los elementos de prueba allegados a la actuación</w:t>
      </w:r>
      <w:r w:rsidR="00823C47" w:rsidRPr="00000790">
        <w:rPr>
          <w:rFonts w:cs="Tahoma"/>
          <w:spacing w:val="-4"/>
          <w:position w:val="-4"/>
          <w:sz w:val="24"/>
          <w:szCs w:val="24"/>
        </w:rPr>
        <w:t>,</w:t>
      </w:r>
      <w:r w:rsidR="00817D13" w:rsidRPr="00000790">
        <w:rPr>
          <w:rFonts w:cs="Tahoma"/>
          <w:spacing w:val="-4"/>
          <w:position w:val="-4"/>
          <w:sz w:val="24"/>
          <w:szCs w:val="24"/>
        </w:rPr>
        <w:t xml:space="preserve"> no se </w:t>
      </w:r>
      <w:r w:rsidR="000C7A10" w:rsidRPr="00000790">
        <w:rPr>
          <w:rFonts w:cs="Tahoma"/>
          <w:spacing w:val="-4"/>
          <w:position w:val="-4"/>
          <w:sz w:val="24"/>
          <w:szCs w:val="24"/>
        </w:rPr>
        <w:t>e</w:t>
      </w:r>
      <w:r w:rsidR="00817D13" w:rsidRPr="00000790">
        <w:rPr>
          <w:rFonts w:cs="Tahoma"/>
          <w:spacing w:val="-4"/>
          <w:position w:val="-4"/>
          <w:sz w:val="24"/>
          <w:szCs w:val="24"/>
        </w:rPr>
        <w:t>videnci</w:t>
      </w:r>
      <w:r w:rsidR="00FF57B6" w:rsidRPr="00000790">
        <w:rPr>
          <w:rFonts w:cs="Tahoma"/>
          <w:spacing w:val="-4"/>
          <w:position w:val="-4"/>
          <w:sz w:val="24"/>
          <w:szCs w:val="24"/>
        </w:rPr>
        <w:t xml:space="preserve">a. Ello si tenemos en cuenta que la </w:t>
      </w:r>
      <w:r w:rsidR="00F62B5E" w:rsidRPr="00000790">
        <w:rPr>
          <w:rFonts w:cs="Tahoma"/>
          <w:spacing w:val="-4"/>
          <w:position w:val="-4"/>
          <w:sz w:val="24"/>
          <w:szCs w:val="24"/>
        </w:rPr>
        <w:t>víctima</w:t>
      </w:r>
      <w:r w:rsidR="00AB68DE" w:rsidRPr="00000790">
        <w:rPr>
          <w:rFonts w:cs="Tahoma"/>
          <w:spacing w:val="-4"/>
          <w:position w:val="-4"/>
          <w:sz w:val="24"/>
          <w:szCs w:val="24"/>
        </w:rPr>
        <w:t>,</w:t>
      </w:r>
      <w:r w:rsidR="00FF57B6" w:rsidRPr="00000790">
        <w:rPr>
          <w:rFonts w:cs="Tahoma"/>
          <w:spacing w:val="-4"/>
          <w:position w:val="-4"/>
          <w:sz w:val="24"/>
          <w:szCs w:val="24"/>
        </w:rPr>
        <w:t xml:space="preserve"> </w:t>
      </w:r>
      <w:r w:rsidR="00F62B5E" w:rsidRPr="00000790">
        <w:rPr>
          <w:rFonts w:cs="Tahoma"/>
          <w:spacing w:val="-4"/>
          <w:position w:val="-4"/>
          <w:sz w:val="24"/>
          <w:szCs w:val="24"/>
        </w:rPr>
        <w:t>ni siquiera</w:t>
      </w:r>
      <w:r w:rsidR="00FF57B6" w:rsidRPr="00000790">
        <w:rPr>
          <w:rFonts w:cs="Tahoma"/>
          <w:spacing w:val="-4"/>
          <w:position w:val="-4"/>
          <w:sz w:val="24"/>
          <w:szCs w:val="24"/>
        </w:rPr>
        <w:t xml:space="preserve"> estuvo en condición de resistirse o negarse a los tocamientos del victimario</w:t>
      </w:r>
      <w:r w:rsidR="00440165" w:rsidRPr="00000790">
        <w:rPr>
          <w:rFonts w:cs="Tahoma"/>
          <w:spacing w:val="-4"/>
          <w:position w:val="-4"/>
          <w:sz w:val="24"/>
          <w:szCs w:val="24"/>
        </w:rPr>
        <w:t>.</w:t>
      </w:r>
      <w:r w:rsidR="00FF57B6" w:rsidRPr="00000790">
        <w:rPr>
          <w:rFonts w:cs="Tahoma"/>
          <w:spacing w:val="-4"/>
          <w:position w:val="-4"/>
          <w:sz w:val="24"/>
          <w:szCs w:val="24"/>
        </w:rPr>
        <w:t xml:space="preserve"> </w:t>
      </w:r>
      <w:r w:rsidR="00440165" w:rsidRPr="00000790">
        <w:rPr>
          <w:rFonts w:cs="Tahoma"/>
          <w:spacing w:val="-4"/>
          <w:position w:val="-4"/>
          <w:sz w:val="24"/>
          <w:szCs w:val="24"/>
        </w:rPr>
        <w:t>D</w:t>
      </w:r>
      <w:r w:rsidR="00FF57B6" w:rsidRPr="00000790">
        <w:rPr>
          <w:rFonts w:cs="Tahoma"/>
          <w:spacing w:val="-4"/>
          <w:position w:val="-4"/>
          <w:sz w:val="24"/>
          <w:szCs w:val="24"/>
        </w:rPr>
        <w:t xml:space="preserve">e acuerdo a </w:t>
      </w:r>
      <w:r w:rsidR="00F62B5E" w:rsidRPr="00000790">
        <w:rPr>
          <w:rFonts w:cs="Tahoma"/>
          <w:spacing w:val="-4"/>
          <w:position w:val="-4"/>
          <w:sz w:val="24"/>
          <w:szCs w:val="24"/>
        </w:rPr>
        <w:t>sus propias manifestaciones,</w:t>
      </w:r>
      <w:r w:rsidR="00FF57B6" w:rsidRPr="00000790">
        <w:rPr>
          <w:rFonts w:cs="Tahoma"/>
          <w:spacing w:val="-4"/>
          <w:position w:val="-4"/>
          <w:sz w:val="24"/>
          <w:szCs w:val="24"/>
        </w:rPr>
        <w:t xml:space="preserve"> a causa del accidente de </w:t>
      </w:r>
      <w:r w:rsidR="000C7A10" w:rsidRPr="00000790">
        <w:rPr>
          <w:rFonts w:cs="Tahoma"/>
          <w:spacing w:val="-4"/>
          <w:position w:val="-4"/>
          <w:sz w:val="24"/>
          <w:szCs w:val="24"/>
        </w:rPr>
        <w:t>tránsito</w:t>
      </w:r>
      <w:r w:rsidR="00FF57B6" w:rsidRPr="00000790">
        <w:rPr>
          <w:rFonts w:cs="Tahoma"/>
          <w:spacing w:val="-4"/>
          <w:position w:val="-4"/>
          <w:sz w:val="24"/>
          <w:szCs w:val="24"/>
        </w:rPr>
        <w:t xml:space="preserve"> en el que resultó involucrada, no le era posible mover sus extremidades, ni </w:t>
      </w:r>
      <w:r w:rsidR="00F62B5E" w:rsidRPr="00000790">
        <w:rPr>
          <w:rFonts w:cs="Tahoma"/>
          <w:spacing w:val="-4"/>
          <w:position w:val="-4"/>
          <w:sz w:val="24"/>
          <w:szCs w:val="24"/>
        </w:rPr>
        <w:t>mucho menos hablar</w:t>
      </w:r>
      <w:r w:rsidR="00FF57B6" w:rsidRPr="00000790">
        <w:rPr>
          <w:rFonts w:cs="Tahoma"/>
          <w:spacing w:val="-4"/>
          <w:position w:val="-4"/>
          <w:sz w:val="24"/>
          <w:szCs w:val="24"/>
        </w:rPr>
        <w:t xml:space="preserve">, por lo que </w:t>
      </w:r>
      <w:r w:rsidR="00F62B5E" w:rsidRPr="00000790">
        <w:rPr>
          <w:rFonts w:cs="Tahoma"/>
          <w:spacing w:val="-4"/>
          <w:position w:val="-4"/>
          <w:sz w:val="24"/>
          <w:szCs w:val="24"/>
        </w:rPr>
        <w:t>resulta valido</w:t>
      </w:r>
      <w:r w:rsidR="00FF57B6" w:rsidRPr="00000790">
        <w:rPr>
          <w:rFonts w:cs="Tahoma"/>
          <w:spacing w:val="-4"/>
          <w:position w:val="-4"/>
          <w:sz w:val="24"/>
          <w:szCs w:val="24"/>
        </w:rPr>
        <w:t xml:space="preserve"> decir que ni </w:t>
      </w:r>
      <w:r w:rsidR="00F62B5E" w:rsidRPr="00000790">
        <w:rPr>
          <w:rFonts w:cs="Tahoma"/>
          <w:spacing w:val="-4"/>
          <w:position w:val="-4"/>
          <w:sz w:val="24"/>
          <w:szCs w:val="24"/>
        </w:rPr>
        <w:t>o</w:t>
      </w:r>
      <w:r w:rsidR="00FF57B6" w:rsidRPr="00000790">
        <w:rPr>
          <w:rFonts w:cs="Tahoma"/>
          <w:spacing w:val="-4"/>
          <w:position w:val="-4"/>
          <w:sz w:val="24"/>
          <w:szCs w:val="24"/>
        </w:rPr>
        <w:t xml:space="preserve">posición pudo ejercer al </w:t>
      </w:r>
      <w:r w:rsidR="00F62B5E" w:rsidRPr="00000790">
        <w:rPr>
          <w:rFonts w:cs="Tahoma"/>
          <w:spacing w:val="-4"/>
          <w:position w:val="-4"/>
          <w:sz w:val="24"/>
          <w:szCs w:val="24"/>
        </w:rPr>
        <w:t xml:space="preserve">respecto, </w:t>
      </w:r>
      <w:r w:rsidR="00173D0C" w:rsidRPr="00000790">
        <w:rPr>
          <w:rFonts w:cs="Tahoma"/>
          <w:spacing w:val="-4"/>
          <w:position w:val="-4"/>
          <w:sz w:val="24"/>
          <w:szCs w:val="24"/>
        </w:rPr>
        <w:t>siendo pertinente concluir</w:t>
      </w:r>
      <w:r w:rsidR="00F62B5E" w:rsidRPr="00000790">
        <w:rPr>
          <w:rFonts w:cs="Tahoma"/>
          <w:spacing w:val="-4"/>
          <w:position w:val="-4"/>
          <w:sz w:val="24"/>
          <w:szCs w:val="24"/>
        </w:rPr>
        <w:t>, que el delito pasible de atribuir al procesado</w:t>
      </w:r>
      <w:r w:rsidR="00173D0C" w:rsidRPr="00000790">
        <w:rPr>
          <w:rFonts w:cs="Tahoma"/>
          <w:spacing w:val="-4"/>
          <w:position w:val="-4"/>
          <w:sz w:val="24"/>
          <w:szCs w:val="24"/>
        </w:rPr>
        <w:t>,</w:t>
      </w:r>
      <w:r w:rsidR="00F62B5E" w:rsidRPr="00000790">
        <w:rPr>
          <w:rFonts w:cs="Tahoma"/>
          <w:spacing w:val="-4"/>
          <w:position w:val="-4"/>
          <w:sz w:val="24"/>
          <w:szCs w:val="24"/>
        </w:rPr>
        <w:t xml:space="preserve"> no </w:t>
      </w:r>
      <w:r w:rsidR="000C7A10" w:rsidRPr="00000790">
        <w:rPr>
          <w:rFonts w:cs="Tahoma"/>
          <w:spacing w:val="-4"/>
          <w:position w:val="-4"/>
          <w:sz w:val="24"/>
          <w:szCs w:val="24"/>
        </w:rPr>
        <w:t xml:space="preserve">es </w:t>
      </w:r>
      <w:r w:rsidR="00F62B5E" w:rsidRPr="00000790">
        <w:rPr>
          <w:rFonts w:cs="Tahoma"/>
          <w:spacing w:val="-4"/>
          <w:position w:val="-4"/>
          <w:sz w:val="24"/>
          <w:szCs w:val="24"/>
        </w:rPr>
        <w:t xml:space="preserve">el de acoso sexual, en tanto que las maniobras adelantadas superaron con creces el ámbito de protección del artículo 210A, </w:t>
      </w:r>
      <w:r w:rsidR="00173D0C" w:rsidRPr="00000790">
        <w:rPr>
          <w:rFonts w:cs="Tahoma"/>
          <w:spacing w:val="-4"/>
          <w:position w:val="-4"/>
          <w:sz w:val="24"/>
          <w:szCs w:val="24"/>
        </w:rPr>
        <w:t xml:space="preserve">ello, si se tiene en cuenta que sus actuaciones no se limitaron a simples </w:t>
      </w:r>
      <w:r w:rsidR="00F62B5E" w:rsidRPr="00000790">
        <w:rPr>
          <w:rFonts w:cs="Tahoma"/>
          <w:spacing w:val="-4"/>
          <w:position w:val="-4"/>
          <w:sz w:val="24"/>
          <w:szCs w:val="24"/>
        </w:rPr>
        <w:t>gestos, palabras, invitaciones lascivas o rozamientos externos, sino que directamente el procesado alz</w:t>
      </w:r>
      <w:r w:rsidR="00D261B7" w:rsidRPr="00000790">
        <w:rPr>
          <w:rFonts w:cs="Tahoma"/>
          <w:spacing w:val="-4"/>
          <w:position w:val="-4"/>
          <w:sz w:val="24"/>
          <w:szCs w:val="24"/>
        </w:rPr>
        <w:t>ó</w:t>
      </w:r>
      <w:r w:rsidR="00F62B5E" w:rsidRPr="00000790">
        <w:rPr>
          <w:rFonts w:cs="Tahoma"/>
          <w:spacing w:val="-4"/>
          <w:position w:val="-4"/>
          <w:sz w:val="24"/>
          <w:szCs w:val="24"/>
        </w:rPr>
        <w:t xml:space="preserve"> la prenda </w:t>
      </w:r>
      <w:r w:rsidR="00173D0C" w:rsidRPr="00000790">
        <w:rPr>
          <w:rFonts w:cs="Tahoma"/>
          <w:spacing w:val="-4"/>
          <w:position w:val="-4"/>
          <w:sz w:val="24"/>
          <w:szCs w:val="24"/>
        </w:rPr>
        <w:t xml:space="preserve">superior </w:t>
      </w:r>
      <w:r w:rsidR="00F62B5E" w:rsidRPr="00000790">
        <w:rPr>
          <w:rFonts w:cs="Tahoma"/>
          <w:spacing w:val="-4"/>
          <w:position w:val="-4"/>
          <w:sz w:val="24"/>
          <w:szCs w:val="24"/>
        </w:rPr>
        <w:t>de</w:t>
      </w:r>
      <w:r w:rsidR="00173D0C" w:rsidRPr="00000790">
        <w:rPr>
          <w:rFonts w:cs="Tahoma"/>
          <w:spacing w:val="-4"/>
          <w:position w:val="-4"/>
          <w:sz w:val="24"/>
          <w:szCs w:val="24"/>
        </w:rPr>
        <w:t xml:space="preserve"> </w:t>
      </w:r>
      <w:r w:rsidR="00F62B5E" w:rsidRPr="00000790">
        <w:rPr>
          <w:rFonts w:cs="Tahoma"/>
          <w:spacing w:val="-4"/>
          <w:position w:val="-4"/>
          <w:sz w:val="24"/>
          <w:szCs w:val="24"/>
        </w:rPr>
        <w:t>la afectada, llegando hasta sus senos</w:t>
      </w:r>
      <w:r w:rsidR="00D261B7" w:rsidRPr="00000790">
        <w:rPr>
          <w:rFonts w:cs="Tahoma"/>
          <w:spacing w:val="-4"/>
          <w:position w:val="-4"/>
          <w:sz w:val="24"/>
          <w:szCs w:val="24"/>
        </w:rPr>
        <w:t>, sometiéndolos</w:t>
      </w:r>
      <w:r w:rsidR="00F62B5E" w:rsidRPr="00000790">
        <w:rPr>
          <w:rFonts w:cs="Tahoma"/>
          <w:spacing w:val="-4"/>
          <w:position w:val="-4"/>
          <w:sz w:val="24"/>
          <w:szCs w:val="24"/>
        </w:rPr>
        <w:t xml:space="preserve"> a tocamientos, </w:t>
      </w:r>
      <w:r w:rsidR="00AB68DE" w:rsidRPr="00000790">
        <w:rPr>
          <w:rFonts w:cs="Tahoma"/>
          <w:spacing w:val="-4"/>
          <w:position w:val="-4"/>
          <w:sz w:val="24"/>
          <w:szCs w:val="24"/>
        </w:rPr>
        <w:t xml:space="preserve">aprovechándose de la condición en que se encontraba, </w:t>
      </w:r>
      <w:r w:rsidR="00F62B5E" w:rsidRPr="00000790">
        <w:rPr>
          <w:rFonts w:cs="Tahoma"/>
          <w:spacing w:val="-4"/>
          <w:position w:val="-4"/>
          <w:sz w:val="24"/>
          <w:szCs w:val="24"/>
        </w:rPr>
        <w:t xml:space="preserve">incursionando así en los actos sexuales </w:t>
      </w:r>
      <w:r w:rsidR="00440165" w:rsidRPr="00000790">
        <w:rPr>
          <w:rFonts w:cs="Tahoma"/>
          <w:spacing w:val="-4"/>
          <w:position w:val="-4"/>
          <w:sz w:val="24"/>
          <w:szCs w:val="24"/>
        </w:rPr>
        <w:t>abusivos con incapaz de resistir</w:t>
      </w:r>
      <w:r w:rsidR="00F62B5E" w:rsidRPr="00000790">
        <w:rPr>
          <w:rFonts w:cs="Tahoma"/>
          <w:spacing w:val="-4"/>
          <w:position w:val="-4"/>
          <w:sz w:val="24"/>
          <w:szCs w:val="24"/>
        </w:rPr>
        <w:t xml:space="preserve"> que alude el artículo 210 C.P</w:t>
      </w:r>
      <w:r w:rsidR="00D261B7" w:rsidRPr="00000790">
        <w:rPr>
          <w:rFonts w:cs="Tahoma"/>
          <w:spacing w:val="-4"/>
          <w:position w:val="-4"/>
          <w:sz w:val="24"/>
          <w:szCs w:val="24"/>
        </w:rPr>
        <w:t xml:space="preserve">. </w:t>
      </w:r>
    </w:p>
    <w:p w14:paraId="728A0015" w14:textId="77777777" w:rsidR="00F5152E" w:rsidRPr="00000790" w:rsidRDefault="00F5152E" w:rsidP="00000790">
      <w:pPr>
        <w:spacing w:line="276" w:lineRule="auto"/>
        <w:rPr>
          <w:rFonts w:cs="Tahoma"/>
          <w:spacing w:val="-4"/>
          <w:position w:val="-4"/>
          <w:sz w:val="24"/>
          <w:szCs w:val="24"/>
        </w:rPr>
      </w:pPr>
    </w:p>
    <w:p w14:paraId="3332217D" w14:textId="77777777" w:rsidR="00707D21" w:rsidRPr="00000790" w:rsidRDefault="0075728E" w:rsidP="00000790">
      <w:pPr>
        <w:spacing w:line="276" w:lineRule="auto"/>
        <w:rPr>
          <w:rFonts w:cs="Tahoma"/>
          <w:bCs/>
          <w:sz w:val="24"/>
          <w:szCs w:val="24"/>
        </w:rPr>
      </w:pPr>
      <w:r w:rsidRPr="00000790">
        <w:rPr>
          <w:rFonts w:cs="Tahoma"/>
          <w:bCs/>
          <w:sz w:val="24"/>
          <w:szCs w:val="24"/>
        </w:rPr>
        <w:t>Tal situación nos indica que la calificación jurídica</w:t>
      </w:r>
      <w:r w:rsidR="00F5152E" w:rsidRPr="00000790">
        <w:rPr>
          <w:rFonts w:cs="Tahoma"/>
          <w:bCs/>
          <w:sz w:val="24"/>
          <w:szCs w:val="24"/>
        </w:rPr>
        <w:t xml:space="preserve"> que efectuó el delegado fiscal, de acuerdo a los </w:t>
      </w:r>
      <w:r w:rsidRPr="00000790">
        <w:rPr>
          <w:rFonts w:cs="Tahoma"/>
          <w:bCs/>
          <w:sz w:val="24"/>
          <w:szCs w:val="24"/>
        </w:rPr>
        <w:t>hechos jurídicamente relevantes</w:t>
      </w:r>
      <w:r w:rsidR="00F5152E" w:rsidRPr="00000790">
        <w:rPr>
          <w:rFonts w:cs="Tahoma"/>
          <w:bCs/>
          <w:sz w:val="24"/>
          <w:szCs w:val="24"/>
        </w:rPr>
        <w:t>,</w:t>
      </w:r>
      <w:r w:rsidRPr="00000790">
        <w:rPr>
          <w:rFonts w:cs="Tahoma"/>
          <w:bCs/>
          <w:sz w:val="24"/>
          <w:szCs w:val="24"/>
        </w:rPr>
        <w:t xml:space="preserve"> no corresponde</w:t>
      </w:r>
      <w:r w:rsidR="007A01BD" w:rsidRPr="00000790">
        <w:rPr>
          <w:rFonts w:cs="Tahoma"/>
          <w:bCs/>
          <w:sz w:val="24"/>
          <w:szCs w:val="24"/>
        </w:rPr>
        <w:t xml:space="preserve"> </w:t>
      </w:r>
      <w:r w:rsidRPr="00000790">
        <w:rPr>
          <w:rFonts w:cs="Tahoma"/>
          <w:bCs/>
          <w:sz w:val="24"/>
          <w:szCs w:val="24"/>
        </w:rPr>
        <w:t>con el contexto factual de como en verdad los mismos tuvieron ocurr</w:t>
      </w:r>
      <w:r w:rsidR="00ED2FCD" w:rsidRPr="00000790">
        <w:rPr>
          <w:rFonts w:cs="Tahoma"/>
          <w:bCs/>
          <w:sz w:val="24"/>
          <w:szCs w:val="24"/>
        </w:rPr>
        <w:t>encia</w:t>
      </w:r>
      <w:r w:rsidRPr="00000790">
        <w:rPr>
          <w:rFonts w:cs="Tahoma"/>
          <w:bCs/>
          <w:sz w:val="24"/>
          <w:szCs w:val="24"/>
        </w:rPr>
        <w:t xml:space="preserve">, lo que </w:t>
      </w:r>
      <w:r w:rsidR="007A01BD" w:rsidRPr="00000790">
        <w:rPr>
          <w:rFonts w:cs="Tahoma"/>
          <w:bCs/>
          <w:sz w:val="24"/>
          <w:szCs w:val="24"/>
        </w:rPr>
        <w:t>debió conspirar</w:t>
      </w:r>
      <w:r w:rsidRPr="00000790">
        <w:rPr>
          <w:rFonts w:cs="Tahoma"/>
          <w:bCs/>
          <w:sz w:val="24"/>
          <w:szCs w:val="24"/>
        </w:rPr>
        <w:t xml:space="preserve"> de manera negativa en contra de la aprobación del preacuerdo</w:t>
      </w:r>
      <w:r w:rsidR="007A01BD" w:rsidRPr="00000790">
        <w:rPr>
          <w:rFonts w:cs="Tahoma"/>
          <w:bCs/>
          <w:sz w:val="24"/>
          <w:szCs w:val="24"/>
        </w:rPr>
        <w:t xml:space="preserve">, que de manera ligera fue avalado por la juez de instancia. </w:t>
      </w:r>
    </w:p>
    <w:p w14:paraId="253B75A1" w14:textId="77777777" w:rsidR="007A01BD" w:rsidRPr="00000790" w:rsidRDefault="007A01BD" w:rsidP="00000790">
      <w:pPr>
        <w:spacing w:line="276" w:lineRule="auto"/>
        <w:rPr>
          <w:rFonts w:cs="Tahoma"/>
          <w:bCs/>
          <w:sz w:val="24"/>
          <w:szCs w:val="24"/>
        </w:rPr>
      </w:pPr>
    </w:p>
    <w:p w14:paraId="751C6452" w14:textId="77777777" w:rsidR="007A01BD" w:rsidRPr="00000790" w:rsidRDefault="007A01BD" w:rsidP="00000790">
      <w:pPr>
        <w:spacing w:line="276" w:lineRule="auto"/>
        <w:rPr>
          <w:rFonts w:cs="Tahoma"/>
          <w:bCs/>
          <w:sz w:val="24"/>
          <w:szCs w:val="24"/>
        </w:rPr>
      </w:pPr>
      <w:r w:rsidRPr="00000790">
        <w:rPr>
          <w:rFonts w:cs="Tahoma"/>
          <w:bCs/>
          <w:sz w:val="24"/>
          <w:szCs w:val="24"/>
        </w:rPr>
        <w:t xml:space="preserve">Respecto a lo anterior el órgano de cierre en materia penal ha referido; </w:t>
      </w:r>
    </w:p>
    <w:p w14:paraId="5D419EE4" w14:textId="77777777" w:rsidR="007A01BD" w:rsidRPr="00000790" w:rsidRDefault="007A01BD" w:rsidP="00000790">
      <w:pPr>
        <w:spacing w:line="276" w:lineRule="auto"/>
        <w:ind w:left="567" w:right="618"/>
        <w:rPr>
          <w:rFonts w:cs="Tahoma"/>
          <w:sz w:val="24"/>
          <w:szCs w:val="24"/>
        </w:rPr>
      </w:pPr>
    </w:p>
    <w:p w14:paraId="39796978" w14:textId="3A5A06A3" w:rsidR="0075728E" w:rsidRPr="004B01EA" w:rsidRDefault="00ED2FCD" w:rsidP="004B01EA">
      <w:pPr>
        <w:spacing w:line="240" w:lineRule="auto"/>
        <w:ind w:left="426" w:right="420"/>
        <w:rPr>
          <w:rFonts w:cs="Tahoma"/>
          <w:spacing w:val="-4"/>
          <w:sz w:val="22"/>
          <w:szCs w:val="24"/>
        </w:rPr>
      </w:pPr>
      <w:r w:rsidRPr="004B01EA">
        <w:rPr>
          <w:rFonts w:cs="Tahoma"/>
          <w:sz w:val="22"/>
          <w:szCs w:val="24"/>
        </w:rPr>
        <w:t>“</w:t>
      </w:r>
      <w:r w:rsidR="0075728E" w:rsidRPr="004B01EA">
        <w:rPr>
          <w:rFonts w:cs="Tahoma"/>
          <w:bCs/>
          <w:sz w:val="22"/>
          <w:szCs w:val="24"/>
        </w:rPr>
        <w:t>A</w:t>
      </w:r>
      <w:r w:rsidR="0075728E" w:rsidRPr="004B01EA">
        <w:rPr>
          <w:rFonts w:eastAsia="Verdana" w:cs="Tahoma"/>
          <w:sz w:val="22"/>
          <w:szCs w:val="24"/>
        </w:rPr>
        <w:t xml:space="preserve"> la luz de lo expuesto por la Corte Constitucional en la referida sentencia de unificación, que retoma con amplitud lo decidido por esa misma Corporación en la sentencia C-1260 de 2005, este tipo de acuerdos no son posibles, porque el fiscal debe introducir la calificación jurídica que corresponda a los hechos jurídicamente relevantes. (</w:t>
      </w:r>
      <w:r w:rsidR="0033227C" w:rsidRPr="004B01EA">
        <w:rPr>
          <w:rFonts w:eastAsia="Verdana" w:cs="Tahoma"/>
          <w:sz w:val="22"/>
          <w:szCs w:val="24"/>
        </w:rPr>
        <w:t>…</w:t>
      </w:r>
      <w:r w:rsidR="0075728E" w:rsidRPr="004B01EA">
        <w:rPr>
          <w:rFonts w:eastAsia="Verdana" w:cs="Tahoma"/>
          <w:sz w:val="22"/>
          <w:szCs w:val="24"/>
        </w:rPr>
        <w:t>) En este orden de ideas, a la pregunta de si los fiscales, en el ámbito de los preacuerdos, están habilitados para conceder beneficios sin límite a los procesados a través de la modalidad de cambio de calificación jurídica sin base fáctica, la respuesta es negativa…</w:t>
      </w:r>
      <w:r w:rsidRPr="004B01EA">
        <w:rPr>
          <w:rFonts w:eastAsia="Verdana" w:cs="Tahoma"/>
          <w:sz w:val="22"/>
          <w:szCs w:val="24"/>
        </w:rPr>
        <w:t>”</w:t>
      </w:r>
      <w:r w:rsidR="0075728E" w:rsidRPr="004B01EA">
        <w:rPr>
          <w:rFonts w:eastAsia="Verdana" w:cs="Tahoma"/>
          <w:sz w:val="22"/>
          <w:szCs w:val="24"/>
          <w:vertAlign w:val="superscript"/>
        </w:rPr>
        <w:footnoteReference w:id="9"/>
      </w:r>
      <w:r w:rsidR="0075728E" w:rsidRPr="004B01EA">
        <w:rPr>
          <w:rFonts w:eastAsia="Verdana" w:cs="Tahoma"/>
          <w:sz w:val="22"/>
          <w:szCs w:val="24"/>
        </w:rPr>
        <w:t>.</w:t>
      </w:r>
    </w:p>
    <w:p w14:paraId="01CFF5DE" w14:textId="77777777" w:rsidR="00ED2FCD" w:rsidRPr="00000790" w:rsidRDefault="00ED2FCD" w:rsidP="00000790">
      <w:pPr>
        <w:spacing w:line="276" w:lineRule="auto"/>
        <w:rPr>
          <w:rFonts w:cs="Tahoma"/>
          <w:spacing w:val="-4"/>
          <w:position w:val="-4"/>
          <w:sz w:val="24"/>
          <w:szCs w:val="24"/>
        </w:rPr>
      </w:pPr>
    </w:p>
    <w:p w14:paraId="2217EDE3" w14:textId="77777777" w:rsidR="007A01BD" w:rsidRPr="00000790" w:rsidRDefault="0075728E" w:rsidP="00000790">
      <w:pPr>
        <w:spacing w:line="276" w:lineRule="auto"/>
        <w:rPr>
          <w:rFonts w:eastAsia="Verdana" w:cs="Tahoma"/>
          <w:sz w:val="24"/>
          <w:szCs w:val="24"/>
        </w:rPr>
      </w:pPr>
      <w:r w:rsidRPr="00000790">
        <w:rPr>
          <w:rFonts w:eastAsia="Verdana" w:cs="Tahoma"/>
          <w:sz w:val="24"/>
          <w:szCs w:val="24"/>
        </w:rPr>
        <w:t>Lo antes expuesto, a juicio de la Sala, implica</w:t>
      </w:r>
      <w:r w:rsidR="00A8241E" w:rsidRPr="00000790">
        <w:rPr>
          <w:rFonts w:eastAsia="Verdana" w:cs="Tahoma"/>
          <w:sz w:val="24"/>
          <w:szCs w:val="24"/>
        </w:rPr>
        <w:t xml:space="preserve"> </w:t>
      </w:r>
      <w:r w:rsidRPr="00000790">
        <w:rPr>
          <w:rFonts w:eastAsia="Verdana" w:cs="Tahoma"/>
          <w:sz w:val="24"/>
          <w:szCs w:val="24"/>
        </w:rPr>
        <w:t>que no exist</w:t>
      </w:r>
      <w:r w:rsidR="00A8241E" w:rsidRPr="00000790">
        <w:rPr>
          <w:rFonts w:eastAsia="Verdana" w:cs="Tahoma"/>
          <w:sz w:val="24"/>
          <w:szCs w:val="24"/>
        </w:rPr>
        <w:t xml:space="preserve">a </w:t>
      </w:r>
      <w:r w:rsidRPr="00000790">
        <w:rPr>
          <w:rFonts w:eastAsia="Verdana" w:cs="Tahoma"/>
          <w:sz w:val="24"/>
          <w:szCs w:val="24"/>
        </w:rPr>
        <w:t>ningún tipo de razón valedera que justifi</w:t>
      </w:r>
      <w:r w:rsidR="00A8241E" w:rsidRPr="00000790">
        <w:rPr>
          <w:rFonts w:eastAsia="Verdana" w:cs="Tahoma"/>
          <w:sz w:val="24"/>
          <w:szCs w:val="24"/>
        </w:rPr>
        <w:t>que</w:t>
      </w:r>
      <w:r w:rsidRPr="00000790">
        <w:rPr>
          <w:rFonts w:eastAsia="Verdana" w:cs="Tahoma"/>
          <w:sz w:val="24"/>
          <w:szCs w:val="24"/>
        </w:rPr>
        <w:t xml:space="preserve"> el comportamiento omisivo </w:t>
      </w:r>
      <w:r w:rsidR="00A8241E" w:rsidRPr="00000790">
        <w:rPr>
          <w:rFonts w:eastAsia="Verdana" w:cs="Tahoma"/>
          <w:sz w:val="24"/>
          <w:szCs w:val="24"/>
        </w:rPr>
        <w:t>tanto de la</w:t>
      </w:r>
      <w:r w:rsidRPr="00000790">
        <w:rPr>
          <w:rFonts w:eastAsia="Verdana" w:cs="Tahoma"/>
          <w:sz w:val="24"/>
          <w:szCs w:val="24"/>
        </w:rPr>
        <w:t xml:space="preserve"> Fiscalía por enrostrar en contra </w:t>
      </w:r>
      <w:r w:rsidR="00A8241E" w:rsidRPr="00000790">
        <w:rPr>
          <w:rFonts w:eastAsia="Verdana" w:cs="Tahoma"/>
          <w:sz w:val="24"/>
          <w:szCs w:val="24"/>
        </w:rPr>
        <w:t xml:space="preserve">del procesado </w:t>
      </w:r>
      <w:r w:rsidR="007A01BD" w:rsidRPr="00000790">
        <w:rPr>
          <w:rFonts w:eastAsia="Verdana" w:cs="Tahoma"/>
          <w:sz w:val="24"/>
          <w:szCs w:val="24"/>
        </w:rPr>
        <w:t xml:space="preserve">una calificación jurídica que no </w:t>
      </w:r>
      <w:r w:rsidR="00ED5763" w:rsidRPr="00000790">
        <w:rPr>
          <w:rFonts w:eastAsia="Verdana" w:cs="Tahoma"/>
          <w:sz w:val="24"/>
          <w:szCs w:val="24"/>
        </w:rPr>
        <w:t xml:space="preserve">corresponde con los hechos jurídicamente relevantes, </w:t>
      </w:r>
      <w:r w:rsidR="007A01BD" w:rsidRPr="00000790">
        <w:rPr>
          <w:rFonts w:eastAsia="Verdana" w:cs="Tahoma"/>
          <w:sz w:val="24"/>
          <w:szCs w:val="24"/>
        </w:rPr>
        <w:t xml:space="preserve">como de la funcionara falladora que </w:t>
      </w:r>
      <w:r w:rsidR="00ED5763" w:rsidRPr="00000790">
        <w:rPr>
          <w:rFonts w:eastAsia="Verdana" w:cs="Tahoma"/>
          <w:sz w:val="24"/>
          <w:szCs w:val="24"/>
        </w:rPr>
        <w:t xml:space="preserve">no advirtió esta circunstancia que </w:t>
      </w:r>
      <w:r w:rsidR="007A01BD" w:rsidRPr="00000790">
        <w:rPr>
          <w:rFonts w:eastAsia="Verdana" w:cs="Tahoma"/>
          <w:sz w:val="24"/>
          <w:szCs w:val="24"/>
        </w:rPr>
        <w:t>a todas luces atentaba contra el principio de legalidad</w:t>
      </w:r>
      <w:r w:rsidR="00ED5763" w:rsidRPr="00000790">
        <w:rPr>
          <w:rFonts w:eastAsia="Verdana" w:cs="Tahoma"/>
          <w:sz w:val="24"/>
          <w:szCs w:val="24"/>
        </w:rPr>
        <w:t xml:space="preserve">, estando por tanto, el preacuerdo presentado, </w:t>
      </w:r>
      <w:r w:rsidR="007A01BD" w:rsidRPr="00000790">
        <w:rPr>
          <w:rFonts w:eastAsia="Verdana" w:cs="Tahoma"/>
          <w:sz w:val="24"/>
          <w:szCs w:val="24"/>
        </w:rPr>
        <w:t xml:space="preserve">destinado al fracaso por no cumplir con los fines consagrados en el artículo 348 C.P.P. entre ellos, el </w:t>
      </w:r>
      <w:proofErr w:type="spellStart"/>
      <w:r w:rsidR="007A01BD" w:rsidRPr="00000790">
        <w:rPr>
          <w:rFonts w:eastAsia="Verdana" w:cs="Tahoma"/>
          <w:sz w:val="24"/>
          <w:szCs w:val="24"/>
        </w:rPr>
        <w:t>aprestigiamiento</w:t>
      </w:r>
      <w:proofErr w:type="spellEnd"/>
      <w:r w:rsidR="007A01BD" w:rsidRPr="00000790">
        <w:rPr>
          <w:rFonts w:eastAsia="Verdana" w:cs="Tahoma"/>
          <w:sz w:val="24"/>
          <w:szCs w:val="24"/>
        </w:rPr>
        <w:t xml:space="preserve"> de la administración de justicia</w:t>
      </w:r>
      <w:r w:rsidR="007A01BD" w:rsidRPr="00000790">
        <w:rPr>
          <w:rFonts w:eastAsia="Verdana" w:cs="Tahoma"/>
          <w:sz w:val="24"/>
          <w:szCs w:val="24"/>
          <w:vertAlign w:val="superscript"/>
        </w:rPr>
        <w:footnoteReference w:id="10"/>
      </w:r>
      <w:r w:rsidR="007A01BD" w:rsidRPr="00000790">
        <w:rPr>
          <w:rFonts w:eastAsia="Verdana" w:cs="Tahoma"/>
          <w:sz w:val="24"/>
          <w:szCs w:val="24"/>
        </w:rPr>
        <w:t xml:space="preserve">. </w:t>
      </w:r>
    </w:p>
    <w:p w14:paraId="0B0DE5B4" w14:textId="77777777" w:rsidR="00A8241E" w:rsidRPr="00000790" w:rsidRDefault="00A8241E" w:rsidP="00000790">
      <w:pPr>
        <w:spacing w:line="276" w:lineRule="auto"/>
        <w:rPr>
          <w:rFonts w:cs="Tahoma"/>
          <w:sz w:val="24"/>
          <w:szCs w:val="24"/>
        </w:rPr>
      </w:pPr>
    </w:p>
    <w:p w14:paraId="2F31D267" w14:textId="77777777" w:rsidR="00C11CFB" w:rsidRPr="00000790" w:rsidRDefault="00404442" w:rsidP="00000790">
      <w:pPr>
        <w:spacing w:line="276" w:lineRule="auto"/>
        <w:rPr>
          <w:rFonts w:cs="Tahoma"/>
          <w:sz w:val="24"/>
          <w:szCs w:val="24"/>
        </w:rPr>
      </w:pPr>
      <w:r w:rsidRPr="00000790">
        <w:rPr>
          <w:rFonts w:cs="Tahoma"/>
          <w:sz w:val="24"/>
          <w:szCs w:val="24"/>
        </w:rPr>
        <w:t xml:space="preserve">Como </w:t>
      </w:r>
      <w:r w:rsidR="0075728E" w:rsidRPr="00000790">
        <w:rPr>
          <w:rFonts w:cs="Tahoma"/>
          <w:sz w:val="24"/>
          <w:szCs w:val="24"/>
        </w:rPr>
        <w:t xml:space="preserve">consecuencia de las notorias y evidentes violaciones del debido proceso en las que las partes incurrieron con lo </w:t>
      </w:r>
      <w:proofErr w:type="spellStart"/>
      <w:r w:rsidR="0075728E" w:rsidRPr="00000790">
        <w:rPr>
          <w:rFonts w:cs="Tahoma"/>
          <w:sz w:val="24"/>
          <w:szCs w:val="24"/>
        </w:rPr>
        <w:t>preacordado</w:t>
      </w:r>
      <w:proofErr w:type="spellEnd"/>
      <w:r w:rsidR="0075728E" w:rsidRPr="00000790">
        <w:rPr>
          <w:rFonts w:cs="Tahoma"/>
          <w:sz w:val="24"/>
          <w:szCs w:val="24"/>
        </w:rPr>
        <w:t>,</w:t>
      </w:r>
      <w:r w:rsidR="00430C74" w:rsidRPr="00000790">
        <w:rPr>
          <w:rFonts w:cs="Tahoma"/>
          <w:sz w:val="24"/>
          <w:szCs w:val="24"/>
        </w:rPr>
        <w:t xml:space="preserve"> debía la funcionaria de primer grado despachar de forma desfavorable lo pactado, ya que ello, de manera </w:t>
      </w:r>
      <w:r w:rsidR="0075728E" w:rsidRPr="00000790">
        <w:rPr>
          <w:rFonts w:cs="Tahoma"/>
          <w:sz w:val="24"/>
          <w:szCs w:val="24"/>
        </w:rPr>
        <w:t xml:space="preserve">palmaria desconocía el contexto factual de lo </w:t>
      </w:r>
      <w:r w:rsidR="00430C74" w:rsidRPr="00000790">
        <w:rPr>
          <w:rFonts w:cs="Tahoma"/>
          <w:sz w:val="24"/>
          <w:szCs w:val="24"/>
        </w:rPr>
        <w:t xml:space="preserve">acontecido, máxime que de acuerdo a </w:t>
      </w:r>
      <w:r w:rsidR="0075728E" w:rsidRPr="00000790">
        <w:rPr>
          <w:rFonts w:cs="Tahoma"/>
          <w:sz w:val="24"/>
          <w:szCs w:val="24"/>
        </w:rPr>
        <w:t>los medios de conocimiento habidos en la actuación</w:t>
      </w:r>
      <w:r w:rsidR="00430C74" w:rsidRPr="00000790">
        <w:rPr>
          <w:rFonts w:cs="Tahoma"/>
          <w:sz w:val="24"/>
          <w:szCs w:val="24"/>
        </w:rPr>
        <w:t xml:space="preserve">, se demostraba la ilicitud respecto del delito que le fue </w:t>
      </w:r>
      <w:r w:rsidRPr="00000790">
        <w:rPr>
          <w:rFonts w:cs="Tahoma"/>
          <w:sz w:val="24"/>
          <w:szCs w:val="24"/>
        </w:rPr>
        <w:t>imputado</w:t>
      </w:r>
      <w:r w:rsidR="00430C74" w:rsidRPr="00000790">
        <w:rPr>
          <w:rFonts w:cs="Tahoma"/>
          <w:sz w:val="24"/>
          <w:szCs w:val="24"/>
        </w:rPr>
        <w:t xml:space="preserve"> al aquí </w:t>
      </w:r>
      <w:r w:rsidRPr="00000790">
        <w:rPr>
          <w:rFonts w:cs="Tahoma"/>
          <w:sz w:val="24"/>
          <w:szCs w:val="24"/>
        </w:rPr>
        <w:t>encartado</w:t>
      </w:r>
      <w:r w:rsidR="00430C74" w:rsidRPr="00000790">
        <w:rPr>
          <w:rFonts w:cs="Tahoma"/>
          <w:sz w:val="24"/>
          <w:szCs w:val="24"/>
        </w:rPr>
        <w:t>, es decir</w:t>
      </w:r>
      <w:r w:rsidRPr="00000790">
        <w:rPr>
          <w:rFonts w:cs="Tahoma"/>
          <w:sz w:val="24"/>
          <w:szCs w:val="24"/>
        </w:rPr>
        <w:t>, es decir,</w:t>
      </w:r>
      <w:r w:rsidR="00382181" w:rsidRPr="00000790">
        <w:rPr>
          <w:rFonts w:cs="Tahoma"/>
          <w:sz w:val="24"/>
          <w:szCs w:val="24"/>
        </w:rPr>
        <w:t xml:space="preserve"> </w:t>
      </w:r>
      <w:r w:rsidRPr="00000790">
        <w:rPr>
          <w:rFonts w:cs="Tahoma"/>
          <w:sz w:val="24"/>
          <w:szCs w:val="24"/>
        </w:rPr>
        <w:t>Acceso carnal o acto sexual abusivo con incapaz de resistir</w:t>
      </w:r>
      <w:r w:rsidR="00382181" w:rsidRPr="00000790">
        <w:rPr>
          <w:rFonts w:cs="Tahoma"/>
          <w:sz w:val="24"/>
          <w:szCs w:val="24"/>
        </w:rPr>
        <w:t xml:space="preserve">. </w:t>
      </w:r>
    </w:p>
    <w:p w14:paraId="2561931C" w14:textId="77777777" w:rsidR="00382181" w:rsidRPr="00000790" w:rsidRDefault="00382181" w:rsidP="00000790">
      <w:pPr>
        <w:spacing w:line="276" w:lineRule="auto"/>
        <w:rPr>
          <w:rFonts w:cs="Tahoma"/>
          <w:spacing w:val="-4"/>
          <w:position w:val="-4"/>
          <w:sz w:val="24"/>
          <w:szCs w:val="24"/>
        </w:rPr>
      </w:pPr>
    </w:p>
    <w:p w14:paraId="2B555CE9" w14:textId="54E3CFF5" w:rsidR="004A290F" w:rsidRPr="00000790" w:rsidRDefault="00E866C3" w:rsidP="00000790">
      <w:pPr>
        <w:spacing w:line="276" w:lineRule="auto"/>
        <w:rPr>
          <w:rFonts w:cs="Tahoma"/>
          <w:spacing w:val="-4"/>
          <w:position w:val="-4"/>
          <w:sz w:val="24"/>
          <w:szCs w:val="24"/>
        </w:rPr>
      </w:pPr>
      <w:r w:rsidRPr="00000790">
        <w:rPr>
          <w:rFonts w:cs="Tahoma"/>
          <w:spacing w:val="-4"/>
          <w:position w:val="-4"/>
          <w:sz w:val="24"/>
          <w:szCs w:val="24"/>
        </w:rPr>
        <w:t>No obstante lo anterior, se presentó otra</w:t>
      </w:r>
      <w:r w:rsidR="004A290F" w:rsidRPr="00000790">
        <w:rPr>
          <w:rFonts w:cs="Tahoma"/>
          <w:spacing w:val="-4"/>
          <w:position w:val="-4"/>
          <w:sz w:val="24"/>
          <w:szCs w:val="24"/>
        </w:rPr>
        <w:t xml:space="preserve"> irregularidad que no puede pasar por alto esta Sala, </w:t>
      </w:r>
      <w:r w:rsidRPr="00000790">
        <w:rPr>
          <w:rFonts w:cs="Tahoma"/>
          <w:spacing w:val="-4"/>
          <w:position w:val="-4"/>
          <w:sz w:val="24"/>
          <w:szCs w:val="24"/>
        </w:rPr>
        <w:t xml:space="preserve">y </w:t>
      </w:r>
      <w:r w:rsidR="004A290F" w:rsidRPr="00000790">
        <w:rPr>
          <w:rFonts w:cs="Tahoma"/>
          <w:spacing w:val="-4"/>
          <w:position w:val="-4"/>
          <w:sz w:val="24"/>
          <w:szCs w:val="24"/>
        </w:rPr>
        <w:t xml:space="preserve">es el hecho que la funcionaria de primer grado, </w:t>
      </w:r>
      <w:r w:rsidR="004A290F" w:rsidRPr="00000790">
        <w:rPr>
          <w:rFonts w:cs="Tahoma"/>
          <w:i/>
          <w:iCs/>
          <w:spacing w:val="-4"/>
          <w:position w:val="-4"/>
          <w:sz w:val="24"/>
          <w:szCs w:val="24"/>
        </w:rPr>
        <w:t xml:space="preserve">haya condenado al señor </w:t>
      </w:r>
      <w:r w:rsidR="00FF6C2E">
        <w:rPr>
          <w:rFonts w:cs="Tahoma"/>
          <w:i/>
          <w:iCs/>
          <w:spacing w:val="-4"/>
          <w:position w:val="-4"/>
          <w:sz w:val="24"/>
          <w:szCs w:val="24"/>
        </w:rPr>
        <w:t>MSMV</w:t>
      </w:r>
      <w:r w:rsidR="004A290F" w:rsidRPr="00000790">
        <w:rPr>
          <w:rFonts w:cs="Tahoma"/>
          <w:i/>
          <w:iCs/>
          <w:spacing w:val="-4"/>
          <w:position w:val="-4"/>
          <w:sz w:val="24"/>
          <w:szCs w:val="24"/>
        </w:rPr>
        <w:t xml:space="preserve"> por el delito de Acoso sexual,</w:t>
      </w:r>
      <w:r w:rsidR="004A290F" w:rsidRPr="00000790">
        <w:rPr>
          <w:rFonts w:cs="Tahoma"/>
          <w:spacing w:val="-4"/>
          <w:position w:val="-4"/>
          <w:sz w:val="24"/>
          <w:szCs w:val="24"/>
        </w:rPr>
        <w:t xml:space="preserve"> figura que si bien, como ya dijo en líneas atrás, fue mal utilizada por el delegado de la fiscalía</w:t>
      </w:r>
      <w:r w:rsidRPr="00000790">
        <w:rPr>
          <w:rFonts w:cs="Tahoma"/>
          <w:spacing w:val="-4"/>
          <w:position w:val="-4"/>
          <w:sz w:val="24"/>
          <w:szCs w:val="24"/>
        </w:rPr>
        <w:t xml:space="preserve"> quien de forma inadecuada hizo un cambio en la calificación jurídica</w:t>
      </w:r>
      <w:r w:rsidR="004A290F" w:rsidRPr="00000790">
        <w:rPr>
          <w:rFonts w:cs="Tahoma"/>
          <w:spacing w:val="-4"/>
          <w:position w:val="-4"/>
          <w:sz w:val="24"/>
          <w:szCs w:val="24"/>
        </w:rPr>
        <w:t xml:space="preserve">, </w:t>
      </w:r>
      <w:r w:rsidRPr="00000790">
        <w:rPr>
          <w:rFonts w:cs="Tahoma"/>
          <w:spacing w:val="-4"/>
          <w:position w:val="-4"/>
          <w:sz w:val="24"/>
          <w:szCs w:val="24"/>
        </w:rPr>
        <w:t xml:space="preserve">la misma </w:t>
      </w:r>
      <w:r w:rsidR="004A290F" w:rsidRPr="00000790">
        <w:rPr>
          <w:rFonts w:cs="Tahoma"/>
          <w:spacing w:val="-4"/>
          <w:position w:val="-4"/>
          <w:sz w:val="24"/>
          <w:szCs w:val="24"/>
        </w:rPr>
        <w:t xml:space="preserve">únicamente </w:t>
      </w:r>
      <w:r w:rsidRPr="00000790">
        <w:rPr>
          <w:rFonts w:cs="Tahoma"/>
          <w:spacing w:val="-4"/>
          <w:position w:val="-4"/>
          <w:sz w:val="24"/>
          <w:szCs w:val="24"/>
        </w:rPr>
        <w:t xml:space="preserve">debió ser utilizada como </w:t>
      </w:r>
      <w:r w:rsidR="004A290F" w:rsidRPr="00000790">
        <w:rPr>
          <w:rFonts w:cs="Tahoma"/>
          <w:spacing w:val="-4"/>
          <w:position w:val="-4"/>
          <w:sz w:val="24"/>
          <w:szCs w:val="24"/>
        </w:rPr>
        <w:t>una ficción legal a efectos de disminuir la pena como contraprestación por la aceptación temprana de cargos por parte del procesado</w:t>
      </w:r>
      <w:r w:rsidR="00CF5197" w:rsidRPr="00000790">
        <w:rPr>
          <w:rFonts w:cs="Tahoma"/>
          <w:spacing w:val="-4"/>
          <w:position w:val="-4"/>
          <w:sz w:val="24"/>
          <w:szCs w:val="24"/>
        </w:rPr>
        <w:t>;</w:t>
      </w:r>
      <w:r w:rsidR="004A290F" w:rsidRPr="00000790">
        <w:rPr>
          <w:rFonts w:cs="Tahoma"/>
          <w:spacing w:val="-4"/>
          <w:position w:val="-4"/>
          <w:sz w:val="24"/>
          <w:szCs w:val="24"/>
        </w:rPr>
        <w:t xml:space="preserve"> sin embargo, al parecer la intervención </w:t>
      </w:r>
      <w:r w:rsidR="00BE698E" w:rsidRPr="00000790">
        <w:rPr>
          <w:rFonts w:cs="Tahoma"/>
          <w:spacing w:val="-4"/>
          <w:position w:val="-4"/>
          <w:sz w:val="24"/>
          <w:szCs w:val="24"/>
        </w:rPr>
        <w:t>que realizó el delegado del Ministerio Público</w:t>
      </w:r>
      <w:r w:rsidR="004A290F" w:rsidRPr="00000790">
        <w:rPr>
          <w:rFonts w:cs="Tahoma"/>
          <w:spacing w:val="-4"/>
          <w:position w:val="-4"/>
          <w:sz w:val="24"/>
          <w:szCs w:val="24"/>
        </w:rPr>
        <w:t xml:space="preserve"> en la audiencia que se llevó a cabo en septiembre 20 de 2022, resultó de poca relevancia para la falladora, toda vez </w:t>
      </w:r>
      <w:r w:rsidR="00BE698E" w:rsidRPr="00000790">
        <w:rPr>
          <w:rFonts w:cs="Tahoma"/>
          <w:spacing w:val="-4"/>
          <w:position w:val="-4"/>
          <w:sz w:val="24"/>
          <w:szCs w:val="24"/>
        </w:rPr>
        <w:t>fue enfático</w:t>
      </w:r>
      <w:r w:rsidRPr="00000790">
        <w:rPr>
          <w:rFonts w:cs="Tahoma"/>
          <w:spacing w:val="-4"/>
          <w:position w:val="-4"/>
          <w:sz w:val="24"/>
          <w:szCs w:val="24"/>
        </w:rPr>
        <w:t xml:space="preserve"> el representante de la sociedad</w:t>
      </w:r>
      <w:r w:rsidR="00BE698E" w:rsidRPr="00000790">
        <w:rPr>
          <w:rFonts w:cs="Tahoma"/>
          <w:spacing w:val="-4"/>
          <w:position w:val="-4"/>
          <w:sz w:val="24"/>
          <w:szCs w:val="24"/>
        </w:rPr>
        <w:t xml:space="preserve"> en manifestar que si bien el señor </w:t>
      </w:r>
      <w:r w:rsidR="00FF6C2E">
        <w:rPr>
          <w:rFonts w:cs="Tahoma"/>
          <w:spacing w:val="-4"/>
          <w:position w:val="-4"/>
          <w:sz w:val="24"/>
          <w:szCs w:val="24"/>
        </w:rPr>
        <w:t>MSMV</w:t>
      </w:r>
      <w:r w:rsidR="00BE698E" w:rsidRPr="00000790">
        <w:rPr>
          <w:rFonts w:cs="Tahoma"/>
          <w:spacing w:val="-4"/>
          <w:position w:val="-4"/>
          <w:sz w:val="24"/>
          <w:szCs w:val="24"/>
        </w:rPr>
        <w:t xml:space="preserve"> aceptó los cargos </w:t>
      </w:r>
      <w:r w:rsidRPr="00000790">
        <w:rPr>
          <w:rFonts w:cs="Tahoma"/>
          <w:spacing w:val="-4"/>
          <w:position w:val="-4"/>
          <w:sz w:val="24"/>
          <w:szCs w:val="24"/>
        </w:rPr>
        <w:t xml:space="preserve">por el delito </w:t>
      </w:r>
      <w:r w:rsidR="00BE698E" w:rsidRPr="00000790">
        <w:rPr>
          <w:rFonts w:cs="Tahoma"/>
          <w:spacing w:val="-4"/>
          <w:position w:val="-4"/>
          <w:sz w:val="24"/>
          <w:szCs w:val="24"/>
        </w:rPr>
        <w:t xml:space="preserve">de acoso sexual, </w:t>
      </w:r>
      <w:r w:rsidR="00BE698E" w:rsidRPr="00000790">
        <w:rPr>
          <w:rFonts w:cs="Tahoma"/>
          <w:i/>
          <w:iCs/>
          <w:spacing w:val="-4"/>
          <w:position w:val="-4"/>
          <w:sz w:val="24"/>
          <w:szCs w:val="24"/>
        </w:rPr>
        <w:t xml:space="preserve">en la sentencia </w:t>
      </w:r>
      <w:r w:rsidRPr="00000790">
        <w:rPr>
          <w:rFonts w:cs="Tahoma"/>
          <w:i/>
          <w:iCs/>
          <w:spacing w:val="-4"/>
          <w:position w:val="-4"/>
          <w:sz w:val="24"/>
          <w:szCs w:val="24"/>
        </w:rPr>
        <w:t>debía</w:t>
      </w:r>
      <w:r w:rsidR="00BE698E" w:rsidRPr="00000790">
        <w:rPr>
          <w:rFonts w:cs="Tahoma"/>
          <w:i/>
          <w:iCs/>
          <w:spacing w:val="-4"/>
          <w:position w:val="-4"/>
          <w:sz w:val="24"/>
          <w:szCs w:val="24"/>
        </w:rPr>
        <w:t xml:space="preserve"> ser condenado por el delito por </w:t>
      </w:r>
      <w:r w:rsidR="00F80903" w:rsidRPr="00000790">
        <w:rPr>
          <w:rFonts w:cs="Tahoma"/>
          <w:i/>
          <w:iCs/>
          <w:spacing w:val="-4"/>
          <w:position w:val="-4"/>
          <w:sz w:val="24"/>
          <w:szCs w:val="24"/>
        </w:rPr>
        <w:t xml:space="preserve">el </w:t>
      </w:r>
      <w:r w:rsidR="00BE698E" w:rsidRPr="00000790">
        <w:rPr>
          <w:rFonts w:cs="Tahoma"/>
          <w:i/>
          <w:iCs/>
          <w:spacing w:val="-4"/>
          <w:position w:val="-4"/>
          <w:sz w:val="24"/>
          <w:szCs w:val="24"/>
        </w:rPr>
        <w:t>cual se le hizo el llamamiento a juicio</w:t>
      </w:r>
      <w:r w:rsidR="00BE698E" w:rsidRPr="00000790">
        <w:rPr>
          <w:rFonts w:cs="Tahoma"/>
          <w:spacing w:val="-4"/>
          <w:position w:val="-4"/>
          <w:sz w:val="24"/>
          <w:szCs w:val="24"/>
        </w:rPr>
        <w:t xml:space="preserve">, es decir, </w:t>
      </w:r>
      <w:r w:rsidR="00EB33C0" w:rsidRPr="00000790">
        <w:rPr>
          <w:rFonts w:cs="Tahoma"/>
          <w:spacing w:val="-4"/>
          <w:position w:val="-4"/>
          <w:sz w:val="24"/>
          <w:szCs w:val="24"/>
        </w:rPr>
        <w:t>Acceso carnal o acto sexual abusivo con incapaz de resistir, inclusive, de manera respetuosa pero reiterativa, solicitó que así quedara plasmado en la respectiva providencia.</w:t>
      </w:r>
    </w:p>
    <w:p w14:paraId="04DA11EB" w14:textId="77777777" w:rsidR="004A290F" w:rsidRPr="00000790" w:rsidRDefault="004A290F" w:rsidP="00000790">
      <w:pPr>
        <w:spacing w:line="276" w:lineRule="auto"/>
        <w:rPr>
          <w:rFonts w:cs="Tahoma"/>
          <w:spacing w:val="-4"/>
          <w:position w:val="-4"/>
          <w:sz w:val="24"/>
          <w:szCs w:val="24"/>
        </w:rPr>
      </w:pPr>
    </w:p>
    <w:p w14:paraId="3CEE0B7C" w14:textId="77777777" w:rsidR="00F238D7" w:rsidRPr="00000790" w:rsidRDefault="005E4D29" w:rsidP="00000790">
      <w:pPr>
        <w:spacing w:line="276" w:lineRule="auto"/>
        <w:rPr>
          <w:rFonts w:cs="Tahoma"/>
          <w:spacing w:val="-4"/>
          <w:position w:val="-4"/>
          <w:sz w:val="24"/>
          <w:szCs w:val="24"/>
          <w:lang w:val="es-CO" w:eastAsia="es-ES_tradnl"/>
        </w:rPr>
      </w:pPr>
      <w:r w:rsidRPr="00000790">
        <w:rPr>
          <w:rFonts w:cs="Tahoma"/>
          <w:spacing w:val="-4"/>
          <w:position w:val="-4"/>
          <w:sz w:val="24"/>
          <w:szCs w:val="24"/>
          <w:lang w:val="es-CO" w:eastAsia="es-ES_tradnl"/>
        </w:rPr>
        <w:t>R</w:t>
      </w:r>
      <w:r w:rsidR="00F238D7" w:rsidRPr="00000790">
        <w:rPr>
          <w:rFonts w:cs="Tahoma"/>
          <w:spacing w:val="-4"/>
          <w:position w:val="-4"/>
          <w:sz w:val="24"/>
          <w:szCs w:val="24"/>
          <w:lang w:val="es-CO" w:eastAsia="es-ES_tradnl"/>
        </w:rPr>
        <w:t xml:space="preserve">especto a ese particular asunto, la Sala de Casación Penal, en CSJ SP, 24 jun. 2020, Rad. </w:t>
      </w:r>
      <w:r w:rsidR="00F238D7" w:rsidRPr="00000790">
        <w:rPr>
          <w:rFonts w:cs="Tahoma"/>
          <w:spacing w:val="-4"/>
          <w:position w:val="-4"/>
          <w:sz w:val="24"/>
          <w:szCs w:val="24"/>
        </w:rPr>
        <w:t>52227</w:t>
      </w:r>
      <w:r w:rsidR="00F238D7" w:rsidRPr="00000790">
        <w:rPr>
          <w:rFonts w:cs="Tahoma"/>
          <w:spacing w:val="-4"/>
          <w:position w:val="-4"/>
          <w:sz w:val="24"/>
          <w:szCs w:val="24"/>
          <w:lang w:val="es-CO" w:eastAsia="es-ES_tradnl"/>
        </w:rPr>
        <w:t>, sostuvo:</w:t>
      </w:r>
    </w:p>
    <w:p w14:paraId="133B66D8" w14:textId="77777777" w:rsidR="00F238D7" w:rsidRPr="00000790" w:rsidRDefault="00F238D7" w:rsidP="00000790">
      <w:pPr>
        <w:spacing w:line="276" w:lineRule="auto"/>
        <w:rPr>
          <w:rFonts w:cs="Tahoma"/>
          <w:spacing w:val="-4"/>
          <w:position w:val="-4"/>
          <w:sz w:val="24"/>
          <w:szCs w:val="24"/>
          <w:lang w:val="es-CO" w:eastAsia="es-ES_tradnl"/>
        </w:rPr>
      </w:pPr>
      <w:r w:rsidRPr="00000790">
        <w:rPr>
          <w:rFonts w:cs="Tahoma"/>
          <w:spacing w:val="-4"/>
          <w:position w:val="-4"/>
          <w:sz w:val="24"/>
          <w:szCs w:val="24"/>
          <w:lang w:val="es-CO" w:eastAsia="es-ES_tradnl"/>
        </w:rPr>
        <w:t xml:space="preserve"> </w:t>
      </w:r>
    </w:p>
    <w:p w14:paraId="68E53B4B" w14:textId="77777777" w:rsidR="00F238D7" w:rsidRPr="004B01EA" w:rsidRDefault="00F238D7" w:rsidP="004B01EA">
      <w:pPr>
        <w:spacing w:line="240" w:lineRule="auto"/>
        <w:ind w:left="426" w:right="420"/>
        <w:rPr>
          <w:rFonts w:cs="Tahoma"/>
          <w:spacing w:val="-4"/>
          <w:position w:val="-4"/>
          <w:sz w:val="22"/>
          <w:szCs w:val="24"/>
          <w:lang w:val="es-CO" w:eastAsia="es-ES_tradnl"/>
        </w:rPr>
      </w:pPr>
      <w:r w:rsidRPr="004B01EA">
        <w:rPr>
          <w:rFonts w:cs="Tahoma"/>
          <w:spacing w:val="-4"/>
          <w:position w:val="-4"/>
          <w:sz w:val="22"/>
          <w:szCs w:val="24"/>
          <w:lang w:val="es-CO" w:eastAsia="es-ES_tradnl"/>
        </w:rPr>
        <w:lastRenderedPageBreak/>
        <w:t xml:space="preserve">“Primero. </w:t>
      </w:r>
      <w:r w:rsidRPr="004B01EA">
        <w:rPr>
          <w:rFonts w:cs="Tahoma"/>
          <w:b/>
          <w:spacing w:val="-4"/>
          <w:position w:val="-4"/>
          <w:sz w:val="22"/>
          <w:szCs w:val="24"/>
          <w:lang w:val="es-CO" w:eastAsia="es-ES_tradnl"/>
        </w:rPr>
        <w:t xml:space="preserve">En virtud de un acuerdo no es posible </w:t>
      </w:r>
      <w:proofErr w:type="gramStart"/>
      <w:r w:rsidRPr="004B01EA">
        <w:rPr>
          <w:rFonts w:cs="Tahoma"/>
          <w:b/>
          <w:spacing w:val="-4"/>
          <w:position w:val="-4"/>
          <w:sz w:val="22"/>
          <w:szCs w:val="24"/>
          <w:lang w:val="es-CO" w:eastAsia="es-ES_tradnl"/>
        </w:rPr>
        <w:t>asignarle</w:t>
      </w:r>
      <w:proofErr w:type="gramEnd"/>
      <w:r w:rsidRPr="004B01EA">
        <w:rPr>
          <w:rFonts w:cs="Tahoma"/>
          <w:b/>
          <w:spacing w:val="-4"/>
          <w:position w:val="-4"/>
          <w:sz w:val="22"/>
          <w:szCs w:val="24"/>
          <w:lang w:val="es-CO" w:eastAsia="es-ES_tradnl"/>
        </w:rPr>
        <w:t xml:space="preserve"> a los hechos una calificación jurídica que no corresponda</w:t>
      </w:r>
      <w:r w:rsidRPr="004B01EA">
        <w:rPr>
          <w:rFonts w:cs="Tahoma"/>
          <w:spacing w:val="-4"/>
          <w:position w:val="-4"/>
          <w:sz w:val="22"/>
          <w:szCs w:val="24"/>
          <w:lang w:val="es-CO" w:eastAsia="es-ES_tradnl"/>
        </w:rPr>
        <w:t xml:space="preserve">, como, por ejemplo, cuando se pretende darle el carácter de cómplice a quien claramente es autor, o reconocer una circunstancia de menor punibilidad sin ninguna base fáctica. En este tipo de eventos (i) </w:t>
      </w:r>
      <w:r w:rsidRPr="004B01EA">
        <w:rPr>
          <w:rFonts w:cs="Tahoma"/>
          <w:b/>
          <w:spacing w:val="-4"/>
          <w:position w:val="-4"/>
          <w:sz w:val="22"/>
          <w:szCs w:val="24"/>
          <w:lang w:val="es-CO" w:eastAsia="es-ES_tradnl"/>
        </w:rPr>
        <w:t>la pretensión de las partes consiste en que en la condena se opte por una calificación jurídica que no corresponde a los hechos</w:t>
      </w:r>
      <w:r w:rsidRPr="004B01EA">
        <w:rPr>
          <w:rFonts w:cs="Tahoma"/>
          <w:spacing w:val="-4"/>
          <w:position w:val="-4"/>
          <w:sz w:val="22"/>
          <w:szCs w:val="24"/>
          <w:lang w:val="es-CO" w:eastAsia="es-ES_tradnl"/>
        </w:rPr>
        <w:t xml:space="preserve">, como sucede en los ejemplos que se acaban de referir; (ii) </w:t>
      </w:r>
      <w:r w:rsidRPr="004B01EA">
        <w:rPr>
          <w:rFonts w:cs="Tahoma"/>
          <w:b/>
          <w:spacing w:val="-4"/>
          <w:position w:val="-4"/>
          <w:sz w:val="22"/>
          <w:szCs w:val="24"/>
          <w:lang w:val="es-CO" w:eastAsia="es-ES_tradnl"/>
        </w:rPr>
        <w:t>en tales casos se incurre en una trasgresión inaceptable del principio de legalidad; (iii) esos cambios de calificación jurídica sin base factual pueden afectar los derechos de las víctimas, como cuando se asume que el procesado actuó bajo un estado de ira que no tiene soporte fáctico y probatorio; y (iv) además, este tipo de acuerdos pueden desprestigiar la administración de justicia, principalmente cuando se utilizan para solapar beneficios desproporcionados.</w:t>
      </w:r>
      <w:r w:rsidRPr="004B01EA">
        <w:rPr>
          <w:rFonts w:cs="Tahoma"/>
          <w:spacing w:val="-4"/>
          <w:position w:val="-4"/>
          <w:sz w:val="22"/>
          <w:szCs w:val="24"/>
          <w:lang w:val="es-CO" w:eastAsia="es-ES_tradnl"/>
        </w:rPr>
        <w:t xml:space="preserve">    </w:t>
      </w:r>
    </w:p>
    <w:p w14:paraId="3D208962" w14:textId="77777777" w:rsidR="00F238D7" w:rsidRPr="004B01EA" w:rsidRDefault="00F238D7" w:rsidP="004B01EA">
      <w:pPr>
        <w:spacing w:line="240" w:lineRule="auto"/>
        <w:ind w:left="426" w:right="420"/>
        <w:rPr>
          <w:rFonts w:cs="Tahoma"/>
          <w:spacing w:val="-4"/>
          <w:position w:val="-4"/>
          <w:sz w:val="22"/>
          <w:szCs w:val="24"/>
          <w:lang w:val="es-CO" w:eastAsia="es-ES_tradnl"/>
        </w:rPr>
      </w:pPr>
      <w:r w:rsidRPr="004B01EA">
        <w:rPr>
          <w:rFonts w:cs="Tahoma"/>
          <w:spacing w:val="-4"/>
          <w:position w:val="-4"/>
          <w:sz w:val="22"/>
          <w:szCs w:val="24"/>
          <w:lang w:val="es-CO" w:eastAsia="es-ES_tradnl"/>
        </w:rPr>
        <w:t xml:space="preserve"> </w:t>
      </w:r>
    </w:p>
    <w:p w14:paraId="244345FA" w14:textId="77777777" w:rsidR="00F238D7" w:rsidRPr="004B01EA" w:rsidRDefault="00F238D7" w:rsidP="004B01EA">
      <w:pPr>
        <w:spacing w:line="240" w:lineRule="auto"/>
        <w:ind w:left="426" w:right="420"/>
        <w:rPr>
          <w:rFonts w:cs="Tahoma"/>
          <w:spacing w:val="-4"/>
          <w:position w:val="-4"/>
          <w:sz w:val="22"/>
          <w:szCs w:val="24"/>
          <w:lang w:val="es-CO" w:eastAsia="es-ES_tradnl"/>
        </w:rPr>
      </w:pPr>
      <w:r w:rsidRPr="004B01EA">
        <w:rPr>
          <w:rFonts w:cs="Tahoma"/>
          <w:spacing w:val="-4"/>
          <w:position w:val="-4"/>
          <w:sz w:val="22"/>
          <w:szCs w:val="24"/>
          <w:lang w:val="es-CO" w:eastAsia="es-ES_tradnl"/>
        </w:rPr>
        <w:t xml:space="preserve">Segundo. </w:t>
      </w:r>
      <w:r w:rsidRPr="004B01EA">
        <w:rPr>
          <w:rFonts w:cs="Tahoma"/>
          <w:b/>
          <w:spacing w:val="-4"/>
          <w:position w:val="-4"/>
          <w:sz w:val="22"/>
          <w:szCs w:val="24"/>
          <w:lang w:val="es-CO" w:eastAsia="es-ES_tradnl"/>
        </w:rPr>
        <w:t>Existe otra modalidad de acuerdo utilizada con frecuencia en la práctica judicial, consistente en tomar como referencia una calificación jurídica con el único fin de establecer el monto de la pena</w:t>
      </w:r>
      <w:r w:rsidRPr="004B01EA">
        <w:rPr>
          <w:rFonts w:cs="Tahoma"/>
          <w:spacing w:val="-4"/>
          <w:position w:val="-4"/>
          <w:sz w:val="22"/>
          <w:szCs w:val="24"/>
          <w:lang w:val="es-CO" w:eastAsia="es-ES_tradnl"/>
        </w:rPr>
        <w:t xml:space="preserve">. En esos casos: (i) las partes no pretenden que el juez le imprima a los hechos una calificación jurídica que no corresponde, tal y como sucede en la modalidad de acuerdo referida en el párrafo precedente; (ii) así, a la luz de los ejemplos anteriores, el autor es condenado como tal, y no como cómplice, y no se declara probado que el procesado actuó bajo la circunstancia de menor punibilidad –sin base fáctica-; (iii) </w:t>
      </w:r>
      <w:r w:rsidRPr="004B01EA">
        <w:rPr>
          <w:rFonts w:cs="Tahoma"/>
          <w:b/>
          <w:spacing w:val="-4"/>
          <w:position w:val="-4"/>
          <w:sz w:val="22"/>
          <w:szCs w:val="24"/>
          <w:lang w:val="es-CO" w:eastAsia="es-ES_tradnl"/>
        </w:rPr>
        <w:t xml:space="preserve">la alusión a una calificación jurídica que no corresponde, solo se orienta a establecer el monto de la pena, esto es, se le condena en calidad de autor, </w:t>
      </w:r>
      <w:r w:rsidRPr="004B01EA">
        <w:rPr>
          <w:rFonts w:cs="Tahoma"/>
          <w:b/>
          <w:spacing w:val="-4"/>
          <w:position w:val="-4"/>
          <w:sz w:val="22"/>
          <w:szCs w:val="24"/>
          <w:u w:val="single"/>
          <w:lang w:val="es-CO" w:eastAsia="es-ES_tradnl"/>
        </w:rPr>
        <w:t>pero se le asigna la pena del cómplice</w:t>
      </w:r>
      <w:r w:rsidRPr="004B01EA">
        <w:rPr>
          <w:rFonts w:cs="Tahoma"/>
          <w:b/>
          <w:spacing w:val="-4"/>
          <w:position w:val="-4"/>
          <w:sz w:val="22"/>
          <w:szCs w:val="24"/>
          <w:lang w:val="es-CO" w:eastAsia="es-ES_tradnl"/>
        </w:rPr>
        <w:t xml:space="preserve"> –para continuar con el mismo ejemplo-; (iv) </w:t>
      </w:r>
      <w:r w:rsidRPr="004B01EA">
        <w:rPr>
          <w:rFonts w:cs="Tahoma"/>
          <w:b/>
          <w:spacing w:val="-4"/>
          <w:position w:val="-4"/>
          <w:sz w:val="22"/>
          <w:szCs w:val="24"/>
          <w:u w:val="single"/>
          <w:lang w:val="es-CO" w:eastAsia="es-ES_tradnl"/>
        </w:rPr>
        <w:t>el principal límite de esta modalidad de acuerdo está representado en la proporcionalidad de la rebaja</w:t>
      </w:r>
      <w:r w:rsidRPr="004B01EA">
        <w:rPr>
          <w:rFonts w:cs="Tahoma"/>
          <w:b/>
          <w:spacing w:val="-4"/>
          <w:position w:val="-4"/>
          <w:sz w:val="22"/>
          <w:szCs w:val="24"/>
          <w:lang w:val="es-CO" w:eastAsia="es-ES_tradnl"/>
        </w:rPr>
        <w:t>, según las reglas analizadas a lo largo de este proveído y que serán resumidas en el siguiente párrafo</w:t>
      </w:r>
      <w:r w:rsidRPr="004B01EA">
        <w:rPr>
          <w:rFonts w:cs="Tahoma"/>
          <w:spacing w:val="-4"/>
          <w:position w:val="-4"/>
          <w:sz w:val="22"/>
          <w:szCs w:val="24"/>
          <w:lang w:val="es-CO" w:eastAsia="es-ES_tradnl"/>
        </w:rPr>
        <w:t xml:space="preserve">; y (v) las partes deben expresar con total claridad los alcances del beneficio concedido en virtud del acuerdo, especialmente lo que atañe a los subrogados penales.  </w:t>
      </w:r>
    </w:p>
    <w:p w14:paraId="43E04556" w14:textId="77777777" w:rsidR="00F238D7" w:rsidRPr="004B01EA" w:rsidRDefault="00F238D7" w:rsidP="004B01EA">
      <w:pPr>
        <w:spacing w:line="240" w:lineRule="auto"/>
        <w:ind w:left="426" w:right="420"/>
        <w:rPr>
          <w:rFonts w:cs="Tahoma"/>
          <w:spacing w:val="-4"/>
          <w:position w:val="-4"/>
          <w:sz w:val="22"/>
          <w:szCs w:val="24"/>
          <w:lang w:val="es-CO" w:eastAsia="es-ES_tradnl"/>
        </w:rPr>
      </w:pPr>
      <w:r w:rsidRPr="004B01EA">
        <w:rPr>
          <w:rFonts w:cs="Tahoma"/>
          <w:spacing w:val="-4"/>
          <w:position w:val="-4"/>
          <w:sz w:val="22"/>
          <w:szCs w:val="24"/>
          <w:lang w:val="es-CO" w:eastAsia="es-ES_tradnl"/>
        </w:rPr>
        <w:t xml:space="preserve">  </w:t>
      </w:r>
    </w:p>
    <w:p w14:paraId="0DD0D2F4" w14:textId="77777777" w:rsidR="00F238D7" w:rsidRPr="004B01EA" w:rsidRDefault="00F238D7" w:rsidP="004B01EA">
      <w:pPr>
        <w:spacing w:line="240" w:lineRule="auto"/>
        <w:ind w:left="426" w:right="420"/>
        <w:rPr>
          <w:rFonts w:cs="Tahoma"/>
          <w:spacing w:val="-4"/>
          <w:position w:val="-4"/>
          <w:sz w:val="22"/>
          <w:szCs w:val="24"/>
          <w:lang w:val="es-CO" w:eastAsia="es-ES_tradnl"/>
        </w:rPr>
      </w:pPr>
      <w:r w:rsidRPr="004B01EA">
        <w:rPr>
          <w:rFonts w:cs="Tahoma"/>
          <w:spacing w:val="-4"/>
          <w:position w:val="-4"/>
          <w:sz w:val="22"/>
          <w:szCs w:val="24"/>
          <w:lang w:val="es-CO" w:eastAsia="es-ES_tradnl"/>
        </w:rPr>
        <w:t xml:space="preserve">Tercero. </w:t>
      </w:r>
      <w:r w:rsidRPr="004B01EA">
        <w:rPr>
          <w:rFonts w:cs="Tahoma"/>
          <w:spacing w:val="-4"/>
          <w:position w:val="-4"/>
          <w:sz w:val="22"/>
          <w:szCs w:val="24"/>
          <w:u w:val="single"/>
          <w:lang w:val="es-CO" w:eastAsia="es-ES_tradnl"/>
        </w:rPr>
        <w:t>En el ámbito de los acuerdos tiene plena vigencia el principio de discrecionalidad reglada. Así, además de la obligación de realizar con rigor los juicios de imputación y de acusación y de explicar cuándo una modificación de los cargos corresponde a un beneficio o al ajuste del caso a la estricta legalidad, para establecer el monto de la concesión otorgada los fiscales deben tener en cuenta, entre otras cosas</w:t>
      </w:r>
      <w:r w:rsidRPr="004B01EA">
        <w:rPr>
          <w:rFonts w:cs="Tahoma"/>
          <w:spacing w:val="-4"/>
          <w:position w:val="-4"/>
          <w:sz w:val="22"/>
          <w:szCs w:val="24"/>
          <w:lang w:val="es-CO" w:eastAsia="es-ES_tradnl"/>
        </w:rPr>
        <w:t xml:space="preserve">: </w:t>
      </w:r>
      <w:r w:rsidRPr="004B01EA">
        <w:rPr>
          <w:rFonts w:cs="Tahoma"/>
          <w:b/>
          <w:spacing w:val="-4"/>
          <w:position w:val="-4"/>
          <w:sz w:val="22"/>
          <w:szCs w:val="24"/>
          <w:lang w:val="es-CO" w:eastAsia="es-ES_tradnl"/>
        </w:rPr>
        <w:t>(i) el momento de la actuación en el que se realiza el acuerdo, según las pautas establecidas por el legislador</w:t>
      </w:r>
      <w:r w:rsidRPr="004B01EA">
        <w:rPr>
          <w:rFonts w:cs="Tahoma"/>
          <w:spacing w:val="-4"/>
          <w:position w:val="-4"/>
          <w:sz w:val="22"/>
          <w:szCs w:val="24"/>
          <w:lang w:val="es-CO" w:eastAsia="es-ES_tradnl"/>
        </w:rPr>
        <w:t xml:space="preserve">; (ii) el daño infligido a las víctimas y la reparación del mismo, (iii) el arrepentimiento del procesado, lo que incluye su actitud frente a los beneficios económicos y de todo orden derivados del delito; (iv) su colaboración para el esclarecimiento de los hechos, y (iv) el suministro de información para lograr el procesamiento de otros autores o partícipes, </w:t>
      </w:r>
      <w:r w:rsidRPr="004B01EA">
        <w:rPr>
          <w:rFonts w:cs="Tahoma"/>
          <w:b/>
          <w:spacing w:val="-4"/>
          <w:position w:val="-4"/>
          <w:sz w:val="22"/>
          <w:szCs w:val="24"/>
          <w:lang w:val="es-CO" w:eastAsia="es-ES_tradnl"/>
        </w:rPr>
        <w:t>para lo que debe abordarse sistemáticamente el ordenamiento jurídico, en orden a establecer en qué eventos se justifican las mayores rebajas o beneficios</w:t>
      </w:r>
      <w:r w:rsidRPr="004B01EA">
        <w:rPr>
          <w:rFonts w:cs="Tahoma"/>
          <w:spacing w:val="-4"/>
          <w:position w:val="-4"/>
          <w:sz w:val="22"/>
          <w:szCs w:val="24"/>
          <w:lang w:val="es-CO" w:eastAsia="es-ES_tradnl"/>
        </w:rPr>
        <w:t>”. -negrillas y subrayado excluidos-</w:t>
      </w:r>
    </w:p>
    <w:p w14:paraId="1F39A4E6" w14:textId="77777777" w:rsidR="00F238D7" w:rsidRPr="00000790" w:rsidRDefault="00F238D7" w:rsidP="00000790">
      <w:pPr>
        <w:spacing w:line="276" w:lineRule="auto"/>
        <w:rPr>
          <w:rFonts w:cs="Tahoma"/>
          <w:spacing w:val="-4"/>
          <w:position w:val="-4"/>
          <w:sz w:val="24"/>
          <w:szCs w:val="24"/>
          <w:lang w:val="es-CO" w:eastAsia="es-ES_tradnl"/>
        </w:rPr>
      </w:pPr>
    </w:p>
    <w:p w14:paraId="0177BF42" w14:textId="4E70A56B" w:rsidR="007A01BD" w:rsidRPr="00000790" w:rsidRDefault="00F238D7" w:rsidP="00000790">
      <w:pPr>
        <w:spacing w:line="276" w:lineRule="auto"/>
        <w:rPr>
          <w:rFonts w:cs="Tahoma"/>
          <w:spacing w:val="-4"/>
          <w:position w:val="-4"/>
          <w:sz w:val="24"/>
          <w:szCs w:val="24"/>
        </w:rPr>
      </w:pPr>
      <w:r w:rsidRPr="00000790">
        <w:rPr>
          <w:rFonts w:cs="Tahoma"/>
          <w:spacing w:val="-4"/>
          <w:position w:val="-4"/>
          <w:sz w:val="24"/>
          <w:szCs w:val="24"/>
          <w:lang w:val="es-CO" w:eastAsia="es-ES_tradnl"/>
        </w:rPr>
        <w:t>Para la Sala, la a</w:t>
      </w:r>
      <w:r w:rsidR="000E7844" w:rsidRPr="00000790">
        <w:rPr>
          <w:rFonts w:cs="Tahoma"/>
          <w:spacing w:val="-4"/>
          <w:position w:val="-4"/>
          <w:sz w:val="24"/>
          <w:szCs w:val="24"/>
          <w:lang w:val="es-CO" w:eastAsia="es-ES_tradnl"/>
        </w:rPr>
        <w:t>-</w:t>
      </w:r>
      <w:r w:rsidRPr="00000790">
        <w:rPr>
          <w:rFonts w:cs="Tahoma"/>
          <w:spacing w:val="-4"/>
          <w:position w:val="-4"/>
          <w:sz w:val="24"/>
          <w:szCs w:val="24"/>
          <w:lang w:val="es-CO" w:eastAsia="es-ES_tradnl"/>
        </w:rPr>
        <w:t xml:space="preserve">quo </w:t>
      </w:r>
      <w:r w:rsidR="005E4D29" w:rsidRPr="00000790">
        <w:rPr>
          <w:rFonts w:cs="Tahoma"/>
          <w:spacing w:val="-4"/>
          <w:position w:val="-4"/>
          <w:sz w:val="24"/>
          <w:szCs w:val="24"/>
          <w:lang w:val="es-CO" w:eastAsia="es-ES_tradnl"/>
        </w:rPr>
        <w:t xml:space="preserve">desconoció </w:t>
      </w:r>
      <w:r w:rsidR="009314FA" w:rsidRPr="00000790">
        <w:rPr>
          <w:rFonts w:cs="Tahoma"/>
          <w:spacing w:val="-4"/>
          <w:position w:val="-4"/>
          <w:sz w:val="24"/>
          <w:szCs w:val="24"/>
          <w:lang w:val="es-CO" w:eastAsia="es-ES_tradnl"/>
        </w:rPr>
        <w:t xml:space="preserve">este precedente, </w:t>
      </w:r>
      <w:r w:rsidR="004A290F" w:rsidRPr="00000790">
        <w:rPr>
          <w:rFonts w:cs="Tahoma"/>
          <w:spacing w:val="-4"/>
          <w:position w:val="-4"/>
          <w:sz w:val="24"/>
          <w:szCs w:val="24"/>
        </w:rPr>
        <w:t xml:space="preserve">ya que en la sentencia emitida en disfavor del señor </w:t>
      </w:r>
      <w:r w:rsidR="00FF6C2E">
        <w:rPr>
          <w:rFonts w:cs="Tahoma"/>
          <w:spacing w:val="-4"/>
          <w:position w:val="-4"/>
          <w:sz w:val="24"/>
          <w:szCs w:val="24"/>
        </w:rPr>
        <w:t>MSMV</w:t>
      </w:r>
      <w:r w:rsidR="009314FA" w:rsidRPr="00000790">
        <w:rPr>
          <w:rFonts w:cs="Tahoma"/>
          <w:spacing w:val="-4"/>
          <w:position w:val="-4"/>
          <w:sz w:val="24"/>
          <w:szCs w:val="24"/>
        </w:rPr>
        <w:t xml:space="preserve"> </w:t>
      </w:r>
      <w:r w:rsidR="004A290F" w:rsidRPr="00000790">
        <w:rPr>
          <w:rFonts w:cs="Tahoma"/>
          <w:spacing w:val="-4"/>
          <w:position w:val="-4"/>
          <w:sz w:val="24"/>
          <w:szCs w:val="24"/>
        </w:rPr>
        <w:t>se le condenó por el delito de Acoso sexual, es decir</w:t>
      </w:r>
      <w:r w:rsidR="00EB33C0" w:rsidRPr="00000790">
        <w:rPr>
          <w:rFonts w:cs="Tahoma"/>
          <w:spacing w:val="-4"/>
          <w:position w:val="-4"/>
          <w:sz w:val="24"/>
          <w:szCs w:val="24"/>
        </w:rPr>
        <w:t xml:space="preserve">, </w:t>
      </w:r>
      <w:r w:rsidR="004A290F" w:rsidRPr="00000790">
        <w:rPr>
          <w:rFonts w:cs="Tahoma"/>
          <w:spacing w:val="-4"/>
          <w:position w:val="-4"/>
          <w:sz w:val="24"/>
          <w:szCs w:val="24"/>
        </w:rPr>
        <w:t xml:space="preserve">por </w:t>
      </w:r>
      <w:r w:rsidR="00EB33C0" w:rsidRPr="00000790">
        <w:rPr>
          <w:rFonts w:cs="Tahoma"/>
          <w:spacing w:val="-4"/>
          <w:position w:val="-4"/>
          <w:sz w:val="24"/>
          <w:szCs w:val="24"/>
        </w:rPr>
        <w:t xml:space="preserve">la </w:t>
      </w:r>
      <w:r w:rsidR="00721F8C" w:rsidRPr="00000790">
        <w:rPr>
          <w:rFonts w:cs="Tahoma"/>
          <w:spacing w:val="-4"/>
          <w:position w:val="-4"/>
          <w:sz w:val="24"/>
          <w:szCs w:val="24"/>
        </w:rPr>
        <w:t>conducta</w:t>
      </w:r>
      <w:r w:rsidR="00EB33C0" w:rsidRPr="00000790">
        <w:rPr>
          <w:rFonts w:cs="Tahoma"/>
          <w:spacing w:val="-4"/>
          <w:position w:val="-4"/>
          <w:sz w:val="24"/>
          <w:szCs w:val="24"/>
        </w:rPr>
        <w:t xml:space="preserve"> </w:t>
      </w:r>
      <w:r w:rsidR="00062D07" w:rsidRPr="00000790">
        <w:rPr>
          <w:rFonts w:cs="Tahoma"/>
          <w:spacing w:val="-4"/>
          <w:position w:val="-4"/>
          <w:sz w:val="24"/>
          <w:szCs w:val="24"/>
        </w:rPr>
        <w:t xml:space="preserve">modificada </w:t>
      </w:r>
      <w:r w:rsidR="00EB33C0" w:rsidRPr="00000790">
        <w:rPr>
          <w:rFonts w:cs="Tahoma"/>
          <w:spacing w:val="-4"/>
          <w:position w:val="-4"/>
          <w:sz w:val="24"/>
          <w:szCs w:val="24"/>
        </w:rPr>
        <w:t>que</w:t>
      </w:r>
      <w:r w:rsidR="009314FA" w:rsidRPr="00000790">
        <w:rPr>
          <w:rFonts w:cs="Tahoma"/>
          <w:spacing w:val="-4"/>
          <w:position w:val="-4"/>
          <w:sz w:val="24"/>
          <w:szCs w:val="24"/>
        </w:rPr>
        <w:t xml:space="preserve"> </w:t>
      </w:r>
      <w:r w:rsidR="00721F8C" w:rsidRPr="00000790">
        <w:rPr>
          <w:rFonts w:cs="Tahoma"/>
          <w:spacing w:val="-4"/>
          <w:position w:val="-4"/>
          <w:sz w:val="24"/>
          <w:szCs w:val="24"/>
        </w:rPr>
        <w:t>debió entenderse que se</w:t>
      </w:r>
      <w:r w:rsidR="009314FA" w:rsidRPr="00000790">
        <w:rPr>
          <w:rFonts w:cs="Tahoma"/>
          <w:spacing w:val="-4"/>
          <w:position w:val="-4"/>
          <w:sz w:val="24"/>
          <w:szCs w:val="24"/>
        </w:rPr>
        <w:t xml:space="preserve"> utili</w:t>
      </w:r>
      <w:r w:rsidR="00721F8C" w:rsidRPr="00000790">
        <w:rPr>
          <w:rFonts w:cs="Tahoma"/>
          <w:spacing w:val="-4"/>
          <w:position w:val="-4"/>
          <w:sz w:val="24"/>
          <w:szCs w:val="24"/>
        </w:rPr>
        <w:t>zaba</w:t>
      </w:r>
      <w:r w:rsidR="009314FA" w:rsidRPr="00000790">
        <w:rPr>
          <w:rFonts w:cs="Tahoma"/>
          <w:spacing w:val="-4"/>
          <w:position w:val="-4"/>
          <w:sz w:val="24"/>
          <w:szCs w:val="24"/>
        </w:rPr>
        <w:t xml:space="preserve"> </w:t>
      </w:r>
      <w:r w:rsidR="00062D07" w:rsidRPr="00000790">
        <w:rPr>
          <w:rFonts w:cs="Tahoma"/>
          <w:spacing w:val="-4"/>
          <w:position w:val="-4"/>
          <w:sz w:val="24"/>
          <w:szCs w:val="24"/>
        </w:rPr>
        <w:t>s</w:t>
      </w:r>
      <w:r w:rsidR="00E407CF" w:rsidRPr="00000790">
        <w:rPr>
          <w:rFonts w:cs="Tahoma"/>
          <w:spacing w:val="-4"/>
          <w:position w:val="-4"/>
          <w:sz w:val="24"/>
          <w:szCs w:val="24"/>
        </w:rPr>
        <w:t>ó</w:t>
      </w:r>
      <w:r w:rsidR="00062D07" w:rsidRPr="00000790">
        <w:rPr>
          <w:rFonts w:cs="Tahoma"/>
          <w:spacing w:val="-4"/>
          <w:position w:val="-4"/>
          <w:sz w:val="24"/>
          <w:szCs w:val="24"/>
        </w:rPr>
        <w:t xml:space="preserve">lo </w:t>
      </w:r>
      <w:r w:rsidR="009314FA" w:rsidRPr="00000790">
        <w:rPr>
          <w:rFonts w:cs="Tahoma"/>
          <w:spacing w:val="-4"/>
          <w:position w:val="-4"/>
          <w:sz w:val="24"/>
          <w:szCs w:val="24"/>
          <w:lang w:val="es-CO" w:eastAsia="es-ES_tradnl"/>
        </w:rPr>
        <w:t>con el fin de establecer el monto de la pena a imponer</w:t>
      </w:r>
      <w:r w:rsidR="009314FA" w:rsidRPr="000371F0">
        <w:rPr>
          <w:rFonts w:cs="Tahoma"/>
          <w:spacing w:val="-4"/>
          <w:position w:val="-4"/>
          <w:sz w:val="24"/>
          <w:szCs w:val="24"/>
          <w:lang w:val="es-CO" w:eastAsia="es-ES_tradnl"/>
        </w:rPr>
        <w:t xml:space="preserve">, </w:t>
      </w:r>
      <w:r w:rsidR="00721F8C" w:rsidRPr="00000790">
        <w:rPr>
          <w:rFonts w:cs="Tahoma"/>
          <w:bCs/>
          <w:i/>
          <w:iCs/>
          <w:spacing w:val="-4"/>
          <w:position w:val="-4"/>
          <w:sz w:val="24"/>
          <w:szCs w:val="24"/>
          <w:lang w:val="es-CO" w:eastAsia="es-ES_tradnl"/>
        </w:rPr>
        <w:t xml:space="preserve">tal como </w:t>
      </w:r>
      <w:r w:rsidR="00062D07" w:rsidRPr="00000790">
        <w:rPr>
          <w:rFonts w:cs="Tahoma"/>
          <w:bCs/>
          <w:i/>
          <w:iCs/>
          <w:spacing w:val="-4"/>
          <w:position w:val="-4"/>
          <w:sz w:val="24"/>
          <w:szCs w:val="24"/>
          <w:lang w:val="es-CO" w:eastAsia="es-ES_tradnl"/>
        </w:rPr>
        <w:t>lo advirtió</w:t>
      </w:r>
      <w:r w:rsidR="00721F8C" w:rsidRPr="00000790">
        <w:rPr>
          <w:rFonts w:cs="Tahoma"/>
          <w:bCs/>
          <w:i/>
          <w:iCs/>
          <w:spacing w:val="-4"/>
          <w:position w:val="-4"/>
          <w:sz w:val="24"/>
          <w:szCs w:val="24"/>
          <w:lang w:val="es-CO" w:eastAsia="es-ES_tradnl"/>
        </w:rPr>
        <w:t xml:space="preserve"> </w:t>
      </w:r>
      <w:r w:rsidR="00062D07" w:rsidRPr="00000790">
        <w:rPr>
          <w:rFonts w:cs="Tahoma"/>
          <w:bCs/>
          <w:i/>
          <w:iCs/>
          <w:spacing w:val="-4"/>
          <w:position w:val="-4"/>
          <w:sz w:val="24"/>
          <w:szCs w:val="24"/>
          <w:lang w:val="es-CO" w:eastAsia="es-ES_tradnl"/>
        </w:rPr>
        <w:t>al agente del</w:t>
      </w:r>
      <w:r w:rsidR="00721F8C" w:rsidRPr="00000790">
        <w:rPr>
          <w:rFonts w:cs="Tahoma"/>
          <w:bCs/>
          <w:i/>
          <w:iCs/>
          <w:spacing w:val="-4"/>
          <w:position w:val="-4"/>
          <w:sz w:val="24"/>
          <w:szCs w:val="24"/>
          <w:lang w:val="es-CO" w:eastAsia="es-ES_tradnl"/>
        </w:rPr>
        <w:t xml:space="preserve"> </w:t>
      </w:r>
      <w:r w:rsidR="00062D07" w:rsidRPr="00000790">
        <w:rPr>
          <w:rFonts w:cs="Tahoma"/>
          <w:bCs/>
          <w:i/>
          <w:iCs/>
          <w:spacing w:val="-4"/>
          <w:position w:val="-4"/>
          <w:sz w:val="24"/>
          <w:szCs w:val="24"/>
          <w:lang w:val="es-CO" w:eastAsia="es-ES_tradnl"/>
        </w:rPr>
        <w:t>M</w:t>
      </w:r>
      <w:r w:rsidR="00721F8C" w:rsidRPr="00000790">
        <w:rPr>
          <w:rFonts w:cs="Tahoma"/>
          <w:bCs/>
          <w:i/>
          <w:iCs/>
          <w:spacing w:val="-4"/>
          <w:position w:val="-4"/>
          <w:sz w:val="24"/>
          <w:szCs w:val="24"/>
          <w:lang w:val="es-CO" w:eastAsia="es-ES_tradnl"/>
        </w:rPr>
        <w:t xml:space="preserve">inisterio </w:t>
      </w:r>
      <w:r w:rsidR="00062D07" w:rsidRPr="00000790">
        <w:rPr>
          <w:rFonts w:cs="Tahoma"/>
          <w:bCs/>
          <w:i/>
          <w:iCs/>
          <w:spacing w:val="-4"/>
          <w:position w:val="-4"/>
          <w:sz w:val="24"/>
          <w:szCs w:val="24"/>
          <w:lang w:val="es-CO" w:eastAsia="es-ES_tradnl"/>
        </w:rPr>
        <w:t>p</w:t>
      </w:r>
      <w:r w:rsidR="00721F8C" w:rsidRPr="00000790">
        <w:rPr>
          <w:rFonts w:cs="Tahoma"/>
          <w:bCs/>
          <w:i/>
          <w:iCs/>
          <w:spacing w:val="-4"/>
          <w:position w:val="-4"/>
          <w:sz w:val="24"/>
          <w:szCs w:val="24"/>
          <w:lang w:val="es-CO" w:eastAsia="es-ES_tradnl"/>
        </w:rPr>
        <w:t>úblico</w:t>
      </w:r>
      <w:r w:rsidR="00E407CF" w:rsidRPr="00000790">
        <w:rPr>
          <w:rFonts w:cs="Tahoma"/>
          <w:bCs/>
          <w:i/>
          <w:iCs/>
          <w:spacing w:val="-4"/>
          <w:position w:val="-4"/>
          <w:sz w:val="24"/>
          <w:szCs w:val="24"/>
          <w:lang w:val="es-CO" w:eastAsia="es-ES_tradnl"/>
        </w:rPr>
        <w:t xml:space="preserve"> al momento de la verificación del preacuerdo</w:t>
      </w:r>
      <w:r w:rsidR="00721F8C" w:rsidRPr="00000790">
        <w:rPr>
          <w:rFonts w:cs="Tahoma"/>
          <w:bCs/>
          <w:spacing w:val="-4"/>
          <w:position w:val="-4"/>
          <w:sz w:val="24"/>
          <w:szCs w:val="24"/>
          <w:lang w:val="es-CO" w:eastAsia="es-ES_tradnl"/>
        </w:rPr>
        <w:t>,</w:t>
      </w:r>
      <w:r w:rsidR="00721F8C" w:rsidRPr="00000790">
        <w:rPr>
          <w:rFonts w:cs="Tahoma"/>
          <w:b/>
          <w:spacing w:val="-4"/>
          <w:position w:val="-4"/>
          <w:sz w:val="24"/>
          <w:szCs w:val="24"/>
          <w:lang w:val="es-CO" w:eastAsia="es-ES_tradnl"/>
        </w:rPr>
        <w:t xml:space="preserve"> </w:t>
      </w:r>
      <w:r w:rsidR="009314FA" w:rsidRPr="00000790">
        <w:rPr>
          <w:rFonts w:cs="Tahoma"/>
          <w:spacing w:val="-4"/>
          <w:position w:val="-4"/>
          <w:sz w:val="24"/>
          <w:szCs w:val="24"/>
        </w:rPr>
        <w:t>no siendo de recibo</w:t>
      </w:r>
      <w:r w:rsidR="00AF45B5" w:rsidRPr="00000790">
        <w:rPr>
          <w:rFonts w:cs="Tahoma"/>
          <w:spacing w:val="-4"/>
          <w:position w:val="-4"/>
          <w:sz w:val="24"/>
          <w:szCs w:val="24"/>
        </w:rPr>
        <w:t xml:space="preserve"> la determinación adoptada por la funcionaria de primer grado, cuando por parte de esta </w:t>
      </w:r>
      <w:r w:rsidR="009314FA" w:rsidRPr="00000790">
        <w:rPr>
          <w:rFonts w:cs="Tahoma"/>
          <w:spacing w:val="-4"/>
          <w:position w:val="-4"/>
          <w:sz w:val="24"/>
          <w:szCs w:val="24"/>
        </w:rPr>
        <w:t>Corporación</w:t>
      </w:r>
      <w:r w:rsidR="00AF45B5" w:rsidRPr="00000790">
        <w:rPr>
          <w:rFonts w:cs="Tahoma"/>
          <w:spacing w:val="-4"/>
          <w:position w:val="-4"/>
          <w:sz w:val="24"/>
          <w:szCs w:val="24"/>
        </w:rPr>
        <w:t xml:space="preserve"> se han emitido </w:t>
      </w:r>
      <w:r w:rsidR="009314FA" w:rsidRPr="00000790">
        <w:rPr>
          <w:rFonts w:cs="Tahoma"/>
          <w:spacing w:val="-4"/>
          <w:position w:val="-4"/>
          <w:sz w:val="24"/>
          <w:szCs w:val="24"/>
        </w:rPr>
        <w:t>múltiples</w:t>
      </w:r>
      <w:r w:rsidR="00AF45B5" w:rsidRPr="00000790">
        <w:rPr>
          <w:rFonts w:cs="Tahoma"/>
          <w:spacing w:val="-4"/>
          <w:position w:val="-4"/>
          <w:sz w:val="24"/>
          <w:szCs w:val="24"/>
        </w:rPr>
        <w:t xml:space="preserve"> pronunciamiento</w:t>
      </w:r>
      <w:r w:rsidR="005A5F2B" w:rsidRPr="00000790">
        <w:rPr>
          <w:rFonts w:cs="Tahoma"/>
          <w:spacing w:val="-4"/>
          <w:position w:val="-4"/>
          <w:sz w:val="24"/>
          <w:szCs w:val="24"/>
        </w:rPr>
        <w:t>s</w:t>
      </w:r>
      <w:r w:rsidR="00AF45B5" w:rsidRPr="00000790">
        <w:rPr>
          <w:rFonts w:cs="Tahoma"/>
          <w:spacing w:val="-4"/>
          <w:position w:val="-4"/>
          <w:sz w:val="24"/>
          <w:szCs w:val="24"/>
        </w:rPr>
        <w:t xml:space="preserve"> al respecto, en donde insistentemente se les ha hecho un llamado a los operadores judiciales para que eviten incurrir en actos como estos, que a todas luces va en contravía de Jurisprudencia </w:t>
      </w:r>
      <w:r w:rsidR="005A5F2B" w:rsidRPr="00000790">
        <w:rPr>
          <w:rFonts w:cs="Tahoma"/>
          <w:spacing w:val="-4"/>
          <w:position w:val="-4"/>
          <w:sz w:val="24"/>
          <w:szCs w:val="24"/>
        </w:rPr>
        <w:t xml:space="preserve">de </w:t>
      </w:r>
      <w:proofErr w:type="spellStart"/>
      <w:r w:rsidR="005A5F2B" w:rsidRPr="00000790">
        <w:rPr>
          <w:rFonts w:cs="Tahoma"/>
          <w:spacing w:val="-4"/>
          <w:position w:val="-4"/>
          <w:sz w:val="24"/>
          <w:szCs w:val="24"/>
        </w:rPr>
        <w:t>aprestigiamiento</w:t>
      </w:r>
      <w:proofErr w:type="spellEnd"/>
      <w:r w:rsidR="005A5F2B" w:rsidRPr="00000790">
        <w:rPr>
          <w:rFonts w:cs="Tahoma"/>
          <w:spacing w:val="-4"/>
          <w:position w:val="-4"/>
          <w:sz w:val="24"/>
          <w:szCs w:val="24"/>
        </w:rPr>
        <w:t xml:space="preserve"> de la justicia.  </w:t>
      </w:r>
    </w:p>
    <w:p w14:paraId="69F10730" w14:textId="77777777" w:rsidR="005A5F2B" w:rsidRPr="00000790" w:rsidRDefault="005A5F2B" w:rsidP="00000790">
      <w:pPr>
        <w:spacing w:line="276" w:lineRule="auto"/>
        <w:rPr>
          <w:rFonts w:cs="Tahoma"/>
          <w:spacing w:val="-4"/>
          <w:position w:val="-4"/>
          <w:sz w:val="24"/>
          <w:szCs w:val="24"/>
        </w:rPr>
      </w:pPr>
    </w:p>
    <w:p w14:paraId="5EADAFD4" w14:textId="5286EBFC" w:rsidR="00E37739" w:rsidRPr="00000790" w:rsidRDefault="005A5F2B" w:rsidP="00000790">
      <w:pPr>
        <w:spacing w:line="276" w:lineRule="auto"/>
        <w:rPr>
          <w:rFonts w:cs="Tahoma"/>
          <w:spacing w:val="-4"/>
          <w:position w:val="-4"/>
          <w:sz w:val="24"/>
          <w:szCs w:val="24"/>
        </w:rPr>
      </w:pPr>
      <w:r w:rsidRPr="00000790">
        <w:rPr>
          <w:rFonts w:cs="Tahoma"/>
          <w:spacing w:val="-4"/>
          <w:position w:val="-4"/>
          <w:sz w:val="24"/>
          <w:szCs w:val="24"/>
        </w:rPr>
        <w:t>D</w:t>
      </w:r>
      <w:r w:rsidR="007A01BD" w:rsidRPr="00000790">
        <w:rPr>
          <w:rFonts w:cs="Tahoma"/>
          <w:spacing w:val="-4"/>
          <w:position w:val="-4"/>
          <w:sz w:val="24"/>
          <w:szCs w:val="24"/>
        </w:rPr>
        <w:t>e acuerdo a las irregularidades advertidas que a todas luces resulta</w:t>
      </w:r>
      <w:r w:rsidR="00F35767" w:rsidRPr="00000790">
        <w:rPr>
          <w:rFonts w:cs="Tahoma"/>
          <w:spacing w:val="-4"/>
          <w:position w:val="-4"/>
          <w:sz w:val="24"/>
          <w:szCs w:val="24"/>
        </w:rPr>
        <w:t>n</w:t>
      </w:r>
      <w:r w:rsidR="007A01BD" w:rsidRPr="00000790">
        <w:rPr>
          <w:rFonts w:cs="Tahoma"/>
          <w:spacing w:val="-4"/>
          <w:position w:val="-4"/>
          <w:sz w:val="24"/>
          <w:szCs w:val="24"/>
        </w:rPr>
        <w:t xml:space="preserve"> insubsanables, </w:t>
      </w:r>
      <w:r w:rsidRPr="00000790">
        <w:rPr>
          <w:rFonts w:cs="Tahoma"/>
          <w:spacing w:val="-4"/>
          <w:position w:val="-4"/>
          <w:sz w:val="24"/>
          <w:szCs w:val="24"/>
        </w:rPr>
        <w:t xml:space="preserve">seria del caso </w:t>
      </w:r>
      <w:r w:rsidR="00F35767" w:rsidRPr="00000790">
        <w:rPr>
          <w:rFonts w:cs="Tahoma"/>
          <w:spacing w:val="-4"/>
          <w:position w:val="-4"/>
          <w:sz w:val="24"/>
          <w:szCs w:val="24"/>
        </w:rPr>
        <w:t>ordenar</w:t>
      </w:r>
      <w:r w:rsidR="007A01BD" w:rsidRPr="00000790">
        <w:rPr>
          <w:rFonts w:cs="Tahoma"/>
          <w:spacing w:val="-4"/>
          <w:position w:val="-4"/>
          <w:sz w:val="24"/>
          <w:szCs w:val="24"/>
        </w:rPr>
        <w:t xml:space="preserve"> retrotraer la actuación de instancias ya superadas, si no fuera </w:t>
      </w:r>
      <w:r w:rsidR="00F35767" w:rsidRPr="00000790">
        <w:rPr>
          <w:rFonts w:cs="Tahoma"/>
          <w:spacing w:val="-4"/>
          <w:position w:val="-4"/>
          <w:sz w:val="24"/>
          <w:szCs w:val="24"/>
        </w:rPr>
        <w:t xml:space="preserve">porque esta </w:t>
      </w:r>
      <w:r w:rsidR="00F35767" w:rsidRPr="00000790">
        <w:rPr>
          <w:rFonts w:cs="Tahoma"/>
          <w:spacing w:val="-4"/>
          <w:position w:val="-4"/>
          <w:sz w:val="24"/>
          <w:szCs w:val="24"/>
        </w:rPr>
        <w:lastRenderedPageBreak/>
        <w:t>Colegiatura es respetuosa de los derechos y garantías de los procesados, pues cabe recordar que la Sala de Casación Penal</w:t>
      </w:r>
      <w:r w:rsidR="00C83CB5" w:rsidRPr="00000790">
        <w:rPr>
          <w:rFonts w:cs="Tahoma"/>
          <w:spacing w:val="-4"/>
          <w:position w:val="-4"/>
          <w:sz w:val="24"/>
          <w:szCs w:val="24"/>
        </w:rPr>
        <w:t xml:space="preserve">, entre otras decisiones, </w:t>
      </w:r>
      <w:r w:rsidR="00F35767" w:rsidRPr="00000790">
        <w:rPr>
          <w:rFonts w:cs="Tahoma"/>
          <w:spacing w:val="-4"/>
          <w:position w:val="-4"/>
          <w:sz w:val="24"/>
          <w:szCs w:val="24"/>
        </w:rPr>
        <w:t>ha establecido que la nulidad en sede de segunda instancia, encuentra límites en los derechos constitucionalmente reconocidos al procesado, como el de la prohibición de reforma peyorativa al que se refiere el artículo 31 de la Constitución</w:t>
      </w:r>
      <w:r w:rsidR="00C83CB5" w:rsidRPr="00000790">
        <w:rPr>
          <w:rFonts w:cs="Tahoma"/>
          <w:spacing w:val="-4"/>
          <w:position w:val="-4"/>
          <w:sz w:val="24"/>
          <w:szCs w:val="24"/>
        </w:rPr>
        <w:t>, concretamente se refirió en estos términos</w:t>
      </w:r>
      <w:r w:rsidR="00417294" w:rsidRPr="00000790">
        <w:rPr>
          <w:rStyle w:val="Refdenotaalpie"/>
          <w:rFonts w:ascii="Tahoma" w:hAnsi="Tahoma" w:cs="Tahoma"/>
          <w:spacing w:val="-4"/>
          <w:position w:val="-4"/>
          <w:sz w:val="24"/>
          <w:szCs w:val="24"/>
        </w:rPr>
        <w:footnoteReference w:id="11"/>
      </w:r>
      <w:r w:rsidR="00F25C53" w:rsidRPr="00000790">
        <w:rPr>
          <w:rFonts w:cs="Tahoma"/>
          <w:spacing w:val="-4"/>
          <w:position w:val="-4"/>
          <w:sz w:val="24"/>
          <w:szCs w:val="24"/>
        </w:rPr>
        <w:t>:</w:t>
      </w:r>
    </w:p>
    <w:p w14:paraId="483F32D4" w14:textId="77777777" w:rsidR="00C83CB5" w:rsidRPr="004B01EA" w:rsidRDefault="00C83CB5" w:rsidP="004B01EA">
      <w:pPr>
        <w:spacing w:line="240" w:lineRule="auto"/>
        <w:ind w:left="426" w:right="420"/>
        <w:rPr>
          <w:rFonts w:cs="Tahoma"/>
          <w:spacing w:val="-4"/>
          <w:sz w:val="22"/>
          <w:szCs w:val="24"/>
        </w:rPr>
      </w:pPr>
      <w:r w:rsidRPr="00000790">
        <w:rPr>
          <w:rFonts w:cs="Tahoma"/>
          <w:spacing w:val="-4"/>
          <w:sz w:val="24"/>
          <w:szCs w:val="24"/>
        </w:rPr>
        <w:br/>
      </w:r>
      <w:r w:rsidRPr="004B01EA">
        <w:rPr>
          <w:rFonts w:cs="Tahoma"/>
          <w:sz w:val="22"/>
          <w:szCs w:val="24"/>
        </w:rPr>
        <w:t xml:space="preserve">“Esta Corporación tiene establecido que la garantía fundamental consagrada en la parte final del artículo 31 de la Constitución Política y desarrollada en el artículo 20 de la Ley 906 de 2004 también puede </w:t>
      </w:r>
      <w:r w:rsidRPr="004B01EA">
        <w:rPr>
          <w:rFonts w:cs="Tahoma"/>
          <w:b/>
          <w:sz w:val="22"/>
          <w:szCs w:val="24"/>
        </w:rPr>
        <w:t>desconocerse a través de la declaratoria de nulidad, cuando una decisión de esa naturaleza inexorablemente conduce a desmejorar la situación del acusado que tiene la calidad de apelante único.</w:t>
      </w:r>
      <w:r w:rsidRPr="004B01EA">
        <w:rPr>
          <w:rFonts w:cs="Tahoma"/>
          <w:sz w:val="22"/>
          <w:szCs w:val="24"/>
        </w:rPr>
        <w:t xml:space="preserve"> En el último de los fallos en cita, se precisó: </w:t>
      </w:r>
    </w:p>
    <w:p w14:paraId="3B8DCE8D" w14:textId="77777777" w:rsidR="00C83CB5" w:rsidRPr="004B01EA" w:rsidRDefault="00C83CB5" w:rsidP="004B01EA">
      <w:pPr>
        <w:spacing w:line="240" w:lineRule="auto"/>
        <w:ind w:left="426" w:right="420"/>
        <w:rPr>
          <w:rFonts w:cs="Tahoma"/>
          <w:sz w:val="22"/>
          <w:szCs w:val="24"/>
        </w:rPr>
      </w:pPr>
    </w:p>
    <w:p w14:paraId="4A39C167" w14:textId="77777777" w:rsidR="00C83CB5" w:rsidRPr="004B01EA" w:rsidRDefault="00C83CB5" w:rsidP="004B01EA">
      <w:pPr>
        <w:spacing w:line="240" w:lineRule="auto"/>
        <w:ind w:left="426" w:right="420"/>
        <w:rPr>
          <w:rFonts w:cs="Tahoma"/>
          <w:b/>
          <w:spacing w:val="-4"/>
          <w:sz w:val="22"/>
          <w:szCs w:val="24"/>
        </w:rPr>
      </w:pPr>
      <w:r w:rsidRPr="004B01EA">
        <w:rPr>
          <w:rFonts w:cs="Tahoma"/>
          <w:sz w:val="22"/>
          <w:szCs w:val="24"/>
        </w:rPr>
        <w:t>De este modo, se sentó como premisa general que la Corte hoy reitera bajo los supuestos de este caso, que cuando el objeto del recurso que propicia la doble instancia está signado por el propósito de mejorar la situación procesal del imputado como único apelante</w:t>
      </w:r>
      <w:r w:rsidRPr="004B01EA">
        <w:rPr>
          <w:rFonts w:cs="Tahoma"/>
          <w:b/>
          <w:sz w:val="22"/>
          <w:szCs w:val="24"/>
        </w:rPr>
        <w:t xml:space="preserve">, carece el superior del más mínimo poder corrector del debido proceso o adecuación de la actuación, al margen de que aduzca advertir flagrantes quebrantos o pretexte defectos en el cálculo dosimétrico de la pena. </w:t>
      </w:r>
    </w:p>
    <w:p w14:paraId="24BD5F84" w14:textId="77777777" w:rsidR="00C83CB5" w:rsidRPr="004B01EA" w:rsidRDefault="00C83CB5" w:rsidP="004B01EA">
      <w:pPr>
        <w:spacing w:line="240" w:lineRule="auto"/>
        <w:ind w:left="426" w:right="420"/>
        <w:rPr>
          <w:rFonts w:cs="Tahoma"/>
          <w:sz w:val="22"/>
          <w:szCs w:val="24"/>
        </w:rPr>
      </w:pPr>
    </w:p>
    <w:p w14:paraId="10060F4A" w14:textId="77777777" w:rsidR="00F35767" w:rsidRPr="004B01EA" w:rsidRDefault="00C83CB5" w:rsidP="004B01EA">
      <w:pPr>
        <w:spacing w:line="240" w:lineRule="auto"/>
        <w:ind w:left="426" w:right="420"/>
        <w:rPr>
          <w:rFonts w:cs="Tahoma"/>
          <w:sz w:val="22"/>
          <w:szCs w:val="24"/>
        </w:rPr>
      </w:pPr>
      <w:r w:rsidRPr="004B01EA">
        <w:rPr>
          <w:rFonts w:cs="Tahoma"/>
          <w:sz w:val="22"/>
          <w:szCs w:val="24"/>
        </w:rPr>
        <w:t>La modificación oficiosa de la sentencia, aún bajo el referido supuesto de enmienda de la actuación, en todos los casos en que involucre directa o indirectamente una alteración peyorativa de la sanción (esto es una más drástica punición o la invalidación de lo actuado con mediato idéntico efecto), está prohibida por el art. 31 superior, pues dicha restricción constitucional no admite excepción alguna”</w:t>
      </w:r>
    </w:p>
    <w:p w14:paraId="3D5598A4" w14:textId="77777777" w:rsidR="003C300C" w:rsidRPr="00000790" w:rsidRDefault="003C300C" w:rsidP="00000790">
      <w:pPr>
        <w:spacing w:line="276" w:lineRule="auto"/>
        <w:rPr>
          <w:rFonts w:cs="Tahoma"/>
          <w:spacing w:val="-4"/>
          <w:position w:val="-4"/>
          <w:sz w:val="24"/>
          <w:szCs w:val="24"/>
        </w:rPr>
      </w:pPr>
    </w:p>
    <w:p w14:paraId="17CDA160" w14:textId="4D0CA459" w:rsidR="00E37739" w:rsidRPr="00000790" w:rsidRDefault="007F516C" w:rsidP="00000790">
      <w:pPr>
        <w:spacing w:line="276" w:lineRule="auto"/>
        <w:rPr>
          <w:rFonts w:cs="Tahoma"/>
          <w:sz w:val="24"/>
          <w:szCs w:val="24"/>
        </w:rPr>
      </w:pPr>
      <w:r w:rsidRPr="00000790">
        <w:rPr>
          <w:rFonts w:cs="Tahoma"/>
          <w:sz w:val="24"/>
          <w:szCs w:val="24"/>
        </w:rPr>
        <w:t>Lo anterior, resulta valido traerlo a colación para advertir que, pese a la necesidad de enmendar una vulneración del debido proceso por flagrantes vulneraciones a los principios constitucionales, la competencia para actuar de oficio no es absoluta, pues es necesario evaluar la condición en la que se encuentra la parte acusada</w:t>
      </w:r>
      <w:r w:rsidR="00560EB5" w:rsidRPr="00000790">
        <w:rPr>
          <w:rFonts w:cs="Tahoma"/>
          <w:sz w:val="24"/>
          <w:szCs w:val="24"/>
        </w:rPr>
        <w:t>, en este caso ser</w:t>
      </w:r>
      <w:r w:rsidR="00967C02" w:rsidRPr="00000790">
        <w:rPr>
          <w:rFonts w:cs="Tahoma"/>
          <w:sz w:val="24"/>
          <w:szCs w:val="24"/>
        </w:rPr>
        <w:t>í</w:t>
      </w:r>
      <w:r w:rsidR="00560EB5" w:rsidRPr="00000790">
        <w:rPr>
          <w:rFonts w:cs="Tahoma"/>
          <w:sz w:val="24"/>
          <w:szCs w:val="24"/>
        </w:rPr>
        <w:t>a</w:t>
      </w:r>
      <w:r w:rsidR="005A5F2B" w:rsidRPr="00000790">
        <w:rPr>
          <w:rFonts w:cs="Tahoma"/>
          <w:sz w:val="24"/>
          <w:szCs w:val="24"/>
        </w:rPr>
        <w:t>,</w:t>
      </w:r>
      <w:r w:rsidR="00560EB5" w:rsidRPr="00000790">
        <w:rPr>
          <w:rFonts w:cs="Tahoma"/>
          <w:sz w:val="24"/>
          <w:szCs w:val="24"/>
        </w:rPr>
        <w:t xml:space="preserve"> de que el procesado sea sancionado de una manera más severa a los términos propuestos en el preacuerdo que fue puesto en consideración del despacho al momento de instalarse la audiencia de juicio oral. De ahí, la Sala observa una potencial trasgresión de la aludida garantía constitucional de prohibición de reforma peyorativa.</w:t>
      </w:r>
    </w:p>
    <w:p w14:paraId="46B49287" w14:textId="77777777" w:rsidR="00560EB5" w:rsidRPr="00000790" w:rsidRDefault="00560EB5" w:rsidP="00000790">
      <w:pPr>
        <w:spacing w:line="276" w:lineRule="auto"/>
        <w:rPr>
          <w:rFonts w:cs="Tahoma"/>
          <w:sz w:val="24"/>
          <w:szCs w:val="24"/>
        </w:rPr>
      </w:pPr>
    </w:p>
    <w:p w14:paraId="186616CB" w14:textId="77777777" w:rsidR="00560EB5" w:rsidRPr="00000790" w:rsidRDefault="00560EB5" w:rsidP="00000790">
      <w:pPr>
        <w:spacing w:line="276" w:lineRule="auto"/>
        <w:rPr>
          <w:rFonts w:cs="Tahoma"/>
          <w:b/>
          <w:sz w:val="24"/>
          <w:szCs w:val="24"/>
        </w:rPr>
      </w:pPr>
      <w:r w:rsidRPr="00000790">
        <w:rPr>
          <w:rFonts w:cs="Tahoma"/>
          <w:b/>
          <w:sz w:val="24"/>
          <w:szCs w:val="24"/>
        </w:rPr>
        <w:t xml:space="preserve">En conclusión, de ninguna manera puede desconocer esta Corporación la situación del procesado a la luz de su situación de apelante único, pues acudir al remedio extremo de la nulidad, seria desmejorar su situación y además atentar contra lo </w:t>
      </w:r>
      <w:r w:rsidR="007F516C" w:rsidRPr="00000790">
        <w:rPr>
          <w:rFonts w:cs="Tahoma"/>
          <w:b/>
          <w:sz w:val="24"/>
          <w:szCs w:val="24"/>
        </w:rPr>
        <w:t xml:space="preserve">expresamente prohibido por el art. 31 superior. </w:t>
      </w:r>
    </w:p>
    <w:p w14:paraId="1F8523BE" w14:textId="77777777" w:rsidR="00560EB5" w:rsidRPr="00000790" w:rsidRDefault="00560EB5" w:rsidP="00000790">
      <w:pPr>
        <w:spacing w:line="276" w:lineRule="auto"/>
        <w:rPr>
          <w:rFonts w:cs="Tahoma"/>
          <w:spacing w:val="-4"/>
          <w:position w:val="-4"/>
          <w:sz w:val="24"/>
          <w:szCs w:val="24"/>
        </w:rPr>
      </w:pPr>
    </w:p>
    <w:p w14:paraId="51B8FA20" w14:textId="79152F9B" w:rsidR="00CC446B" w:rsidRPr="00000790" w:rsidRDefault="007D4746" w:rsidP="00000790">
      <w:pPr>
        <w:spacing w:line="276" w:lineRule="auto"/>
        <w:rPr>
          <w:rFonts w:cs="Tahoma"/>
          <w:spacing w:val="-4"/>
          <w:position w:val="-4"/>
          <w:sz w:val="24"/>
          <w:szCs w:val="24"/>
        </w:rPr>
      </w:pPr>
      <w:r w:rsidRPr="00000790">
        <w:rPr>
          <w:rFonts w:cs="Tahoma"/>
          <w:spacing w:val="-4"/>
          <w:position w:val="-4"/>
          <w:sz w:val="24"/>
          <w:szCs w:val="24"/>
        </w:rPr>
        <w:t xml:space="preserve">De todo lo dicho hasta ahora, </w:t>
      </w:r>
      <w:r w:rsidR="00967C02" w:rsidRPr="00000790">
        <w:rPr>
          <w:rFonts w:cs="Tahoma"/>
          <w:spacing w:val="-4"/>
          <w:position w:val="-4"/>
          <w:sz w:val="24"/>
          <w:szCs w:val="24"/>
        </w:rPr>
        <w:t xml:space="preserve">la Sala debe hacerle un fuerte llamado de </w:t>
      </w:r>
      <w:r w:rsidRPr="00000790">
        <w:rPr>
          <w:rFonts w:cs="Tahoma"/>
          <w:spacing w:val="-4"/>
          <w:position w:val="-4"/>
          <w:sz w:val="24"/>
          <w:szCs w:val="24"/>
        </w:rPr>
        <w:t xml:space="preserve">atención tanto a la funcionaria de primera instancia como al delegado de la </w:t>
      </w:r>
      <w:r w:rsidR="00967C02" w:rsidRPr="00000790">
        <w:rPr>
          <w:rFonts w:cs="Tahoma"/>
          <w:spacing w:val="-4"/>
          <w:position w:val="-4"/>
          <w:sz w:val="24"/>
          <w:szCs w:val="24"/>
        </w:rPr>
        <w:t>F</w:t>
      </w:r>
      <w:r w:rsidRPr="00000790">
        <w:rPr>
          <w:rFonts w:cs="Tahoma"/>
          <w:spacing w:val="-4"/>
          <w:position w:val="-4"/>
          <w:sz w:val="24"/>
          <w:szCs w:val="24"/>
        </w:rPr>
        <w:t>iscalía que actu</w:t>
      </w:r>
      <w:r w:rsidR="001F4322" w:rsidRPr="00000790">
        <w:rPr>
          <w:rFonts w:cs="Tahoma"/>
          <w:spacing w:val="-4"/>
          <w:position w:val="-4"/>
          <w:sz w:val="24"/>
          <w:szCs w:val="24"/>
        </w:rPr>
        <w:t>aron</w:t>
      </w:r>
      <w:r w:rsidRPr="00000790">
        <w:rPr>
          <w:rFonts w:cs="Tahoma"/>
          <w:spacing w:val="-4"/>
          <w:position w:val="-4"/>
          <w:sz w:val="24"/>
          <w:szCs w:val="24"/>
        </w:rPr>
        <w:t xml:space="preserve"> en la presente causa</w:t>
      </w:r>
      <w:r w:rsidR="001F4322" w:rsidRPr="00000790">
        <w:rPr>
          <w:rFonts w:cs="Tahoma"/>
          <w:spacing w:val="-4"/>
          <w:position w:val="-4"/>
          <w:sz w:val="24"/>
          <w:szCs w:val="24"/>
        </w:rPr>
        <w:t xml:space="preserve"> -a partir del preacuerdo y su aprobación-</w:t>
      </w:r>
      <w:r w:rsidRPr="00000790">
        <w:rPr>
          <w:rFonts w:cs="Tahoma"/>
          <w:spacing w:val="-4"/>
          <w:position w:val="-4"/>
          <w:sz w:val="24"/>
          <w:szCs w:val="24"/>
        </w:rPr>
        <w:t xml:space="preserve">, para que </w:t>
      </w:r>
      <w:r w:rsidR="00CC446B" w:rsidRPr="00000790">
        <w:rPr>
          <w:rFonts w:cs="Tahoma"/>
          <w:spacing w:val="-4"/>
          <w:position w:val="-4"/>
          <w:sz w:val="24"/>
          <w:szCs w:val="24"/>
        </w:rPr>
        <w:t xml:space="preserve">en </w:t>
      </w:r>
      <w:r w:rsidRPr="00000790">
        <w:rPr>
          <w:rFonts w:cs="Tahoma"/>
          <w:spacing w:val="-4"/>
          <w:position w:val="-4"/>
          <w:sz w:val="24"/>
          <w:szCs w:val="24"/>
        </w:rPr>
        <w:t xml:space="preserve">adelante, se abstengan de cometer actos </w:t>
      </w:r>
      <w:r w:rsidR="00CC446B" w:rsidRPr="00000790">
        <w:rPr>
          <w:rFonts w:cs="Tahoma"/>
          <w:spacing w:val="-4"/>
          <w:position w:val="-4"/>
          <w:sz w:val="24"/>
          <w:szCs w:val="24"/>
        </w:rPr>
        <w:t>irregulares como los advertidos en este proceso, que no aprestigian en lo absoluto la administración de justicia</w:t>
      </w:r>
      <w:r w:rsidR="00967C02" w:rsidRPr="00000790">
        <w:rPr>
          <w:rFonts w:cs="Tahoma"/>
          <w:spacing w:val="-4"/>
          <w:position w:val="-4"/>
          <w:sz w:val="24"/>
          <w:szCs w:val="24"/>
        </w:rPr>
        <w:t xml:space="preserve">; </w:t>
      </w:r>
      <w:r w:rsidR="001F4322" w:rsidRPr="00000790">
        <w:rPr>
          <w:rFonts w:cs="Tahoma"/>
          <w:spacing w:val="-4"/>
          <w:position w:val="-4"/>
          <w:sz w:val="24"/>
          <w:szCs w:val="24"/>
        </w:rPr>
        <w:t>por lo anterior,</w:t>
      </w:r>
      <w:r w:rsidR="00967C02" w:rsidRPr="00000790">
        <w:rPr>
          <w:rFonts w:cs="Tahoma"/>
          <w:spacing w:val="-4"/>
          <w:position w:val="-4"/>
          <w:sz w:val="24"/>
          <w:szCs w:val="24"/>
        </w:rPr>
        <w:t xml:space="preserve"> </w:t>
      </w:r>
      <w:r w:rsidR="00CA5EE7" w:rsidRPr="00000790">
        <w:rPr>
          <w:rFonts w:cs="Tahoma"/>
          <w:spacing w:val="-4"/>
          <w:position w:val="-4"/>
          <w:sz w:val="24"/>
          <w:szCs w:val="24"/>
        </w:rPr>
        <w:t>el Tribunal se</w:t>
      </w:r>
      <w:r w:rsidR="00967C02" w:rsidRPr="00000790">
        <w:rPr>
          <w:rFonts w:cs="Tahoma"/>
          <w:spacing w:val="-4"/>
          <w:position w:val="-4"/>
          <w:sz w:val="24"/>
          <w:szCs w:val="24"/>
        </w:rPr>
        <w:t xml:space="preserve"> ve obligad</w:t>
      </w:r>
      <w:r w:rsidR="00CA5EE7" w:rsidRPr="00000790">
        <w:rPr>
          <w:rFonts w:cs="Tahoma"/>
          <w:spacing w:val="-4"/>
          <w:position w:val="-4"/>
          <w:sz w:val="24"/>
          <w:szCs w:val="24"/>
        </w:rPr>
        <w:t>o</w:t>
      </w:r>
      <w:r w:rsidR="00967C02" w:rsidRPr="00000790">
        <w:rPr>
          <w:rFonts w:cs="Tahoma"/>
          <w:spacing w:val="-4"/>
          <w:position w:val="-4"/>
          <w:sz w:val="24"/>
          <w:szCs w:val="24"/>
        </w:rPr>
        <w:t xml:space="preserve"> a ordenar la compulsa de copias de la presente actuación ante la Comisión Seccional de Disciplina Judicial, para que se</w:t>
      </w:r>
      <w:r w:rsidR="00CA5EE7" w:rsidRPr="00000790">
        <w:rPr>
          <w:rFonts w:cs="Tahoma"/>
          <w:spacing w:val="-4"/>
          <w:position w:val="-4"/>
          <w:sz w:val="24"/>
          <w:szCs w:val="24"/>
        </w:rPr>
        <w:t xml:space="preserve">a tal Corporación </w:t>
      </w:r>
      <w:r w:rsidR="00967C02" w:rsidRPr="00000790">
        <w:rPr>
          <w:rFonts w:cs="Tahoma"/>
          <w:spacing w:val="-4"/>
          <w:position w:val="-4"/>
          <w:sz w:val="24"/>
          <w:szCs w:val="24"/>
        </w:rPr>
        <w:t xml:space="preserve">en ejercicio de su </w:t>
      </w:r>
      <w:r w:rsidR="00967C02" w:rsidRPr="00000790">
        <w:rPr>
          <w:rFonts w:cs="Tahoma"/>
          <w:spacing w:val="-4"/>
          <w:position w:val="-4"/>
          <w:sz w:val="24"/>
          <w:szCs w:val="24"/>
        </w:rPr>
        <w:lastRenderedPageBreak/>
        <w:t xml:space="preserve">competencia, </w:t>
      </w:r>
      <w:r w:rsidR="00CA5EE7" w:rsidRPr="00000790">
        <w:rPr>
          <w:rFonts w:cs="Tahoma"/>
          <w:spacing w:val="-4"/>
          <w:position w:val="-4"/>
          <w:sz w:val="24"/>
          <w:szCs w:val="24"/>
        </w:rPr>
        <w:t xml:space="preserve">la que </w:t>
      </w:r>
      <w:r w:rsidR="00967C02" w:rsidRPr="00000790">
        <w:rPr>
          <w:rFonts w:cs="Tahoma"/>
          <w:spacing w:val="-4"/>
          <w:position w:val="-4"/>
          <w:sz w:val="24"/>
          <w:szCs w:val="24"/>
        </w:rPr>
        <w:t xml:space="preserve">determine si </w:t>
      </w:r>
      <w:r w:rsidR="00CA5EE7" w:rsidRPr="00000790">
        <w:rPr>
          <w:rFonts w:cs="Tahoma"/>
          <w:spacing w:val="-4"/>
          <w:position w:val="-4"/>
          <w:sz w:val="24"/>
          <w:szCs w:val="24"/>
        </w:rPr>
        <w:t xml:space="preserve">con el accionar de </w:t>
      </w:r>
      <w:r w:rsidR="00967C02" w:rsidRPr="00000790">
        <w:rPr>
          <w:rFonts w:cs="Tahoma"/>
          <w:spacing w:val="-4"/>
          <w:position w:val="-4"/>
          <w:sz w:val="24"/>
          <w:szCs w:val="24"/>
        </w:rPr>
        <w:t>los aludidos funcionarios</w:t>
      </w:r>
      <w:r w:rsidR="00CA5EE7" w:rsidRPr="00000790">
        <w:rPr>
          <w:rFonts w:cs="Tahoma"/>
          <w:spacing w:val="-4"/>
          <w:position w:val="-4"/>
          <w:sz w:val="24"/>
          <w:szCs w:val="24"/>
        </w:rPr>
        <w:t xml:space="preserve"> se infringió la normativa disciplinaria</w:t>
      </w:r>
      <w:r w:rsidR="00967C02" w:rsidRPr="00000790">
        <w:rPr>
          <w:rFonts w:cs="Tahoma"/>
          <w:spacing w:val="-4"/>
          <w:position w:val="-4"/>
          <w:sz w:val="24"/>
          <w:szCs w:val="24"/>
        </w:rPr>
        <w:t xml:space="preserve">, al incurrir </w:t>
      </w:r>
      <w:r w:rsidR="00CA5EE7" w:rsidRPr="00000790">
        <w:rPr>
          <w:rFonts w:cs="Tahoma"/>
          <w:spacing w:val="-4"/>
          <w:position w:val="-4"/>
          <w:sz w:val="24"/>
          <w:szCs w:val="24"/>
        </w:rPr>
        <w:t xml:space="preserve">presuntamente </w:t>
      </w:r>
      <w:r w:rsidR="00967C02" w:rsidRPr="00000790">
        <w:rPr>
          <w:rFonts w:cs="Tahoma"/>
          <w:spacing w:val="-4"/>
          <w:position w:val="-4"/>
          <w:sz w:val="24"/>
          <w:szCs w:val="24"/>
        </w:rPr>
        <w:t xml:space="preserve">en </w:t>
      </w:r>
      <w:r w:rsidR="00CC446B" w:rsidRPr="00000790">
        <w:rPr>
          <w:rFonts w:cs="Tahoma"/>
          <w:spacing w:val="-4"/>
          <w:position w:val="-4"/>
          <w:sz w:val="24"/>
          <w:szCs w:val="24"/>
        </w:rPr>
        <w:t>faltas a sus deberes</w:t>
      </w:r>
      <w:r w:rsidR="00967C02" w:rsidRPr="00000790">
        <w:rPr>
          <w:rFonts w:cs="Tahoma"/>
          <w:spacing w:val="-4"/>
          <w:position w:val="-4"/>
          <w:sz w:val="24"/>
          <w:szCs w:val="24"/>
        </w:rPr>
        <w:t xml:space="preserve"> funcionales</w:t>
      </w:r>
      <w:r w:rsidR="002E6E75" w:rsidRPr="00000790">
        <w:rPr>
          <w:rFonts w:cs="Tahoma"/>
          <w:spacing w:val="-4"/>
          <w:position w:val="-4"/>
          <w:sz w:val="24"/>
          <w:szCs w:val="24"/>
        </w:rPr>
        <w:t xml:space="preserve">. </w:t>
      </w:r>
    </w:p>
    <w:p w14:paraId="4060901E" w14:textId="77777777" w:rsidR="00DB3A84" w:rsidRPr="00000790" w:rsidRDefault="00DB3A84" w:rsidP="00000790">
      <w:pPr>
        <w:spacing w:line="276" w:lineRule="auto"/>
        <w:rPr>
          <w:rFonts w:cs="Tahoma"/>
          <w:spacing w:val="-4"/>
          <w:position w:val="-4"/>
          <w:sz w:val="24"/>
          <w:szCs w:val="24"/>
        </w:rPr>
      </w:pPr>
    </w:p>
    <w:p w14:paraId="5385975A" w14:textId="10158E7B" w:rsidR="007D4746" w:rsidRPr="00000790" w:rsidRDefault="00967C02" w:rsidP="00000790">
      <w:pPr>
        <w:spacing w:line="276" w:lineRule="auto"/>
        <w:rPr>
          <w:rFonts w:cs="Tahoma"/>
          <w:spacing w:val="-4"/>
          <w:position w:val="-4"/>
          <w:sz w:val="24"/>
          <w:szCs w:val="24"/>
        </w:rPr>
      </w:pPr>
      <w:r w:rsidRPr="00000790">
        <w:rPr>
          <w:rFonts w:cs="Tahoma"/>
          <w:spacing w:val="-4"/>
          <w:position w:val="-4"/>
          <w:sz w:val="24"/>
          <w:szCs w:val="24"/>
        </w:rPr>
        <w:t xml:space="preserve">Así mismo, debe hacérsele un llamado de atención al </w:t>
      </w:r>
      <w:r w:rsidR="00CC446B" w:rsidRPr="00000790">
        <w:rPr>
          <w:rFonts w:cs="Tahoma"/>
          <w:spacing w:val="-4"/>
          <w:position w:val="-4"/>
          <w:sz w:val="24"/>
          <w:szCs w:val="24"/>
        </w:rPr>
        <w:t>delegado del Ministerio Público, en cuanto que lo correcto era, en cumplimiento de funciones, haber acudido a la audiencia de decisión de preacuerdo a la que fue convocado por el Juzgado de Conocimiento, en donde probablemente pudo haber controvertido la situación, que de forma acuciosa dejó entrever desde el momento en que se verbalizó el preacuerdo</w:t>
      </w:r>
      <w:r w:rsidR="00CC446B" w:rsidRPr="00000790">
        <w:rPr>
          <w:rStyle w:val="Refdenotaalpie"/>
          <w:rFonts w:ascii="Tahoma" w:hAnsi="Tahoma" w:cs="Tahoma"/>
          <w:spacing w:val="-4"/>
          <w:position w:val="-4"/>
          <w:sz w:val="24"/>
          <w:szCs w:val="24"/>
        </w:rPr>
        <w:footnoteReference w:id="12"/>
      </w:r>
      <w:r w:rsidR="00CC446B" w:rsidRPr="00000790">
        <w:rPr>
          <w:rFonts w:cs="Tahoma"/>
          <w:spacing w:val="-4"/>
          <w:position w:val="-4"/>
          <w:sz w:val="24"/>
          <w:szCs w:val="24"/>
        </w:rPr>
        <w:t xml:space="preserve">, diligencia en la que </w:t>
      </w:r>
      <w:r w:rsidR="00B53B47" w:rsidRPr="00000790">
        <w:rPr>
          <w:rFonts w:cs="Tahoma"/>
          <w:spacing w:val="-4"/>
          <w:position w:val="-4"/>
          <w:sz w:val="24"/>
          <w:szCs w:val="24"/>
        </w:rPr>
        <w:t>sí</w:t>
      </w:r>
      <w:r w:rsidR="00CC446B" w:rsidRPr="00000790">
        <w:rPr>
          <w:rFonts w:cs="Tahoma"/>
          <w:spacing w:val="-4"/>
          <w:position w:val="-4"/>
          <w:sz w:val="24"/>
          <w:szCs w:val="24"/>
        </w:rPr>
        <w:t xml:space="preserve"> estuvo presente. </w:t>
      </w:r>
    </w:p>
    <w:p w14:paraId="470C4A56" w14:textId="77777777" w:rsidR="007D4746" w:rsidRPr="00000790" w:rsidRDefault="007D4746" w:rsidP="00000790">
      <w:pPr>
        <w:spacing w:line="276" w:lineRule="auto"/>
        <w:rPr>
          <w:rFonts w:cs="Tahoma"/>
          <w:spacing w:val="-4"/>
          <w:position w:val="-4"/>
          <w:sz w:val="24"/>
          <w:szCs w:val="24"/>
        </w:rPr>
      </w:pPr>
    </w:p>
    <w:p w14:paraId="3D8C9BA3" w14:textId="77777777" w:rsidR="001B1869" w:rsidRPr="00000790" w:rsidRDefault="007257A6" w:rsidP="00000790">
      <w:pPr>
        <w:spacing w:line="276" w:lineRule="auto"/>
        <w:rPr>
          <w:rFonts w:cs="Tahoma"/>
          <w:spacing w:val="-4"/>
          <w:position w:val="-4"/>
          <w:sz w:val="24"/>
          <w:szCs w:val="24"/>
        </w:rPr>
      </w:pPr>
      <w:r w:rsidRPr="00000790">
        <w:rPr>
          <w:rFonts w:cs="Tahoma"/>
          <w:spacing w:val="-4"/>
          <w:position w:val="-4"/>
          <w:sz w:val="24"/>
          <w:szCs w:val="24"/>
        </w:rPr>
        <w:t xml:space="preserve">Ahora bien, una vez advertidas las irregularidades en que incurrió la funcionaria de primer grado, procederá la Sala a resolver lo que fue motivo de inconformidad por parte del quejoso en su escrito de apelación. </w:t>
      </w:r>
    </w:p>
    <w:p w14:paraId="563B8040" w14:textId="77777777" w:rsidR="001B1869" w:rsidRPr="00000790" w:rsidRDefault="001B1869" w:rsidP="00000790">
      <w:pPr>
        <w:spacing w:line="276" w:lineRule="auto"/>
        <w:rPr>
          <w:rFonts w:cs="Tahoma"/>
          <w:spacing w:val="-4"/>
          <w:position w:val="-4"/>
          <w:sz w:val="24"/>
          <w:szCs w:val="24"/>
        </w:rPr>
      </w:pPr>
    </w:p>
    <w:p w14:paraId="43B3EE64" w14:textId="14C82C92" w:rsidR="002A19AB" w:rsidRPr="00000790" w:rsidRDefault="00D96EE6" w:rsidP="00000790">
      <w:pPr>
        <w:spacing w:line="276" w:lineRule="auto"/>
        <w:rPr>
          <w:rFonts w:cs="Tahoma"/>
          <w:sz w:val="24"/>
          <w:szCs w:val="24"/>
        </w:rPr>
      </w:pPr>
      <w:r w:rsidRPr="00000790">
        <w:rPr>
          <w:rFonts w:cs="Tahoma"/>
          <w:sz w:val="24"/>
          <w:szCs w:val="24"/>
        </w:rPr>
        <w:t xml:space="preserve">Como ya se dijo, </w:t>
      </w:r>
      <w:r w:rsidRPr="00000790">
        <w:rPr>
          <w:rFonts w:cs="Tahoma"/>
          <w:spacing w:val="-4"/>
          <w:sz w:val="24"/>
          <w:szCs w:val="24"/>
        </w:rPr>
        <w:t xml:space="preserve">el </w:t>
      </w:r>
      <w:r w:rsidR="00FF6085" w:rsidRPr="00000790">
        <w:rPr>
          <w:rFonts w:cs="Tahoma"/>
          <w:spacing w:val="-4"/>
          <w:sz w:val="24"/>
          <w:szCs w:val="24"/>
        </w:rPr>
        <w:t xml:space="preserve">recurrente </w:t>
      </w:r>
      <w:r w:rsidRPr="00000790">
        <w:rPr>
          <w:rFonts w:cs="Tahoma"/>
          <w:spacing w:val="-4"/>
          <w:sz w:val="24"/>
          <w:szCs w:val="24"/>
        </w:rPr>
        <w:t>no está cuestionando la responsabilidad admitida por vía de la aceptación unilateral de su representado, por el contrario, lo que censura es lo relativo a la no concesión</w:t>
      </w:r>
      <w:r w:rsidRPr="00000790">
        <w:rPr>
          <w:rFonts w:cs="Tahoma"/>
          <w:sz w:val="24"/>
          <w:szCs w:val="24"/>
        </w:rPr>
        <w:t xml:space="preserve"> de la suspensión condicional de la ejecución de la pena y/o la prisión domiciliaria</w:t>
      </w:r>
      <w:r w:rsidR="00BF2D76" w:rsidRPr="00000790">
        <w:rPr>
          <w:rFonts w:cs="Tahoma"/>
          <w:sz w:val="24"/>
          <w:szCs w:val="24"/>
        </w:rPr>
        <w:t xml:space="preserve"> con permiso para trabajar</w:t>
      </w:r>
      <w:r w:rsidRPr="00000790">
        <w:rPr>
          <w:rFonts w:cs="Tahoma"/>
          <w:sz w:val="24"/>
          <w:szCs w:val="24"/>
        </w:rPr>
        <w:t>, ya que en su criterio,</w:t>
      </w:r>
      <w:r w:rsidR="00BF2D76" w:rsidRPr="00000790">
        <w:rPr>
          <w:rFonts w:cs="Tahoma"/>
          <w:sz w:val="24"/>
          <w:szCs w:val="24"/>
        </w:rPr>
        <w:t xml:space="preserve"> la falta de antecedentes de su prohijado, sumado a las condiciones familiares, sociales, su formación académica, y su esfuerzo en servirle a la comunidad en el campo de la salud, deben ser consideradas para que no sea necesario el tratamiento penitenciario. Asimismo, considera que de no concedérsele el sustituto deprecado, </w:t>
      </w:r>
      <w:r w:rsidR="00BF24CA" w:rsidRPr="00000790">
        <w:rPr>
          <w:rFonts w:cs="Tahoma"/>
          <w:sz w:val="24"/>
          <w:szCs w:val="24"/>
        </w:rPr>
        <w:t>afectaría</w:t>
      </w:r>
      <w:r w:rsidRPr="00000790">
        <w:rPr>
          <w:rFonts w:cs="Tahoma"/>
          <w:sz w:val="24"/>
          <w:szCs w:val="24"/>
        </w:rPr>
        <w:t xml:space="preserve"> los derechos </w:t>
      </w:r>
      <w:r w:rsidR="00BF2D76" w:rsidRPr="00000790">
        <w:rPr>
          <w:rFonts w:cs="Tahoma"/>
          <w:sz w:val="24"/>
          <w:szCs w:val="24"/>
        </w:rPr>
        <w:t>sus abuelos</w:t>
      </w:r>
      <w:r w:rsidR="0013720D" w:rsidRPr="00000790">
        <w:rPr>
          <w:rFonts w:cs="Tahoma"/>
          <w:sz w:val="24"/>
          <w:szCs w:val="24"/>
        </w:rPr>
        <w:t>,</w:t>
      </w:r>
      <w:r w:rsidRPr="00000790">
        <w:rPr>
          <w:rFonts w:cs="Tahoma"/>
          <w:sz w:val="24"/>
          <w:szCs w:val="24"/>
        </w:rPr>
        <w:t xml:space="preserve"> quien</w:t>
      </w:r>
      <w:r w:rsidR="00BF2D76" w:rsidRPr="00000790">
        <w:rPr>
          <w:rFonts w:cs="Tahoma"/>
          <w:sz w:val="24"/>
          <w:szCs w:val="24"/>
        </w:rPr>
        <w:t>es</w:t>
      </w:r>
      <w:r w:rsidRPr="00000790">
        <w:rPr>
          <w:rFonts w:cs="Tahoma"/>
          <w:sz w:val="24"/>
          <w:szCs w:val="24"/>
        </w:rPr>
        <w:t xml:space="preserve"> al ser </w:t>
      </w:r>
      <w:r w:rsidR="00BF24CA" w:rsidRPr="00000790">
        <w:rPr>
          <w:rFonts w:cs="Tahoma"/>
          <w:sz w:val="24"/>
          <w:szCs w:val="24"/>
        </w:rPr>
        <w:t>personas</w:t>
      </w:r>
      <w:r w:rsidRPr="00000790">
        <w:rPr>
          <w:rFonts w:cs="Tahoma"/>
          <w:sz w:val="24"/>
          <w:szCs w:val="24"/>
        </w:rPr>
        <w:t xml:space="preserve"> de avanzada edad</w:t>
      </w:r>
      <w:r w:rsidR="00BF24CA" w:rsidRPr="00000790">
        <w:rPr>
          <w:rFonts w:cs="Tahoma"/>
          <w:sz w:val="24"/>
          <w:szCs w:val="24"/>
        </w:rPr>
        <w:t xml:space="preserve"> requieren de su cuidado y protección</w:t>
      </w:r>
      <w:r w:rsidRPr="00000790">
        <w:rPr>
          <w:rFonts w:cs="Tahoma"/>
          <w:sz w:val="24"/>
          <w:szCs w:val="24"/>
        </w:rPr>
        <w:t>; por tanto, solicita a esta Sala que le conceda ese beneficio o en su defecto la prisión domiciliari</w:t>
      </w:r>
      <w:r w:rsidR="00BF2D76" w:rsidRPr="00000790">
        <w:rPr>
          <w:rFonts w:cs="Tahoma"/>
          <w:sz w:val="24"/>
          <w:szCs w:val="24"/>
        </w:rPr>
        <w:t xml:space="preserve">a con permiso </w:t>
      </w:r>
      <w:r w:rsidR="004A2394" w:rsidRPr="00000790">
        <w:rPr>
          <w:rFonts w:cs="Tahoma"/>
          <w:sz w:val="24"/>
          <w:szCs w:val="24"/>
        </w:rPr>
        <w:t>de trabajo</w:t>
      </w:r>
      <w:r w:rsidR="00BF2D76" w:rsidRPr="00000790">
        <w:rPr>
          <w:rFonts w:cs="Tahoma"/>
          <w:sz w:val="24"/>
          <w:szCs w:val="24"/>
        </w:rPr>
        <w:t>.</w:t>
      </w:r>
    </w:p>
    <w:p w14:paraId="68CD55AE" w14:textId="77777777" w:rsidR="002A19AB" w:rsidRPr="00000790" w:rsidRDefault="002A19AB" w:rsidP="00000790">
      <w:pPr>
        <w:spacing w:line="276" w:lineRule="auto"/>
        <w:rPr>
          <w:rFonts w:cs="Tahoma"/>
          <w:sz w:val="24"/>
          <w:szCs w:val="24"/>
        </w:rPr>
      </w:pPr>
    </w:p>
    <w:p w14:paraId="285CEEDF" w14:textId="77777777" w:rsidR="00D96EE6" w:rsidRPr="00000790" w:rsidRDefault="002A19AB" w:rsidP="00000790">
      <w:pPr>
        <w:spacing w:line="276" w:lineRule="auto"/>
        <w:rPr>
          <w:rFonts w:cs="Tahoma"/>
          <w:b/>
          <w:sz w:val="24"/>
          <w:szCs w:val="24"/>
        </w:rPr>
      </w:pPr>
      <w:r w:rsidRPr="00000790">
        <w:rPr>
          <w:rFonts w:cs="Tahoma"/>
          <w:sz w:val="24"/>
          <w:szCs w:val="24"/>
        </w:rPr>
        <w:t xml:space="preserve">Por último, advierte </w:t>
      </w:r>
      <w:r w:rsidR="00BE469F" w:rsidRPr="00000790">
        <w:rPr>
          <w:rFonts w:cs="Tahoma"/>
          <w:sz w:val="24"/>
          <w:szCs w:val="24"/>
        </w:rPr>
        <w:t xml:space="preserve">esta Colegiatura </w:t>
      </w:r>
      <w:r w:rsidRPr="00000790">
        <w:rPr>
          <w:rFonts w:cs="Tahoma"/>
          <w:sz w:val="24"/>
          <w:szCs w:val="24"/>
        </w:rPr>
        <w:t xml:space="preserve">que el recurrente, </w:t>
      </w:r>
      <w:r w:rsidRPr="00000790">
        <w:rPr>
          <w:rFonts w:cs="Tahoma"/>
          <w:b/>
          <w:sz w:val="24"/>
          <w:szCs w:val="24"/>
        </w:rPr>
        <w:t>junto con sus argumentos de alzada, anexó unos elementos probatorios, que no fueron puestos consideración del a quo</w:t>
      </w:r>
      <w:r w:rsidR="00BE469F" w:rsidRPr="00000790">
        <w:rPr>
          <w:rFonts w:cs="Tahoma"/>
          <w:b/>
          <w:sz w:val="24"/>
          <w:szCs w:val="24"/>
        </w:rPr>
        <w:t xml:space="preserve"> al momento de deprecar la solitud ante esa instancia. </w:t>
      </w:r>
    </w:p>
    <w:p w14:paraId="1044A1C1" w14:textId="77777777" w:rsidR="00D96EE6" w:rsidRPr="00000790" w:rsidRDefault="00D96EE6" w:rsidP="00000790">
      <w:pPr>
        <w:spacing w:line="276" w:lineRule="auto"/>
        <w:rPr>
          <w:rFonts w:cs="Tahoma"/>
          <w:spacing w:val="-4"/>
          <w:sz w:val="24"/>
          <w:szCs w:val="24"/>
        </w:rPr>
      </w:pPr>
    </w:p>
    <w:p w14:paraId="33FE1A31" w14:textId="77777777" w:rsidR="00D96EE6" w:rsidRPr="00000790" w:rsidRDefault="00D96EE6" w:rsidP="00000790">
      <w:pPr>
        <w:spacing w:line="276" w:lineRule="auto"/>
        <w:rPr>
          <w:rFonts w:cs="Tahoma"/>
          <w:spacing w:val="-4"/>
          <w:sz w:val="24"/>
          <w:szCs w:val="24"/>
        </w:rPr>
      </w:pPr>
      <w:r w:rsidRPr="00000790">
        <w:rPr>
          <w:rFonts w:cs="Tahoma"/>
          <w:spacing w:val="-4"/>
          <w:sz w:val="24"/>
          <w:szCs w:val="24"/>
        </w:rPr>
        <w:t xml:space="preserve">En ese entendido, debe iniciar esta Sala citando el contenido del artículo 63 C.P, el cual reza; </w:t>
      </w:r>
    </w:p>
    <w:p w14:paraId="363FA2AB" w14:textId="77777777" w:rsidR="00D96EE6" w:rsidRPr="00000790" w:rsidRDefault="00D96EE6" w:rsidP="00000790">
      <w:pPr>
        <w:spacing w:line="276" w:lineRule="auto"/>
        <w:rPr>
          <w:rFonts w:cs="Tahoma"/>
          <w:spacing w:val="-4"/>
          <w:sz w:val="24"/>
          <w:szCs w:val="24"/>
        </w:rPr>
      </w:pPr>
    </w:p>
    <w:p w14:paraId="42503DEE" w14:textId="77777777" w:rsidR="00D96EE6" w:rsidRPr="004B01EA" w:rsidRDefault="00D96EE6" w:rsidP="004B01EA">
      <w:pPr>
        <w:spacing w:line="240" w:lineRule="auto"/>
        <w:ind w:left="426" w:right="420"/>
        <w:rPr>
          <w:rFonts w:cs="Tahoma"/>
          <w:spacing w:val="-4"/>
          <w:sz w:val="22"/>
          <w:szCs w:val="24"/>
        </w:rPr>
      </w:pPr>
      <w:r w:rsidRPr="004B01EA">
        <w:rPr>
          <w:rFonts w:cs="Tahoma"/>
          <w:spacing w:val="-4"/>
          <w:sz w:val="22"/>
          <w:szCs w:val="24"/>
        </w:rPr>
        <w:t>“</w:t>
      </w:r>
      <w:r w:rsidRPr="004B01EA">
        <w:rPr>
          <w:rFonts w:cs="Tahoma"/>
          <w:b/>
          <w:spacing w:val="-4"/>
          <w:sz w:val="22"/>
          <w:szCs w:val="24"/>
        </w:rPr>
        <w:t>Suspensión de la ejecución de la pena.</w:t>
      </w:r>
      <w:r w:rsidRPr="004B01EA">
        <w:rPr>
          <w:rFonts w:cs="Tahoma"/>
          <w:spacing w:val="-4"/>
          <w:sz w:val="22"/>
          <w:szCs w:val="24"/>
        </w:rPr>
        <w:t xml:space="preserve"> La ejecución de la pena privativa de la libertad impuesta en sentencia de primera, segunda o única instancia, se suspenderá por un período de dos (2) a cinco (5) años, de oficio o a petición del interesado, siempre que concurran los siguientes requisitos:</w:t>
      </w:r>
    </w:p>
    <w:p w14:paraId="1B64BC10" w14:textId="77777777" w:rsidR="00D96EE6" w:rsidRPr="004B01EA" w:rsidRDefault="00D96EE6" w:rsidP="004B01EA">
      <w:pPr>
        <w:spacing w:line="240" w:lineRule="auto"/>
        <w:ind w:left="426" w:right="420"/>
        <w:rPr>
          <w:rFonts w:cs="Tahoma"/>
          <w:spacing w:val="-4"/>
          <w:sz w:val="22"/>
          <w:szCs w:val="24"/>
        </w:rPr>
      </w:pPr>
      <w:r w:rsidRPr="004B01EA">
        <w:rPr>
          <w:rFonts w:cs="Tahoma"/>
          <w:spacing w:val="-4"/>
          <w:sz w:val="22"/>
          <w:szCs w:val="24"/>
        </w:rPr>
        <w:br/>
        <w:t>1. Que la pena impuesta sea de prisión que no exceda de cuatro (4) años.</w:t>
      </w:r>
    </w:p>
    <w:p w14:paraId="028F7B2C" w14:textId="77777777" w:rsidR="00D96EE6" w:rsidRPr="004B01EA" w:rsidRDefault="00D96EE6" w:rsidP="004B01EA">
      <w:pPr>
        <w:spacing w:line="240" w:lineRule="auto"/>
        <w:ind w:left="426" w:right="420"/>
        <w:rPr>
          <w:rFonts w:cs="Tahoma"/>
          <w:spacing w:val="-4"/>
          <w:sz w:val="22"/>
          <w:szCs w:val="24"/>
        </w:rPr>
      </w:pPr>
      <w:r w:rsidRPr="004B01EA">
        <w:rPr>
          <w:rFonts w:cs="Tahoma"/>
          <w:spacing w:val="-4"/>
          <w:sz w:val="22"/>
          <w:szCs w:val="24"/>
        </w:rPr>
        <w:br/>
        <w:t xml:space="preserve">2. Si la persona condenada carece de antecedentes penales </w:t>
      </w:r>
      <w:r w:rsidRPr="004B01EA">
        <w:rPr>
          <w:rFonts w:cs="Tahoma"/>
          <w:b/>
          <w:spacing w:val="-4"/>
          <w:sz w:val="22"/>
          <w:szCs w:val="24"/>
        </w:rPr>
        <w:t>y no se trata de uno de los delitos contenidos el inciso 2o del artículo 68A de la Ley 599 de 2000</w:t>
      </w:r>
      <w:r w:rsidRPr="004B01EA">
        <w:rPr>
          <w:rFonts w:cs="Tahoma"/>
          <w:spacing w:val="-4"/>
          <w:sz w:val="22"/>
          <w:szCs w:val="24"/>
        </w:rPr>
        <w:t>, el juez de conocimiento concederá la medida con base solamente en el requisito objetivo señalado en el numeral 1 de este artículo.</w:t>
      </w:r>
    </w:p>
    <w:p w14:paraId="5574F3CA" w14:textId="77777777" w:rsidR="00D96EE6" w:rsidRPr="004B01EA" w:rsidRDefault="00D96EE6" w:rsidP="004B01EA">
      <w:pPr>
        <w:spacing w:line="240" w:lineRule="auto"/>
        <w:ind w:left="426" w:right="420"/>
        <w:rPr>
          <w:rFonts w:cs="Tahoma"/>
          <w:spacing w:val="-4"/>
          <w:sz w:val="22"/>
          <w:szCs w:val="24"/>
        </w:rPr>
      </w:pPr>
      <w:r w:rsidRPr="004B01EA">
        <w:rPr>
          <w:rFonts w:cs="Tahoma"/>
          <w:spacing w:val="-4"/>
          <w:sz w:val="22"/>
          <w:szCs w:val="24"/>
        </w:rPr>
        <w:lastRenderedPageBreak/>
        <w:br/>
        <w:t>3. Si la persona condenada tiene antecedentes penales por delito doloso dentro de los cinco (5) años anteriores, el juez podrá conceder la medida cuando los antecedentes personales, sociales y familiares del sentenciado sean indicativos de que no existe necesidad de ejecución de la pena.</w:t>
      </w:r>
    </w:p>
    <w:p w14:paraId="02B97E0E" w14:textId="77777777" w:rsidR="00D96EE6" w:rsidRPr="004B01EA" w:rsidRDefault="00D96EE6" w:rsidP="004B01EA">
      <w:pPr>
        <w:spacing w:line="240" w:lineRule="auto"/>
        <w:ind w:left="426" w:right="420"/>
        <w:rPr>
          <w:rFonts w:cs="Tahoma"/>
          <w:spacing w:val="-4"/>
          <w:sz w:val="22"/>
          <w:szCs w:val="24"/>
        </w:rPr>
      </w:pPr>
      <w:r w:rsidRPr="004B01EA">
        <w:rPr>
          <w:rFonts w:cs="Tahoma"/>
          <w:spacing w:val="-4"/>
          <w:sz w:val="22"/>
          <w:szCs w:val="24"/>
        </w:rPr>
        <w:br/>
        <w:t>La suspensión de la ejecución de la pena privativa de la libertad no será extensiva a la responsabilidad civil derivada de la conducta punible.</w:t>
      </w:r>
    </w:p>
    <w:p w14:paraId="21259842" w14:textId="77777777" w:rsidR="00D96EE6" w:rsidRPr="004B01EA" w:rsidRDefault="00D96EE6" w:rsidP="004B01EA">
      <w:pPr>
        <w:spacing w:line="240" w:lineRule="auto"/>
        <w:ind w:left="426" w:right="420"/>
        <w:rPr>
          <w:rFonts w:cs="Tahoma"/>
          <w:spacing w:val="-4"/>
          <w:sz w:val="22"/>
          <w:szCs w:val="24"/>
        </w:rPr>
      </w:pPr>
      <w:r w:rsidRPr="004B01EA">
        <w:rPr>
          <w:rFonts w:cs="Tahoma"/>
          <w:spacing w:val="-4"/>
          <w:sz w:val="22"/>
          <w:szCs w:val="24"/>
        </w:rPr>
        <w:br/>
        <w:t>El juez podrá exigir el cumplimiento de las penas no privativas de la libertad accesorias a esta. En todo caso cuando se trate de lo dispuesto en el inciso final del </w:t>
      </w:r>
      <w:hyperlink r:id="rId9" w:history="1">
        <w:r w:rsidRPr="004B01EA">
          <w:rPr>
            <w:rFonts w:cs="Tahoma"/>
            <w:spacing w:val="-4"/>
            <w:sz w:val="22"/>
            <w:szCs w:val="24"/>
          </w:rPr>
          <w:t>artículo 122 de la Constitución Política</w:t>
        </w:r>
      </w:hyperlink>
      <w:r w:rsidRPr="004B01EA">
        <w:rPr>
          <w:rFonts w:cs="Tahoma"/>
          <w:spacing w:val="-4"/>
          <w:sz w:val="22"/>
          <w:szCs w:val="24"/>
        </w:rPr>
        <w:t> se exigirá su cumplimiento” -negrillas de la Sala-.”</w:t>
      </w:r>
    </w:p>
    <w:p w14:paraId="7FE076A0" w14:textId="77777777" w:rsidR="00D96EE6" w:rsidRPr="00000790" w:rsidRDefault="00D96EE6" w:rsidP="00000790">
      <w:pPr>
        <w:spacing w:line="276" w:lineRule="auto"/>
        <w:rPr>
          <w:rFonts w:cs="Tahoma"/>
          <w:spacing w:val="-4"/>
          <w:sz w:val="24"/>
          <w:szCs w:val="24"/>
        </w:rPr>
      </w:pPr>
    </w:p>
    <w:p w14:paraId="6133E01E" w14:textId="77777777" w:rsidR="00D96EE6" w:rsidRPr="00000790" w:rsidRDefault="00D96EE6" w:rsidP="00000790">
      <w:pPr>
        <w:spacing w:line="276" w:lineRule="auto"/>
        <w:rPr>
          <w:rFonts w:cs="Tahoma"/>
          <w:spacing w:val="-4"/>
          <w:sz w:val="24"/>
          <w:szCs w:val="24"/>
        </w:rPr>
      </w:pPr>
      <w:r w:rsidRPr="00000790">
        <w:rPr>
          <w:rFonts w:cs="Tahoma"/>
          <w:spacing w:val="-4"/>
          <w:sz w:val="24"/>
          <w:szCs w:val="24"/>
        </w:rPr>
        <w:t xml:space="preserve">Tal norma igualmente debe acompasarse con lo reglado en el art. 68A CPP, que prescribe: </w:t>
      </w:r>
    </w:p>
    <w:p w14:paraId="1E29D2D1" w14:textId="77777777" w:rsidR="00D96EE6" w:rsidRPr="00000790" w:rsidRDefault="00D96EE6" w:rsidP="00000790">
      <w:pPr>
        <w:spacing w:line="276" w:lineRule="auto"/>
        <w:rPr>
          <w:rFonts w:cs="Tahoma"/>
          <w:spacing w:val="-4"/>
          <w:sz w:val="24"/>
          <w:szCs w:val="24"/>
        </w:rPr>
      </w:pPr>
    </w:p>
    <w:p w14:paraId="45894F54" w14:textId="77777777" w:rsidR="00D96EE6" w:rsidRPr="00326075" w:rsidRDefault="00D96EE6" w:rsidP="00326075">
      <w:pPr>
        <w:spacing w:line="240" w:lineRule="auto"/>
        <w:ind w:left="426" w:right="420"/>
        <w:rPr>
          <w:rFonts w:cs="Tahoma"/>
          <w:color w:val="000000"/>
          <w:spacing w:val="-4"/>
          <w:sz w:val="22"/>
          <w:szCs w:val="24"/>
        </w:rPr>
      </w:pPr>
      <w:r w:rsidRPr="00326075">
        <w:rPr>
          <w:rFonts w:cs="Tahoma"/>
          <w:color w:val="000000"/>
          <w:spacing w:val="-4"/>
          <w:sz w:val="22"/>
          <w:szCs w:val="24"/>
        </w:rPr>
        <w:t xml:space="preserve">“La suspensión de la ejecución de la pena privativa de la libertad no será extensiva a la responsabilidad civil derivada de la conducta </w:t>
      </w:r>
      <w:r w:rsidR="001B4659" w:rsidRPr="00326075">
        <w:rPr>
          <w:rFonts w:cs="Tahoma"/>
          <w:color w:val="000000"/>
          <w:spacing w:val="-4"/>
          <w:sz w:val="22"/>
          <w:szCs w:val="24"/>
        </w:rPr>
        <w:t>punible.” No</w:t>
      </w:r>
      <w:r w:rsidRPr="00326075">
        <w:rPr>
          <w:rFonts w:cs="Tahoma"/>
          <w:color w:val="000000"/>
          <w:spacing w:val="-4"/>
          <w:sz w:val="22"/>
          <w:szCs w:val="24"/>
        </w:rPr>
        <w:t xml:space="preserve"> se concederán la suspensión condicional de la ejecución de la pena; la prisión domiciliaria como sustitutiva de la prisión; ni habrá lugar a ningún otro beneficio, judicial o administrativo, salvo los beneficios por colaboración regulados por la ley, siempre que esta sea efectiva, cuando la persona haya sido condenada por delito doloso dentro de los cinco (5) años anteriores.</w:t>
      </w:r>
    </w:p>
    <w:p w14:paraId="3FB51438" w14:textId="77777777" w:rsidR="00D96EE6" w:rsidRPr="00326075" w:rsidRDefault="00D96EE6" w:rsidP="00326075">
      <w:pPr>
        <w:spacing w:line="240" w:lineRule="auto"/>
        <w:ind w:left="426" w:right="420"/>
        <w:rPr>
          <w:rFonts w:cs="Tahoma"/>
          <w:color w:val="000000"/>
          <w:sz w:val="22"/>
          <w:szCs w:val="24"/>
        </w:rPr>
      </w:pPr>
    </w:p>
    <w:p w14:paraId="20D585DB" w14:textId="77777777" w:rsidR="00D96EE6" w:rsidRPr="00326075" w:rsidRDefault="00D96EE6" w:rsidP="00326075">
      <w:pPr>
        <w:spacing w:line="240" w:lineRule="auto"/>
        <w:ind w:left="426" w:right="420"/>
        <w:rPr>
          <w:rFonts w:cs="Tahoma"/>
          <w:color w:val="000000"/>
          <w:spacing w:val="-4"/>
          <w:sz w:val="22"/>
          <w:szCs w:val="24"/>
        </w:rPr>
      </w:pPr>
      <w:r w:rsidRPr="00326075">
        <w:rPr>
          <w:rFonts w:cs="Tahoma"/>
          <w:color w:val="000000"/>
          <w:sz w:val="22"/>
          <w:szCs w:val="24"/>
        </w:rPr>
        <w:t xml:space="preserve">Tampoco quienes hayan sido condenados por delitos dolosos contra la Administración Pública; delitos contra las personas y bienes protegidos por el Derecho Internacional Humanitario; </w:t>
      </w:r>
      <w:r w:rsidRPr="00326075">
        <w:rPr>
          <w:rFonts w:cs="Tahoma"/>
          <w:b/>
          <w:color w:val="000000"/>
          <w:sz w:val="22"/>
          <w:szCs w:val="24"/>
        </w:rPr>
        <w:t>delitos contra la libertad, integridad y formación sexual</w:t>
      </w:r>
      <w:r w:rsidRPr="00326075">
        <w:rPr>
          <w:rFonts w:cs="Tahoma"/>
          <w:color w:val="000000"/>
          <w:sz w:val="22"/>
          <w:szCs w:val="24"/>
        </w:rPr>
        <w:t>; estafa y abuso de confianza que recaiga sobre los bienes del Estado; captación masiva y habitual de dineros; utilización indebida de información privilegiada; concierto para delinquir agravado; lavado de activos; soborno transnacional; violencia intrafamiliar; hurto calificado; abigeato enunciado en el inciso tercero del artículo </w:t>
      </w:r>
      <w:hyperlink r:id="rId10" w:anchor="243" w:history="1">
        <w:r w:rsidRPr="00326075">
          <w:rPr>
            <w:rStyle w:val="Hipervnculo"/>
            <w:rFonts w:cs="Tahoma"/>
            <w:color w:val="000000"/>
            <w:sz w:val="22"/>
            <w:szCs w:val="24"/>
          </w:rPr>
          <w:t>243</w:t>
        </w:r>
      </w:hyperlink>
      <w:r w:rsidRPr="00326075">
        <w:rPr>
          <w:rFonts w:cs="Tahoma"/>
          <w:color w:val="000000"/>
          <w:sz w:val="22"/>
          <w:szCs w:val="24"/>
        </w:rPr>
        <w:t>; extorsión; homicidio agravado contemplado en el numeral 6 del artículo </w:t>
      </w:r>
      <w:hyperlink r:id="rId11" w:anchor="104" w:history="1">
        <w:r w:rsidRPr="00326075">
          <w:rPr>
            <w:rStyle w:val="Hipervnculo"/>
            <w:rFonts w:cs="Tahoma"/>
            <w:color w:val="000000"/>
            <w:sz w:val="22"/>
            <w:szCs w:val="24"/>
          </w:rPr>
          <w:t>104</w:t>
        </w:r>
      </w:hyperlink>
      <w:r w:rsidRPr="00326075">
        <w:rPr>
          <w:rFonts w:cs="Tahoma"/>
          <w:color w:val="000000"/>
          <w:sz w:val="22"/>
          <w:szCs w:val="24"/>
        </w:rPr>
        <w:t xml:space="preserve">; lesiones causadas con agentes químicos, ácidos y/o sustancias similares; violación ilícita de comunicaciones; violación ilícita de comunicaciones o correspondencia de carácter oficial; trata de personas; apología al genocidio; lesiones personales por pérdida anatómica o funcional de un órgano o miembro; desplazamiento forzado; tráfico de migrantes; </w:t>
      </w:r>
      <w:proofErr w:type="spellStart"/>
      <w:r w:rsidRPr="00326075">
        <w:rPr>
          <w:rFonts w:cs="Tahoma"/>
          <w:color w:val="000000"/>
          <w:sz w:val="22"/>
          <w:szCs w:val="24"/>
        </w:rPr>
        <w:t>testaferrato</w:t>
      </w:r>
      <w:proofErr w:type="spellEnd"/>
      <w:r w:rsidRPr="00326075">
        <w:rPr>
          <w:rFonts w:cs="Tahoma"/>
          <w:color w:val="000000"/>
          <w:sz w:val="22"/>
          <w:szCs w:val="24"/>
        </w:rPr>
        <w:t>; enriquecimiento ilícito de particulares; apoderamiento de hidrocarburos, sus derivados, biocombustibles o mezclas que los contengan; receptación; instigación a delinquir; empleo o lanzamiento de sustancias u objeto peligrosos; fabricación, importación, tráfico, posesión o uso de armas químicas, biológicas y nucleares; delitos relacionados con el tráfico de estupefacientes y otras infracciones; espionaje; rebelión; y desplazamiento forzado; usurpación de inmuebles, falsificación de moneda nacional o extranjera; exportación o importación ficticia; evasión fiscal; negativa de reintegro; contrabando agravado; contrabando de hidrocarburos y sus derivados; ayuda e instigación al empleo, producción y transferencia de minas antipersonales.</w:t>
      </w:r>
      <w:r w:rsidRPr="00326075">
        <w:rPr>
          <w:rFonts w:cs="Tahoma"/>
          <w:color w:val="000000"/>
          <w:spacing w:val="-4"/>
          <w:sz w:val="22"/>
          <w:szCs w:val="24"/>
        </w:rPr>
        <w:t xml:space="preserve"> […]”.</w:t>
      </w:r>
    </w:p>
    <w:p w14:paraId="3A7CF069" w14:textId="77777777" w:rsidR="00D96EE6" w:rsidRPr="00000790" w:rsidRDefault="00D96EE6" w:rsidP="00000790">
      <w:pPr>
        <w:spacing w:line="276" w:lineRule="auto"/>
        <w:rPr>
          <w:rFonts w:cs="Tahoma"/>
          <w:spacing w:val="-4"/>
          <w:sz w:val="24"/>
          <w:szCs w:val="24"/>
        </w:rPr>
      </w:pPr>
    </w:p>
    <w:p w14:paraId="661FBB6B" w14:textId="095A6F26" w:rsidR="00D96EE6" w:rsidRPr="00000790" w:rsidRDefault="00D96EE6" w:rsidP="00000790">
      <w:pPr>
        <w:spacing w:line="276" w:lineRule="auto"/>
        <w:rPr>
          <w:rFonts w:cs="Tahoma"/>
          <w:sz w:val="24"/>
          <w:szCs w:val="24"/>
        </w:rPr>
      </w:pPr>
      <w:r w:rsidRPr="00000790">
        <w:rPr>
          <w:rFonts w:cs="Tahoma"/>
          <w:sz w:val="24"/>
          <w:szCs w:val="24"/>
        </w:rPr>
        <w:t xml:space="preserve">Por su parte, el artículo 38B </w:t>
      </w:r>
      <w:r w:rsidR="002E13C6" w:rsidRPr="00000790">
        <w:rPr>
          <w:rFonts w:cs="Tahoma"/>
          <w:sz w:val="24"/>
          <w:szCs w:val="24"/>
        </w:rPr>
        <w:t xml:space="preserve">del </w:t>
      </w:r>
      <w:r w:rsidRPr="00000790">
        <w:rPr>
          <w:rFonts w:cs="Tahoma"/>
          <w:sz w:val="24"/>
          <w:szCs w:val="24"/>
        </w:rPr>
        <w:t>C.P. dispone los requisitos para conceder la prisión domiciliaria, y aunque su numeral segundo contempla una prohibición conforme a los delitos consagrados en el artículo 68A, esa última disposición en su inciso tercero señala: “</w:t>
      </w:r>
      <w:r w:rsidRPr="008D760C">
        <w:rPr>
          <w:rFonts w:cs="Tahoma"/>
          <w:sz w:val="22"/>
          <w:szCs w:val="24"/>
        </w:rPr>
        <w:t>Lo dispuesto en el presente artículo no se aplicará respecto de la sustitución de la detención preventiva y de la sustitución de la ejecución de la pena en los eventos contemplados en los numerales 2°, 3°, 4° y 5° del artículo 314 de la ley 906/04</w:t>
      </w:r>
      <w:r w:rsidRPr="00000790">
        <w:rPr>
          <w:rFonts w:cs="Tahoma"/>
          <w:sz w:val="24"/>
          <w:szCs w:val="24"/>
        </w:rPr>
        <w:t>”</w:t>
      </w:r>
      <w:r w:rsidR="008D760C">
        <w:rPr>
          <w:rFonts w:cs="Tahoma"/>
          <w:sz w:val="24"/>
          <w:szCs w:val="24"/>
        </w:rPr>
        <w:t>.</w:t>
      </w:r>
      <w:r w:rsidRPr="00000790">
        <w:rPr>
          <w:rFonts w:cs="Tahoma"/>
          <w:sz w:val="24"/>
          <w:szCs w:val="24"/>
        </w:rPr>
        <w:t xml:space="preserve"> </w:t>
      </w:r>
    </w:p>
    <w:p w14:paraId="6A65D874" w14:textId="77777777" w:rsidR="00D96EE6" w:rsidRPr="00000790" w:rsidRDefault="00D96EE6" w:rsidP="00000790">
      <w:pPr>
        <w:spacing w:line="276" w:lineRule="auto"/>
        <w:rPr>
          <w:rFonts w:cs="Tahoma"/>
          <w:sz w:val="24"/>
          <w:szCs w:val="24"/>
        </w:rPr>
      </w:pPr>
    </w:p>
    <w:p w14:paraId="602DB926" w14:textId="6D66B5E1" w:rsidR="00D96EE6" w:rsidRPr="00000790" w:rsidRDefault="00D96EE6" w:rsidP="00000790">
      <w:pPr>
        <w:spacing w:line="276" w:lineRule="auto"/>
        <w:rPr>
          <w:rFonts w:cs="Tahoma"/>
          <w:sz w:val="24"/>
          <w:szCs w:val="24"/>
        </w:rPr>
      </w:pPr>
      <w:r w:rsidRPr="00000790">
        <w:rPr>
          <w:rFonts w:cs="Tahoma"/>
          <w:sz w:val="24"/>
          <w:szCs w:val="24"/>
        </w:rPr>
        <w:t>El artículo 314 C.P.P. numeral 5° -modificado por el art. 17 de la ley 2292/23-, señala: “</w:t>
      </w:r>
      <w:r w:rsidRPr="008D760C">
        <w:rPr>
          <w:rFonts w:cs="Tahoma"/>
          <w:sz w:val="22"/>
          <w:szCs w:val="24"/>
          <w:shd w:val="clear" w:color="auto" w:fill="FFFFFF"/>
        </w:rPr>
        <w:t xml:space="preserve">La detención preventiva en establecimiento carcelario podrá sustituirse por la del lugar de la residencia en los siguientes eventos: […] 5. Cuando la procesada fuere mujer cabeza de familia de hijo menor de edad o que sufriere incapacidad permanente; o tenga a un adulto mayor o </w:t>
      </w:r>
      <w:r w:rsidRPr="008D760C">
        <w:rPr>
          <w:rFonts w:cs="Tahoma"/>
          <w:sz w:val="22"/>
          <w:szCs w:val="24"/>
          <w:shd w:val="clear" w:color="auto" w:fill="FFFFFF"/>
        </w:rPr>
        <w:lastRenderedPageBreak/>
        <w:t>una persona que no puede valerse por sí misma bajo su cuidado. La persona que haga sus veces podrá acceder a la misma medida. En estos eventos, el juez atenderá especialmente a las necesidades de protección de la unidad familiar y a la garantía de los derechos de las personas que se encuentran bajo su dependencia</w:t>
      </w:r>
      <w:r w:rsidRPr="00000790">
        <w:rPr>
          <w:rFonts w:cs="Tahoma"/>
          <w:sz w:val="24"/>
          <w:szCs w:val="24"/>
          <w:shd w:val="clear" w:color="auto" w:fill="FFFFFF"/>
        </w:rPr>
        <w:t>."</w:t>
      </w:r>
    </w:p>
    <w:p w14:paraId="5524CCEE" w14:textId="77777777" w:rsidR="00D96EE6" w:rsidRPr="00000790" w:rsidRDefault="00D96EE6" w:rsidP="00000790">
      <w:pPr>
        <w:spacing w:line="276" w:lineRule="auto"/>
        <w:rPr>
          <w:rFonts w:cs="Tahoma"/>
          <w:color w:val="000000"/>
          <w:sz w:val="24"/>
          <w:szCs w:val="24"/>
        </w:rPr>
      </w:pPr>
    </w:p>
    <w:p w14:paraId="7FD6B666" w14:textId="05B59C11" w:rsidR="00D96EE6" w:rsidRPr="00000790" w:rsidRDefault="00D96EE6" w:rsidP="00000790">
      <w:pPr>
        <w:spacing w:line="276" w:lineRule="auto"/>
        <w:rPr>
          <w:rFonts w:cs="Tahoma"/>
          <w:color w:val="000000"/>
          <w:sz w:val="24"/>
          <w:szCs w:val="24"/>
        </w:rPr>
      </w:pPr>
      <w:r w:rsidRPr="00000790">
        <w:rPr>
          <w:rFonts w:cs="Tahoma"/>
          <w:color w:val="000000"/>
          <w:sz w:val="24"/>
          <w:szCs w:val="24"/>
        </w:rPr>
        <w:t xml:space="preserve">En este punto, debe </w:t>
      </w:r>
      <w:r w:rsidR="00F84E53" w:rsidRPr="00000790">
        <w:rPr>
          <w:rFonts w:cs="Tahoma"/>
          <w:color w:val="000000"/>
          <w:sz w:val="24"/>
          <w:szCs w:val="24"/>
        </w:rPr>
        <w:t>advertirse</w:t>
      </w:r>
      <w:r w:rsidRPr="00000790">
        <w:rPr>
          <w:rFonts w:cs="Tahoma"/>
          <w:color w:val="000000"/>
          <w:sz w:val="24"/>
          <w:szCs w:val="24"/>
        </w:rPr>
        <w:t xml:space="preserve">, que </w:t>
      </w:r>
      <w:r w:rsidR="00F84E53" w:rsidRPr="00000790">
        <w:rPr>
          <w:rFonts w:cs="Tahoma"/>
          <w:color w:val="000000"/>
          <w:sz w:val="24"/>
          <w:szCs w:val="24"/>
        </w:rPr>
        <w:t>sería</w:t>
      </w:r>
      <w:r w:rsidRPr="00000790">
        <w:rPr>
          <w:rFonts w:cs="Tahoma"/>
          <w:color w:val="000000"/>
          <w:sz w:val="24"/>
          <w:szCs w:val="24"/>
        </w:rPr>
        <w:t xml:space="preserve"> del caso por favorabilidad, aplicar lo dispuesto en la disposición normativa anteriormente referida, si no fuera porque en el presente asunto no se cumplen </w:t>
      </w:r>
      <w:r w:rsidRPr="00000790">
        <w:rPr>
          <w:rFonts w:cs="Tahoma"/>
          <w:sz w:val="24"/>
          <w:szCs w:val="24"/>
        </w:rPr>
        <w:t xml:space="preserve">los presupuestos del artículo 2° de la </w:t>
      </w:r>
      <w:r w:rsidR="002E13C6" w:rsidRPr="00000790">
        <w:rPr>
          <w:rFonts w:cs="Tahoma"/>
          <w:b/>
          <w:bCs/>
          <w:sz w:val="24"/>
          <w:szCs w:val="24"/>
        </w:rPr>
        <w:t>L</w:t>
      </w:r>
      <w:r w:rsidRPr="00000790">
        <w:rPr>
          <w:rFonts w:cs="Tahoma"/>
          <w:b/>
          <w:bCs/>
          <w:sz w:val="24"/>
          <w:szCs w:val="24"/>
        </w:rPr>
        <w:t>ey 229</w:t>
      </w:r>
      <w:r w:rsidR="00062D07" w:rsidRPr="00000790">
        <w:rPr>
          <w:rFonts w:cs="Tahoma"/>
          <w:b/>
          <w:bCs/>
          <w:sz w:val="24"/>
          <w:szCs w:val="24"/>
        </w:rPr>
        <w:t>2</w:t>
      </w:r>
      <w:r w:rsidRPr="00000790">
        <w:rPr>
          <w:rFonts w:cs="Tahoma"/>
          <w:b/>
          <w:bCs/>
          <w:sz w:val="24"/>
          <w:szCs w:val="24"/>
        </w:rPr>
        <w:t>/23</w:t>
      </w:r>
      <w:r w:rsidRPr="00000790">
        <w:rPr>
          <w:rFonts w:cs="Tahoma"/>
          <w:sz w:val="24"/>
          <w:szCs w:val="24"/>
        </w:rPr>
        <w:t xml:space="preserve"> -por medio de la cual se adoptan acciones afirmativas para mujeres cabeza de familia en materias de política criminal y penitenciaria-, por cuanto no estamos en presencia de los delitos contemplados en los artículos 239, 240, 241, 375, 376 y 377 C.P.</w:t>
      </w:r>
      <w:r w:rsidR="002E13C6" w:rsidRPr="00000790">
        <w:rPr>
          <w:rFonts w:cs="Tahoma"/>
          <w:sz w:val="24"/>
          <w:szCs w:val="24"/>
        </w:rPr>
        <w:t xml:space="preserve">, </w:t>
      </w:r>
      <w:r w:rsidRPr="00000790">
        <w:rPr>
          <w:rFonts w:cs="Tahoma"/>
          <w:sz w:val="24"/>
          <w:szCs w:val="24"/>
        </w:rPr>
        <w:t xml:space="preserve">y no se encuentra probado que el delito por el cual fue sentenciado el señor </w:t>
      </w:r>
      <w:r w:rsidR="00BF24CA" w:rsidRPr="00000790">
        <w:rPr>
          <w:rFonts w:cs="Tahoma"/>
          <w:b/>
          <w:sz w:val="24"/>
          <w:szCs w:val="24"/>
        </w:rPr>
        <w:t>MV</w:t>
      </w:r>
      <w:r w:rsidRPr="00000790">
        <w:rPr>
          <w:rFonts w:cs="Tahoma"/>
          <w:sz w:val="24"/>
          <w:szCs w:val="24"/>
        </w:rPr>
        <w:t xml:space="preserve"> esté asociado a condiciones de marginalidad.</w:t>
      </w:r>
    </w:p>
    <w:p w14:paraId="6B20757E" w14:textId="77777777" w:rsidR="00D96EE6" w:rsidRPr="00000790" w:rsidRDefault="00D96EE6" w:rsidP="00000790">
      <w:pPr>
        <w:spacing w:line="276" w:lineRule="auto"/>
        <w:rPr>
          <w:rFonts w:cs="Tahoma"/>
          <w:color w:val="000000"/>
          <w:sz w:val="24"/>
          <w:szCs w:val="24"/>
        </w:rPr>
      </w:pPr>
    </w:p>
    <w:p w14:paraId="57484826" w14:textId="77777777" w:rsidR="00D96EE6" w:rsidRPr="00000790" w:rsidRDefault="00D96EE6" w:rsidP="00000790">
      <w:pPr>
        <w:spacing w:line="276" w:lineRule="auto"/>
        <w:rPr>
          <w:rFonts w:cs="Tahoma"/>
          <w:color w:val="000000"/>
          <w:sz w:val="24"/>
          <w:szCs w:val="24"/>
        </w:rPr>
      </w:pPr>
      <w:r w:rsidRPr="00000790">
        <w:rPr>
          <w:rFonts w:cs="Tahoma"/>
          <w:color w:val="000000"/>
          <w:sz w:val="24"/>
          <w:szCs w:val="24"/>
        </w:rPr>
        <w:t>Ahora, el artículo 1º de la Ley 1232/08, que modificó la Ley 82/93</w:t>
      </w:r>
      <w:r w:rsidRPr="00000790">
        <w:rPr>
          <w:rStyle w:val="Refdenotaalpie"/>
          <w:rFonts w:ascii="Tahoma" w:hAnsi="Tahoma" w:cs="Tahoma"/>
          <w:color w:val="000000"/>
          <w:sz w:val="24"/>
          <w:szCs w:val="24"/>
        </w:rPr>
        <w:footnoteReference w:id="13"/>
      </w:r>
      <w:r w:rsidRPr="00000790">
        <w:rPr>
          <w:rFonts w:cs="Tahoma"/>
          <w:color w:val="000000"/>
          <w:sz w:val="24"/>
          <w:szCs w:val="24"/>
        </w:rPr>
        <w:t xml:space="preserve">, prescribe: </w:t>
      </w:r>
      <w:r w:rsidRPr="00000790">
        <w:rPr>
          <w:rFonts w:cs="Tahoma"/>
          <w:iCs/>
          <w:sz w:val="24"/>
          <w:szCs w:val="24"/>
        </w:rPr>
        <w:t>“</w:t>
      </w:r>
      <w:r w:rsidRPr="008D760C">
        <w:rPr>
          <w:rFonts w:cs="Tahoma"/>
          <w:sz w:val="22"/>
          <w:szCs w:val="24"/>
        </w:rPr>
        <w:t xml:space="preserve">[…] es Mujer Cabeza de Familia, quien siendo soltera o casada, ejerce la jefatura femenina de hogar y tiene bajo su cargo, afectiva, económica o socialmente, en forma permanente, hijos menores propios u otras personas incapaces o incapacitadas para trabajar, ya </w:t>
      </w:r>
      <w:r w:rsidRPr="008D760C">
        <w:rPr>
          <w:rFonts w:cs="Tahoma"/>
          <w:b/>
          <w:sz w:val="22"/>
          <w:szCs w:val="24"/>
          <w:u w:val="single"/>
        </w:rPr>
        <w:t>sea por ausencia permanente o incapacidad física, sensorial, síquica o moral del cónyuge o compañero permanente</w:t>
      </w:r>
      <w:r w:rsidRPr="008D760C">
        <w:rPr>
          <w:rFonts w:cs="Tahoma"/>
          <w:sz w:val="22"/>
          <w:szCs w:val="24"/>
        </w:rPr>
        <w:t xml:space="preserve"> </w:t>
      </w:r>
      <w:r w:rsidRPr="008D760C">
        <w:rPr>
          <w:rFonts w:cs="Tahoma"/>
          <w:b/>
          <w:sz w:val="22"/>
          <w:szCs w:val="24"/>
          <w:u w:val="single"/>
        </w:rPr>
        <w:t>o deficiencia sustancial de ayuda de los demás miembros del núcleo familiar</w:t>
      </w:r>
      <w:r w:rsidRPr="00000790">
        <w:rPr>
          <w:rFonts w:cs="Tahoma"/>
          <w:sz w:val="24"/>
          <w:szCs w:val="24"/>
        </w:rPr>
        <w:t>” -resaltado fuera del texto-.</w:t>
      </w:r>
    </w:p>
    <w:p w14:paraId="0B04D0DF" w14:textId="77777777" w:rsidR="00D96EE6" w:rsidRPr="00000790" w:rsidRDefault="00D96EE6" w:rsidP="00000790">
      <w:pPr>
        <w:spacing w:line="276" w:lineRule="auto"/>
        <w:rPr>
          <w:rFonts w:cs="Tahoma"/>
          <w:color w:val="000000"/>
          <w:sz w:val="24"/>
          <w:szCs w:val="24"/>
        </w:rPr>
      </w:pPr>
    </w:p>
    <w:p w14:paraId="52CDA02D" w14:textId="77777777" w:rsidR="00A66841" w:rsidRPr="00000790" w:rsidRDefault="00D96EE6" w:rsidP="00000790">
      <w:pPr>
        <w:spacing w:line="276" w:lineRule="auto"/>
        <w:rPr>
          <w:rFonts w:cs="Tahoma"/>
          <w:iCs/>
          <w:sz w:val="24"/>
          <w:szCs w:val="24"/>
          <w:bdr w:val="none" w:sz="0" w:space="0" w:color="auto" w:frame="1"/>
        </w:rPr>
      </w:pPr>
      <w:r w:rsidRPr="00000790">
        <w:rPr>
          <w:rFonts w:cs="Tahoma"/>
          <w:color w:val="000000"/>
          <w:sz w:val="24"/>
          <w:szCs w:val="24"/>
        </w:rPr>
        <w:t xml:space="preserve">Además, la Corte Constitucional en la Sentencia SU-338/05, señaló que para considerar que una persona ostenta la categoría de madre </w:t>
      </w:r>
      <w:r w:rsidRPr="00000790">
        <w:rPr>
          <w:rFonts w:cs="Tahoma"/>
          <w:iCs/>
          <w:sz w:val="24"/>
          <w:szCs w:val="24"/>
          <w:bdr w:val="none" w:sz="0" w:space="0" w:color="auto" w:frame="1"/>
        </w:rPr>
        <w:t>cabeza de hogar, es presupuesto indispensable lo siguiente:</w:t>
      </w:r>
    </w:p>
    <w:p w14:paraId="3586BBC9" w14:textId="77777777" w:rsidR="00D96EE6" w:rsidRPr="00000790" w:rsidRDefault="00D96EE6" w:rsidP="00000790">
      <w:pPr>
        <w:spacing w:line="276" w:lineRule="auto"/>
        <w:ind w:right="618"/>
        <w:rPr>
          <w:rFonts w:cs="Tahoma"/>
          <w:bCs/>
          <w:sz w:val="24"/>
          <w:szCs w:val="24"/>
        </w:rPr>
      </w:pPr>
    </w:p>
    <w:p w14:paraId="0CDED4E8" w14:textId="77777777" w:rsidR="00D96EE6" w:rsidRPr="00326075" w:rsidRDefault="00D96EE6" w:rsidP="00326075">
      <w:pPr>
        <w:spacing w:line="240" w:lineRule="auto"/>
        <w:ind w:left="426" w:right="420"/>
        <w:rPr>
          <w:rFonts w:cs="Tahoma"/>
          <w:bCs/>
          <w:sz w:val="22"/>
          <w:szCs w:val="24"/>
        </w:rPr>
      </w:pPr>
      <w:r w:rsidRPr="00326075">
        <w:rPr>
          <w:rFonts w:cs="Tahoma"/>
          <w:bCs/>
          <w:sz w:val="22"/>
          <w:szCs w:val="24"/>
        </w:rPr>
        <w:t xml:space="preserve">“(i) que se tenga a cargo la responsabilidad de hijos menores o de otras personas incapacitadas para trabajar; (ii) que esa responsabilidad sea de carácter permanente; (iii) no sólo la ausencia permanente o abandono del hogar por parte de la pareja, sino que aquélla </w:t>
      </w:r>
      <w:bookmarkStart w:id="2" w:name="_Hlk503493183"/>
      <w:r w:rsidRPr="00326075">
        <w:rPr>
          <w:rFonts w:cs="Tahoma"/>
          <w:bCs/>
          <w:sz w:val="22"/>
          <w:szCs w:val="24"/>
        </w:rPr>
        <w:t>se sustraiga del cumplimiento de sus obligaciones</w:t>
      </w:r>
      <w:bookmarkEnd w:id="2"/>
      <w:r w:rsidRPr="00326075">
        <w:rPr>
          <w:rFonts w:cs="Tahoma"/>
          <w:bCs/>
          <w:sz w:val="22"/>
          <w:szCs w:val="24"/>
        </w:rPr>
        <w:t xml:space="preserve"> como padre; (iv) o bien que la pareja no asuma la responsabilidad que le corresponde y ello obedezca a un motivo verdaderamente poderoso como la incapacidad física, sensorial, síquica o mental </w:t>
      </w:r>
      <w:proofErr w:type="spellStart"/>
      <w:r w:rsidRPr="00326075">
        <w:rPr>
          <w:rFonts w:cs="Tahoma"/>
          <w:bCs/>
          <w:sz w:val="22"/>
          <w:szCs w:val="24"/>
        </w:rPr>
        <w:t>ó</w:t>
      </w:r>
      <w:proofErr w:type="spellEnd"/>
      <w:r w:rsidRPr="00326075">
        <w:rPr>
          <w:rFonts w:cs="Tahoma"/>
          <w:bCs/>
          <w:sz w:val="22"/>
          <w:szCs w:val="24"/>
        </w:rPr>
        <w:t>, como es obvio, la muerte; (v) por último, que haya una deficiencia sustancial de ayuda de los demás miembros de la familia, lo cual significa la responsabilidad solitaria de la madre para sostener el hogar”.</w:t>
      </w:r>
      <w:r w:rsidRPr="00326075">
        <w:rPr>
          <w:rFonts w:cs="Tahoma"/>
          <w:bCs/>
          <w:sz w:val="22"/>
          <w:szCs w:val="24"/>
          <w:vertAlign w:val="superscript"/>
        </w:rPr>
        <w:footnoteReference w:id="14"/>
      </w:r>
    </w:p>
    <w:p w14:paraId="27E204E1" w14:textId="77777777" w:rsidR="00326075" w:rsidRDefault="00326075" w:rsidP="00000790">
      <w:pPr>
        <w:spacing w:line="276" w:lineRule="auto"/>
        <w:rPr>
          <w:rFonts w:cs="Tahoma"/>
          <w:bCs/>
          <w:sz w:val="24"/>
          <w:szCs w:val="24"/>
        </w:rPr>
      </w:pPr>
    </w:p>
    <w:p w14:paraId="4F935E45" w14:textId="04A77938" w:rsidR="00A66841" w:rsidRPr="00000790" w:rsidRDefault="00D96EE6" w:rsidP="00000790">
      <w:pPr>
        <w:spacing w:line="276" w:lineRule="auto"/>
        <w:rPr>
          <w:rFonts w:cs="Tahoma"/>
          <w:bCs/>
          <w:sz w:val="24"/>
          <w:szCs w:val="24"/>
        </w:rPr>
      </w:pPr>
      <w:r w:rsidRPr="00000790">
        <w:rPr>
          <w:rFonts w:cs="Tahoma"/>
          <w:bCs/>
          <w:sz w:val="24"/>
          <w:szCs w:val="24"/>
        </w:rPr>
        <w:t>De similar manera esa Alta Corporación, en sentencia T-003/18, ha indicado que tal condición se acredita cuando la persona:</w:t>
      </w:r>
    </w:p>
    <w:p w14:paraId="63945F98" w14:textId="77777777" w:rsidR="00D96EE6" w:rsidRPr="00000790" w:rsidRDefault="00D96EE6" w:rsidP="00000790">
      <w:pPr>
        <w:spacing w:line="276" w:lineRule="auto"/>
        <w:ind w:left="567" w:right="618"/>
        <w:rPr>
          <w:rFonts w:cs="Tahoma"/>
          <w:bCs/>
          <w:sz w:val="24"/>
          <w:szCs w:val="24"/>
        </w:rPr>
      </w:pPr>
    </w:p>
    <w:p w14:paraId="4E2444F3" w14:textId="77777777" w:rsidR="00D96EE6" w:rsidRPr="00326075" w:rsidRDefault="00D96EE6" w:rsidP="00326075">
      <w:pPr>
        <w:spacing w:line="240" w:lineRule="auto"/>
        <w:ind w:left="426" w:right="420"/>
        <w:rPr>
          <w:rFonts w:cs="Tahoma"/>
          <w:bCs/>
          <w:sz w:val="22"/>
          <w:szCs w:val="24"/>
        </w:rPr>
      </w:pPr>
      <w:r w:rsidRPr="00326075">
        <w:rPr>
          <w:rFonts w:cs="Tahoma"/>
          <w:bCs/>
          <w:sz w:val="22"/>
          <w:szCs w:val="24"/>
        </w:rPr>
        <w:t>“(i) tiene la responsabilidad permanente de hijos menores o personas incapacitadas para trabajar, (ii) no cuenta con la ayuda de otros miembros de la familia y (iii) su pareja murió, está ausente de manera permanente o abandonó el hogar y se demuestra que esta se sustrae del cumplimiento de sus obligaciones, o cuando su pareja se encuentre presente pero no asuma la responsabilidad que le corresponde por motivos como la incapacidad física, sensorial, síquica o mental”.</w:t>
      </w:r>
    </w:p>
    <w:p w14:paraId="60760C58" w14:textId="77777777" w:rsidR="00076A36" w:rsidRPr="00000790" w:rsidRDefault="00076A36" w:rsidP="00000790">
      <w:pPr>
        <w:spacing w:line="276" w:lineRule="auto"/>
        <w:rPr>
          <w:rFonts w:cs="Tahoma"/>
          <w:spacing w:val="-4"/>
          <w:sz w:val="24"/>
          <w:szCs w:val="24"/>
        </w:rPr>
      </w:pPr>
    </w:p>
    <w:p w14:paraId="2BC485A7" w14:textId="1EA6ADFF" w:rsidR="00D96EE6" w:rsidRPr="00000790" w:rsidRDefault="00D96EE6" w:rsidP="00000790">
      <w:pPr>
        <w:spacing w:line="276" w:lineRule="auto"/>
        <w:rPr>
          <w:rFonts w:cs="Tahoma"/>
          <w:sz w:val="24"/>
          <w:szCs w:val="24"/>
        </w:rPr>
      </w:pPr>
      <w:r w:rsidRPr="00000790">
        <w:rPr>
          <w:rFonts w:cs="Tahoma"/>
          <w:spacing w:val="-4"/>
          <w:sz w:val="24"/>
          <w:szCs w:val="24"/>
        </w:rPr>
        <w:t xml:space="preserve">De la información arrimada válidamente a la actuación, se advierte que el señor </w:t>
      </w:r>
      <w:r w:rsidR="00FF6C2E">
        <w:rPr>
          <w:rFonts w:cs="Tahoma"/>
          <w:b/>
          <w:spacing w:val="-4"/>
          <w:sz w:val="24"/>
          <w:szCs w:val="24"/>
        </w:rPr>
        <w:t>MSMV</w:t>
      </w:r>
      <w:r w:rsidR="00A66841" w:rsidRPr="00000790">
        <w:rPr>
          <w:rFonts w:cs="Tahoma"/>
          <w:spacing w:val="-4"/>
          <w:sz w:val="24"/>
          <w:szCs w:val="24"/>
        </w:rPr>
        <w:t xml:space="preserve"> </w:t>
      </w:r>
      <w:r w:rsidRPr="00000790">
        <w:rPr>
          <w:rFonts w:cs="Tahoma"/>
          <w:spacing w:val="-4"/>
          <w:sz w:val="24"/>
          <w:szCs w:val="24"/>
        </w:rPr>
        <w:t xml:space="preserve">fue sentenciado a la pena de </w:t>
      </w:r>
      <w:r w:rsidR="00A66841" w:rsidRPr="00000790">
        <w:rPr>
          <w:rFonts w:cs="Tahoma"/>
          <w:spacing w:val="-4"/>
          <w:sz w:val="24"/>
          <w:szCs w:val="24"/>
        </w:rPr>
        <w:t>16</w:t>
      </w:r>
      <w:r w:rsidRPr="00000790">
        <w:rPr>
          <w:rFonts w:cs="Tahoma"/>
          <w:spacing w:val="-4"/>
          <w:sz w:val="24"/>
          <w:szCs w:val="24"/>
        </w:rPr>
        <w:t xml:space="preserve"> meses de prisión, y la </w:t>
      </w:r>
      <w:r w:rsidR="00B436DC" w:rsidRPr="00000790">
        <w:rPr>
          <w:rFonts w:cs="Tahoma"/>
          <w:spacing w:val="-4"/>
          <w:sz w:val="24"/>
          <w:szCs w:val="24"/>
        </w:rPr>
        <w:t>A</w:t>
      </w:r>
      <w:r w:rsidR="002E13C6" w:rsidRPr="00000790">
        <w:rPr>
          <w:rFonts w:cs="Tahoma"/>
          <w:spacing w:val="-4"/>
          <w:sz w:val="24"/>
          <w:szCs w:val="24"/>
        </w:rPr>
        <w:t>-</w:t>
      </w:r>
      <w:r w:rsidRPr="00000790">
        <w:rPr>
          <w:rFonts w:cs="Tahoma"/>
          <w:spacing w:val="-4"/>
          <w:sz w:val="24"/>
          <w:szCs w:val="24"/>
        </w:rPr>
        <w:t xml:space="preserve">quo procedió a negar la suspensión </w:t>
      </w:r>
      <w:r w:rsidRPr="00000790">
        <w:rPr>
          <w:rFonts w:cs="Tahoma"/>
          <w:spacing w:val="-4"/>
          <w:sz w:val="24"/>
          <w:szCs w:val="24"/>
        </w:rPr>
        <w:lastRenderedPageBreak/>
        <w:t>de la ejecución de la pena y la prisión domiciliaria, toda vez que</w:t>
      </w:r>
      <w:r w:rsidRPr="00000790">
        <w:rPr>
          <w:rFonts w:cs="Tahoma"/>
          <w:sz w:val="24"/>
          <w:szCs w:val="24"/>
        </w:rPr>
        <w:t xml:space="preserve"> el delito por el que fue condenado</w:t>
      </w:r>
      <w:r w:rsidRPr="00000790">
        <w:rPr>
          <w:rStyle w:val="Refdenotaalpie"/>
          <w:rFonts w:ascii="Tahoma" w:hAnsi="Tahoma" w:cs="Tahoma"/>
          <w:sz w:val="24"/>
          <w:szCs w:val="24"/>
        </w:rPr>
        <w:footnoteReference w:id="15"/>
      </w:r>
      <w:r w:rsidRPr="00000790">
        <w:rPr>
          <w:rFonts w:cs="Tahoma"/>
          <w:sz w:val="24"/>
          <w:szCs w:val="24"/>
        </w:rPr>
        <w:t xml:space="preserve"> se encuentra enlistado en las conductas punibles, a las que de acuerdo a lo establecido en el inciso 2 del art. 68A del C.P, está prohibida la concesión de beneficio alguno. </w:t>
      </w:r>
      <w:r w:rsidR="00A66841" w:rsidRPr="00000790">
        <w:rPr>
          <w:rFonts w:cs="Tahoma"/>
          <w:sz w:val="24"/>
          <w:szCs w:val="24"/>
        </w:rPr>
        <w:t xml:space="preserve">Sumado a ello, indicó que si bien, el profesional del derecho advirtió la posible calidad de padre cabeza de familia que ostenta el procesado por tener a su cargo el cuidado y protección de sus abuelos, no se arribó al despacho elemento probatorio alguno que respaldara su pedimento. </w:t>
      </w:r>
    </w:p>
    <w:p w14:paraId="2D4830E9" w14:textId="77777777" w:rsidR="00A8130A" w:rsidRPr="00000790" w:rsidRDefault="00A8130A" w:rsidP="00000790">
      <w:pPr>
        <w:spacing w:line="276" w:lineRule="auto"/>
        <w:rPr>
          <w:rFonts w:cs="Tahoma"/>
          <w:sz w:val="24"/>
          <w:szCs w:val="24"/>
        </w:rPr>
      </w:pPr>
    </w:p>
    <w:p w14:paraId="45891AEF" w14:textId="77777777" w:rsidR="00D03B8F" w:rsidRPr="00000790" w:rsidRDefault="00076A36" w:rsidP="00000790">
      <w:pPr>
        <w:spacing w:line="276" w:lineRule="auto"/>
        <w:rPr>
          <w:rFonts w:cs="Tahoma"/>
          <w:sz w:val="24"/>
          <w:szCs w:val="24"/>
        </w:rPr>
      </w:pPr>
      <w:r w:rsidRPr="00000790">
        <w:rPr>
          <w:rFonts w:cs="Tahoma"/>
          <w:sz w:val="24"/>
          <w:szCs w:val="24"/>
        </w:rPr>
        <w:t xml:space="preserve">Como se advirtió en párrafos atrás, </w:t>
      </w:r>
      <w:r w:rsidR="00D03B8F" w:rsidRPr="00000790">
        <w:rPr>
          <w:rFonts w:cs="Tahoma"/>
          <w:sz w:val="24"/>
          <w:szCs w:val="24"/>
        </w:rPr>
        <w:t xml:space="preserve">junto con el escrito de apelación que fue allegado a esta Corporación para desatar la alzada, se adjuntó por parte del quejoso una </w:t>
      </w:r>
      <w:r w:rsidRPr="00000790">
        <w:rPr>
          <w:rFonts w:cs="Tahoma"/>
          <w:sz w:val="24"/>
          <w:szCs w:val="24"/>
        </w:rPr>
        <w:t>historia</w:t>
      </w:r>
      <w:r w:rsidR="00D03B8F" w:rsidRPr="00000790">
        <w:rPr>
          <w:rFonts w:cs="Tahoma"/>
          <w:sz w:val="24"/>
          <w:szCs w:val="24"/>
        </w:rPr>
        <w:t xml:space="preserve"> clínica de la señora Ana Sara Valencia Ramos y una declaración extra proceso rendida por la ciudadana Sandra Patricia Gómez Molano, no siendo de recibo para esta Sala lo pretendido por el actor, que no es otra cosa, que en esta instancia se valoren elementos que no aportó en el estadio procesal permitido. </w:t>
      </w:r>
    </w:p>
    <w:p w14:paraId="37DB16D2" w14:textId="77777777" w:rsidR="00D03B8F" w:rsidRPr="00000790" w:rsidRDefault="00D03B8F" w:rsidP="00000790">
      <w:pPr>
        <w:spacing w:line="276" w:lineRule="auto"/>
        <w:rPr>
          <w:rFonts w:cs="Tahoma"/>
          <w:sz w:val="24"/>
          <w:szCs w:val="24"/>
        </w:rPr>
      </w:pPr>
    </w:p>
    <w:p w14:paraId="6B074184" w14:textId="77777777" w:rsidR="00D03B8F" w:rsidRPr="00000790" w:rsidRDefault="00076A36" w:rsidP="00000790">
      <w:pPr>
        <w:spacing w:line="276" w:lineRule="auto"/>
        <w:ind w:right="142"/>
        <w:rPr>
          <w:rFonts w:cs="Tahoma"/>
          <w:sz w:val="24"/>
          <w:szCs w:val="24"/>
          <w:lang w:eastAsia="es-ES"/>
        </w:rPr>
      </w:pPr>
      <w:r w:rsidRPr="00000790">
        <w:rPr>
          <w:rFonts w:cs="Tahoma"/>
          <w:sz w:val="24"/>
          <w:szCs w:val="24"/>
          <w:lang w:eastAsia="es-ES"/>
        </w:rPr>
        <w:t>De acuerdo a lo anterior, es importante precisar que</w:t>
      </w:r>
      <w:r w:rsidR="00D03B8F" w:rsidRPr="00000790">
        <w:rPr>
          <w:rFonts w:cs="Tahoma"/>
          <w:sz w:val="24"/>
          <w:szCs w:val="24"/>
          <w:lang w:eastAsia="es-ES"/>
        </w:rPr>
        <w:t xml:space="preserve"> una vez se le impartió aprobación</w:t>
      </w:r>
      <w:r w:rsidRPr="00000790">
        <w:rPr>
          <w:rFonts w:cs="Tahoma"/>
          <w:sz w:val="24"/>
          <w:szCs w:val="24"/>
          <w:lang w:eastAsia="es-ES"/>
        </w:rPr>
        <w:t xml:space="preserve"> al preacuerdo</w:t>
      </w:r>
      <w:r w:rsidR="00D03B8F" w:rsidRPr="00000790">
        <w:rPr>
          <w:rFonts w:cs="Tahoma"/>
          <w:sz w:val="24"/>
          <w:szCs w:val="24"/>
          <w:lang w:eastAsia="es-ES"/>
        </w:rPr>
        <w:t xml:space="preserve"> por parte de la Juez de conocimiento, se dio paso a lo contemplado en el artículo 447 del C.P.P., que a la letra ordena:</w:t>
      </w:r>
    </w:p>
    <w:p w14:paraId="10694CE2" w14:textId="77777777" w:rsidR="00D03B8F" w:rsidRPr="00000790" w:rsidRDefault="00D03B8F" w:rsidP="00000790">
      <w:pPr>
        <w:spacing w:line="276" w:lineRule="auto"/>
        <w:ind w:right="732"/>
        <w:rPr>
          <w:rFonts w:cs="Tahoma"/>
          <w:sz w:val="24"/>
          <w:szCs w:val="24"/>
          <w:lang w:eastAsia="es-ES"/>
        </w:rPr>
      </w:pPr>
    </w:p>
    <w:p w14:paraId="32B72B2E" w14:textId="2DACAC5F" w:rsidR="00D03B8F" w:rsidRPr="00326075" w:rsidRDefault="00D03B8F" w:rsidP="00326075">
      <w:pPr>
        <w:spacing w:line="240" w:lineRule="auto"/>
        <w:ind w:left="426" w:right="420"/>
        <w:rPr>
          <w:rFonts w:cs="Tahoma"/>
          <w:bCs/>
          <w:sz w:val="22"/>
          <w:szCs w:val="24"/>
        </w:rPr>
      </w:pPr>
      <w:r w:rsidRPr="00326075">
        <w:rPr>
          <w:rFonts w:cs="Tahoma"/>
          <w:bCs/>
          <w:sz w:val="22"/>
          <w:szCs w:val="24"/>
        </w:rPr>
        <w:t>“…</w:t>
      </w:r>
      <w:r w:rsidR="009C341A">
        <w:rPr>
          <w:rFonts w:cs="Tahoma"/>
          <w:bCs/>
          <w:sz w:val="22"/>
          <w:szCs w:val="24"/>
        </w:rPr>
        <w:t xml:space="preserve"> </w:t>
      </w:r>
      <w:r w:rsidRPr="00326075">
        <w:rPr>
          <w:rFonts w:cs="Tahoma"/>
          <w:bCs/>
          <w:sz w:val="22"/>
          <w:szCs w:val="24"/>
        </w:rPr>
        <w:t>Si el fallo fuere condenatorio, o si se aceptare el acuerdo celebrado con la Fiscalía, el Juez concederá brevemente y por una sola vez la palabra al Fiscal y luego a la defensa para que se refieran a las condiciones individuales, familiares, sociales, modo de vivir y antecedentes de todo orden del culpable…”</w:t>
      </w:r>
    </w:p>
    <w:p w14:paraId="38005C94" w14:textId="77777777" w:rsidR="00D03B8F" w:rsidRPr="00000790" w:rsidRDefault="00D03B8F" w:rsidP="00000790">
      <w:pPr>
        <w:spacing w:before="100" w:beforeAutospacing="1" w:after="100" w:afterAutospacing="1" w:line="276" w:lineRule="auto"/>
        <w:ind w:right="142"/>
        <w:rPr>
          <w:rFonts w:cs="Tahoma"/>
          <w:sz w:val="24"/>
          <w:szCs w:val="24"/>
          <w:lang w:eastAsia="es-ES"/>
        </w:rPr>
      </w:pPr>
      <w:r w:rsidRPr="00000790">
        <w:rPr>
          <w:rFonts w:cs="Tahoma"/>
          <w:sz w:val="24"/>
          <w:szCs w:val="24"/>
          <w:lang w:eastAsia="es-ES"/>
        </w:rPr>
        <w:t xml:space="preserve">En ese sentido, hay que manifestar que precisamente ese era el escenario procesal propicio para que la defensa presentara los medios de prueba para sustentar su pedimento, que no </w:t>
      </w:r>
      <w:r w:rsidR="00A8130A" w:rsidRPr="00000790">
        <w:rPr>
          <w:rFonts w:cs="Tahoma"/>
          <w:sz w:val="24"/>
          <w:szCs w:val="24"/>
          <w:lang w:eastAsia="es-ES"/>
        </w:rPr>
        <w:t>allegó en</w:t>
      </w:r>
      <w:r w:rsidRPr="00000790">
        <w:rPr>
          <w:rFonts w:cs="Tahoma"/>
          <w:sz w:val="24"/>
          <w:szCs w:val="24"/>
          <w:lang w:eastAsia="es-ES"/>
        </w:rPr>
        <w:t xml:space="preserve"> ese momento, pero luego expuso al sustentar su recurso.</w:t>
      </w:r>
    </w:p>
    <w:p w14:paraId="00EC5D94" w14:textId="77777777" w:rsidR="00076A36" w:rsidRPr="00000790" w:rsidRDefault="00D03B8F" w:rsidP="00000790">
      <w:pPr>
        <w:spacing w:line="276" w:lineRule="auto"/>
        <w:ind w:right="142"/>
        <w:rPr>
          <w:rFonts w:cs="Tahoma"/>
          <w:sz w:val="24"/>
          <w:szCs w:val="24"/>
          <w:lang w:eastAsia="es-ES"/>
        </w:rPr>
      </w:pPr>
      <w:r w:rsidRPr="00000790">
        <w:rPr>
          <w:rFonts w:cs="Tahoma"/>
          <w:sz w:val="24"/>
          <w:szCs w:val="24"/>
          <w:lang w:eastAsia="es-ES"/>
        </w:rPr>
        <w:t>En torno al momento probatorio que tiene lugar en el traslado del artículo 447 del C.P.P., la Sala de Casación Penal de la Corte Suprema de Justicia expuso lo siguiente:</w:t>
      </w:r>
    </w:p>
    <w:p w14:paraId="06CEB902" w14:textId="77777777" w:rsidR="00D03B8F" w:rsidRPr="00000790" w:rsidRDefault="00D03B8F" w:rsidP="00000790">
      <w:pPr>
        <w:spacing w:line="276" w:lineRule="auto"/>
        <w:ind w:right="142"/>
        <w:rPr>
          <w:rFonts w:cs="Tahoma"/>
          <w:sz w:val="24"/>
          <w:szCs w:val="24"/>
          <w:lang w:eastAsia="es-ES"/>
        </w:rPr>
      </w:pPr>
    </w:p>
    <w:p w14:paraId="439C24B8" w14:textId="22FC6E64" w:rsidR="00D03B8F" w:rsidRPr="00326075" w:rsidRDefault="00D03B8F" w:rsidP="00326075">
      <w:pPr>
        <w:spacing w:line="240" w:lineRule="auto"/>
        <w:ind w:left="426" w:right="420"/>
        <w:rPr>
          <w:rFonts w:cs="Tahoma"/>
          <w:b/>
          <w:sz w:val="22"/>
          <w:szCs w:val="24"/>
          <w:lang w:val="es-CO"/>
        </w:rPr>
      </w:pPr>
      <w:r w:rsidRPr="00326075">
        <w:rPr>
          <w:rFonts w:cs="Tahoma"/>
          <w:sz w:val="22"/>
          <w:szCs w:val="24"/>
          <w:lang w:eastAsia="es-ES"/>
        </w:rPr>
        <w:t>“…</w:t>
      </w:r>
      <w:r w:rsidR="00326075" w:rsidRPr="00326075">
        <w:rPr>
          <w:rFonts w:cs="Tahoma"/>
          <w:sz w:val="22"/>
          <w:szCs w:val="24"/>
          <w:lang w:eastAsia="es-ES"/>
        </w:rPr>
        <w:t xml:space="preserve"> </w:t>
      </w:r>
      <w:r w:rsidRPr="00326075">
        <w:rPr>
          <w:rFonts w:cs="Tahoma"/>
          <w:sz w:val="22"/>
          <w:szCs w:val="24"/>
          <w:lang w:val="es-CO"/>
        </w:rPr>
        <w:t xml:space="preserve">En este punto de la discusión, la Corte no podría avanzar en el análisis del reparo propuesto, sin dejar de denotar el innecesario desbordamiento en el ejercicio de la facultad de ordenación y dirección del proceso por parte de  la juez de primera instancia al haberle negado a la defensa la posibilidad de acreditar los supuestos fácticos de la mencionada disposición, pues se observa que así procedió sin percatarse siquiera que cuando el artículo 447 de la Ley 906 de 2004 establece que en la audiencia de individualización de pena y sentencia el juez concederá la palabra tanto al fiscal como la defensa  &lt;&lt;para que se refieran  a las condiciones individuales, familiares, sociales, modo de vivir y antecedentes de todo orden del culpable&gt;&gt;, quienes, &lt;&lt;si lo consideran conveniente podrán referirse a la probable determinación de la pena aplicable y la concesión de algún subrogado&gt;&gt;, </w:t>
      </w:r>
      <w:r w:rsidRPr="00326075">
        <w:rPr>
          <w:rFonts w:cs="Tahoma"/>
          <w:b/>
          <w:sz w:val="22"/>
          <w:szCs w:val="24"/>
          <w:lang w:val="es-CO"/>
        </w:rPr>
        <w:t>no le niega la posibilidad a las partes para que puedan aducir los elementos probatorios o evidencia física con que cuenten para respaldar sus planteamientos.</w:t>
      </w:r>
    </w:p>
    <w:p w14:paraId="58398584" w14:textId="77777777" w:rsidR="00076A36" w:rsidRPr="00326075" w:rsidRDefault="00076A36" w:rsidP="00326075">
      <w:pPr>
        <w:spacing w:line="240" w:lineRule="auto"/>
        <w:ind w:left="426" w:right="420"/>
        <w:rPr>
          <w:rFonts w:eastAsia="Calibri" w:cs="Tahoma"/>
          <w:sz w:val="22"/>
          <w:szCs w:val="24"/>
          <w:lang w:val="es-CO" w:eastAsia="en-US"/>
        </w:rPr>
      </w:pPr>
    </w:p>
    <w:p w14:paraId="31C3F2DE" w14:textId="77777777" w:rsidR="00D03B8F" w:rsidRPr="00326075" w:rsidRDefault="00D03B8F" w:rsidP="00326075">
      <w:pPr>
        <w:spacing w:line="240" w:lineRule="auto"/>
        <w:ind w:left="426" w:right="420"/>
        <w:rPr>
          <w:rFonts w:cs="Tahoma"/>
          <w:sz w:val="22"/>
          <w:szCs w:val="24"/>
          <w:lang w:val="es-CO"/>
        </w:rPr>
      </w:pPr>
      <w:r w:rsidRPr="00326075">
        <w:rPr>
          <w:rFonts w:cs="Tahoma"/>
          <w:sz w:val="22"/>
          <w:szCs w:val="24"/>
          <w:lang w:val="es-CO"/>
        </w:rPr>
        <w:t xml:space="preserve">Lo expuesto resulta aún más manifiesto, si se da en considerar que </w:t>
      </w:r>
      <w:r w:rsidRPr="00326075">
        <w:rPr>
          <w:rFonts w:cs="Tahoma"/>
          <w:b/>
          <w:sz w:val="22"/>
          <w:szCs w:val="24"/>
          <w:lang w:val="es-CO"/>
        </w:rPr>
        <w:t>el ordenamiento procesal no prevé ningún otro escenario para discutir el tema</w:t>
      </w:r>
      <w:r w:rsidRPr="00326075">
        <w:rPr>
          <w:rFonts w:cs="Tahoma"/>
          <w:sz w:val="22"/>
          <w:szCs w:val="24"/>
          <w:lang w:val="es-CO"/>
        </w:rPr>
        <w:t xml:space="preserve">, a punto tal que incluso faculta al juez para ampliar la información requerida para tomar las determinaciones inherentes a la delicada misión de impartir justicia en el caso concreto, en desarrollo de lo cual &lt;&lt;podrá solicitar a cualquier institución pública o privada, la </w:t>
      </w:r>
      <w:r w:rsidRPr="00326075">
        <w:rPr>
          <w:rFonts w:cs="Tahoma"/>
          <w:sz w:val="22"/>
          <w:szCs w:val="24"/>
          <w:lang w:val="es-CO"/>
        </w:rPr>
        <w:lastRenderedPageBreak/>
        <w:t>designación de un experto para que éste, en el término improrrogable de diez (10) días  hábiles, responda su petición&gt;&gt;.</w:t>
      </w:r>
    </w:p>
    <w:p w14:paraId="4549074A" w14:textId="77777777" w:rsidR="00D03B8F" w:rsidRPr="00326075" w:rsidRDefault="00D03B8F" w:rsidP="00326075">
      <w:pPr>
        <w:spacing w:line="240" w:lineRule="auto"/>
        <w:ind w:left="426" w:right="420"/>
        <w:rPr>
          <w:rFonts w:cs="Tahoma"/>
          <w:sz w:val="22"/>
          <w:szCs w:val="24"/>
          <w:lang w:val="es-CO"/>
        </w:rPr>
      </w:pPr>
    </w:p>
    <w:p w14:paraId="1DA97727" w14:textId="77777777" w:rsidR="00A8130A" w:rsidRPr="00326075" w:rsidRDefault="00D03B8F" w:rsidP="00326075">
      <w:pPr>
        <w:spacing w:line="240" w:lineRule="auto"/>
        <w:ind w:left="426" w:right="420"/>
        <w:rPr>
          <w:rFonts w:cs="Tahoma"/>
          <w:sz w:val="22"/>
          <w:szCs w:val="24"/>
          <w:lang w:val="es-CO"/>
        </w:rPr>
      </w:pPr>
      <w:r w:rsidRPr="00326075">
        <w:rPr>
          <w:rFonts w:cs="Tahoma"/>
          <w:sz w:val="22"/>
          <w:szCs w:val="24"/>
          <w:lang w:val="es-CO"/>
        </w:rPr>
        <w:t>Denota lo anterior, que ni la sentencia debe ser emitida inmediatamente a la culminación de la intervención de las partes con posterioridad al anuncio del sentido del fallo, ni a éstas les está vedado aportarle al juez aquellos elementos de conocimiento que le permitan adoptar una decisión, no solamente acorde al ordenamiento, sino a la realidad que cada caso ofrece, pues la administración de justicia no puede ser considerada como la realización de actos secuenciales y repetitivos, por ende alejados de la naturaleza de la función y la índole de sus destinatarios, sino que va dirigida precisamente a juzgar la conducta de seres humanos que, independientemente de la condición de culpabilidad o de inocencia en que se hallen, o la gravedad o levedad del comportamiento atribuido, merecen toda la consideración y respeto por parte de los dispensadores de justicia…”</w:t>
      </w:r>
      <w:r w:rsidRPr="00326075">
        <w:rPr>
          <w:rStyle w:val="Refdenotaalpie"/>
          <w:rFonts w:ascii="Tahoma" w:hAnsi="Tahoma" w:cs="Tahoma"/>
          <w:sz w:val="22"/>
          <w:szCs w:val="24"/>
          <w:lang w:val="es-CO"/>
        </w:rPr>
        <w:footnoteReference w:id="16"/>
      </w:r>
    </w:p>
    <w:p w14:paraId="094CE1C5" w14:textId="77777777" w:rsidR="00D03B8F" w:rsidRPr="00000790" w:rsidRDefault="00D03B8F" w:rsidP="00000790">
      <w:pPr>
        <w:tabs>
          <w:tab w:val="left" w:pos="2718"/>
        </w:tabs>
        <w:spacing w:before="100" w:beforeAutospacing="1" w:after="100" w:afterAutospacing="1" w:line="276" w:lineRule="auto"/>
        <w:rPr>
          <w:rFonts w:cs="Tahoma"/>
          <w:sz w:val="24"/>
          <w:szCs w:val="24"/>
          <w:lang w:eastAsia="es-ES"/>
        </w:rPr>
      </w:pPr>
      <w:r w:rsidRPr="00000790">
        <w:rPr>
          <w:rFonts w:cs="Tahoma"/>
          <w:sz w:val="24"/>
          <w:szCs w:val="24"/>
          <w:lang w:eastAsia="es-ES"/>
        </w:rPr>
        <w:t>En igu</w:t>
      </w:r>
      <w:r w:rsidR="00A8130A" w:rsidRPr="00000790">
        <w:rPr>
          <w:rFonts w:cs="Tahoma"/>
          <w:sz w:val="24"/>
          <w:szCs w:val="24"/>
          <w:lang w:eastAsia="es-ES"/>
        </w:rPr>
        <w:t>a</w:t>
      </w:r>
      <w:r w:rsidRPr="00000790">
        <w:rPr>
          <w:rFonts w:cs="Tahoma"/>
          <w:sz w:val="24"/>
          <w:szCs w:val="24"/>
          <w:lang w:eastAsia="es-ES"/>
        </w:rPr>
        <w:t>l s</w:t>
      </w:r>
      <w:r w:rsidR="00A8130A" w:rsidRPr="00000790">
        <w:rPr>
          <w:rFonts w:cs="Tahoma"/>
          <w:sz w:val="24"/>
          <w:szCs w:val="24"/>
          <w:lang w:eastAsia="es-ES"/>
        </w:rPr>
        <w:t>e</w:t>
      </w:r>
      <w:r w:rsidRPr="00000790">
        <w:rPr>
          <w:rFonts w:cs="Tahoma"/>
          <w:sz w:val="24"/>
          <w:szCs w:val="24"/>
          <w:lang w:eastAsia="es-ES"/>
        </w:rPr>
        <w:t xml:space="preserve">ntido, en la CSJ SP 16558 del 2 de diciembre de 2015, se dijo lo siguiente: </w:t>
      </w:r>
    </w:p>
    <w:p w14:paraId="657E0ACC" w14:textId="69843F57" w:rsidR="00D03B8F" w:rsidRPr="00326075" w:rsidRDefault="00D03B8F" w:rsidP="00326075">
      <w:pPr>
        <w:tabs>
          <w:tab w:val="left" w:pos="6663"/>
        </w:tabs>
        <w:spacing w:line="240" w:lineRule="auto"/>
        <w:ind w:left="426" w:right="420"/>
        <w:rPr>
          <w:rFonts w:cs="Tahoma"/>
          <w:sz w:val="22"/>
          <w:szCs w:val="24"/>
        </w:rPr>
      </w:pPr>
      <w:r w:rsidRPr="00326075">
        <w:rPr>
          <w:rFonts w:cs="Tahoma"/>
          <w:sz w:val="22"/>
          <w:szCs w:val="24"/>
        </w:rPr>
        <w:t>“…</w:t>
      </w:r>
      <w:r w:rsidR="00326075" w:rsidRPr="00326075">
        <w:rPr>
          <w:rFonts w:cs="Tahoma"/>
          <w:sz w:val="22"/>
          <w:szCs w:val="24"/>
        </w:rPr>
        <w:t xml:space="preserve"> </w:t>
      </w:r>
      <w:r w:rsidRPr="00326075">
        <w:rPr>
          <w:rFonts w:cs="Tahoma"/>
          <w:sz w:val="22"/>
          <w:szCs w:val="24"/>
        </w:rPr>
        <w:t xml:space="preserve">El tema atinente a las posibilidades probatorias de las partes e intervinientes en el decurso de la misma audiencia, fue ampliamente desarrollado en CSJ. SP, </w:t>
      </w:r>
      <w:proofErr w:type="spellStart"/>
      <w:r w:rsidRPr="00326075">
        <w:rPr>
          <w:rFonts w:cs="Tahoma"/>
          <w:sz w:val="22"/>
          <w:szCs w:val="24"/>
        </w:rPr>
        <w:t>may</w:t>
      </w:r>
      <w:proofErr w:type="spellEnd"/>
      <w:r w:rsidRPr="00326075">
        <w:rPr>
          <w:rFonts w:cs="Tahoma"/>
          <w:sz w:val="22"/>
          <w:szCs w:val="24"/>
        </w:rPr>
        <w:t>. 16 de 2007, rad. 26716, por cuyos valiosos aportes e incidencia directa para resolver el punto objeto de debate, la Sala se permite reproducir in extenso en lo pertinente:</w:t>
      </w:r>
    </w:p>
    <w:p w14:paraId="2F7111D9" w14:textId="77777777" w:rsidR="00D03B8F" w:rsidRPr="00326075" w:rsidRDefault="00D03B8F" w:rsidP="00326075">
      <w:pPr>
        <w:tabs>
          <w:tab w:val="left" w:pos="6663"/>
        </w:tabs>
        <w:spacing w:line="240" w:lineRule="auto"/>
        <w:ind w:left="426" w:right="420"/>
        <w:rPr>
          <w:rFonts w:eastAsia="Calibri" w:cs="Tahoma"/>
          <w:sz w:val="22"/>
          <w:szCs w:val="24"/>
          <w:lang w:eastAsia="en-US"/>
        </w:rPr>
      </w:pPr>
    </w:p>
    <w:p w14:paraId="1FC66E3A" w14:textId="77777777" w:rsidR="00D03B8F" w:rsidRPr="00326075" w:rsidRDefault="00D03B8F" w:rsidP="00326075">
      <w:pPr>
        <w:tabs>
          <w:tab w:val="left" w:pos="6663"/>
        </w:tabs>
        <w:spacing w:line="240" w:lineRule="auto"/>
        <w:ind w:left="426" w:right="420"/>
        <w:rPr>
          <w:rFonts w:cs="Tahoma"/>
          <w:sz w:val="22"/>
          <w:szCs w:val="24"/>
        </w:rPr>
      </w:pPr>
      <w:r w:rsidRPr="00326075">
        <w:rPr>
          <w:rFonts w:cs="Tahoma"/>
          <w:sz w:val="22"/>
          <w:szCs w:val="24"/>
        </w:rPr>
        <w:t xml:space="preserve">Pues bien, del texto que viene de transcribirse (el del artículo 447, se aclara), es importante abordar tres temas acerca de la diligencia en cuestión, alusivos al momento de su realización, su objeto </w:t>
      </w:r>
      <w:r w:rsidRPr="00326075">
        <w:rPr>
          <w:rFonts w:cs="Tahoma"/>
          <w:sz w:val="22"/>
          <w:szCs w:val="24"/>
          <w:u w:val="single"/>
        </w:rPr>
        <w:t>y la actividad probatoria que podría llegar a demandar</w:t>
      </w:r>
      <w:r w:rsidRPr="00326075">
        <w:rPr>
          <w:rFonts w:cs="Tahoma"/>
          <w:sz w:val="22"/>
          <w:szCs w:val="24"/>
        </w:rPr>
        <w:t>.</w:t>
      </w:r>
    </w:p>
    <w:p w14:paraId="1A7F69FC" w14:textId="77777777" w:rsidR="004E330E" w:rsidRPr="00326075" w:rsidRDefault="004E330E" w:rsidP="00326075">
      <w:pPr>
        <w:tabs>
          <w:tab w:val="left" w:pos="6663"/>
        </w:tabs>
        <w:spacing w:line="240" w:lineRule="auto"/>
        <w:ind w:left="426" w:right="420"/>
        <w:rPr>
          <w:rFonts w:cs="Tahoma"/>
          <w:sz w:val="22"/>
          <w:szCs w:val="24"/>
        </w:rPr>
      </w:pPr>
    </w:p>
    <w:p w14:paraId="2511A3E4" w14:textId="77777777" w:rsidR="00D03B8F" w:rsidRPr="00326075" w:rsidRDefault="00D03B8F" w:rsidP="00326075">
      <w:pPr>
        <w:tabs>
          <w:tab w:val="left" w:pos="6663"/>
        </w:tabs>
        <w:spacing w:line="240" w:lineRule="auto"/>
        <w:ind w:left="426" w:right="420"/>
        <w:rPr>
          <w:rFonts w:cs="Tahoma"/>
          <w:b/>
          <w:sz w:val="22"/>
          <w:szCs w:val="24"/>
        </w:rPr>
      </w:pPr>
      <w:r w:rsidRPr="00326075">
        <w:rPr>
          <w:rFonts w:cs="Tahoma"/>
          <w:sz w:val="22"/>
          <w:szCs w:val="24"/>
        </w:rPr>
        <w:t xml:space="preserve">En cuanto a la oportunidad procesal, </w:t>
      </w:r>
      <w:r w:rsidRPr="00326075">
        <w:rPr>
          <w:rFonts w:cs="Tahoma"/>
          <w:b/>
          <w:sz w:val="22"/>
          <w:szCs w:val="24"/>
        </w:rPr>
        <w:t>la ley claramente diferencia dos momentos para el efecto. El primero, luego de que el juez ha anunciado el sentido del fallo condenatorio en el punto culminante del juicio oral, y, el segundo, una vez verifique el allanamiento o acepte el acuerdo celebrado con la Fiscalía, en los términos de los artículos 348 y siguientes de la Ley 906 de 2004.</w:t>
      </w:r>
    </w:p>
    <w:p w14:paraId="30C93646" w14:textId="77777777" w:rsidR="00D03B8F" w:rsidRPr="00326075" w:rsidRDefault="00D03B8F" w:rsidP="00326075">
      <w:pPr>
        <w:tabs>
          <w:tab w:val="left" w:pos="6663"/>
        </w:tabs>
        <w:spacing w:line="240" w:lineRule="auto"/>
        <w:ind w:left="426" w:right="420"/>
        <w:rPr>
          <w:rFonts w:cs="Tahoma"/>
          <w:sz w:val="22"/>
          <w:szCs w:val="24"/>
        </w:rPr>
      </w:pPr>
    </w:p>
    <w:p w14:paraId="3233EA1B" w14:textId="77777777" w:rsidR="00D03B8F" w:rsidRPr="00326075" w:rsidRDefault="00D03B8F" w:rsidP="00326075">
      <w:pPr>
        <w:tabs>
          <w:tab w:val="left" w:pos="6663"/>
        </w:tabs>
        <w:spacing w:line="240" w:lineRule="auto"/>
        <w:ind w:left="426" w:right="420"/>
        <w:rPr>
          <w:rFonts w:cs="Tahoma"/>
          <w:sz w:val="22"/>
          <w:szCs w:val="24"/>
        </w:rPr>
      </w:pPr>
      <w:r w:rsidRPr="00326075">
        <w:rPr>
          <w:rFonts w:cs="Tahoma"/>
          <w:sz w:val="22"/>
          <w:szCs w:val="24"/>
        </w:rPr>
        <w:t>En ambos casos se parte de la base de que en contra del sujeto pasivo de la acción penal se dictará sentencia condenatoria, bien porque fue vencido en el juicio oral, anuncio que hace el juez tras sopesar la prueba allegada en dicho acto y los argumentos de cierre de las partes e intervinientes, ora porque aceptó su responsabilidad en los hechos, materializada en el allanamiento o en un acuerdo que celebró con el ente instructor, aprobado por el juzgador luego de verificar, junto con la aceptación voluntaria, libre, espontánea y con cabal asesoría del defensor, que hay un mínimo de prueba a partir del cual inferir la autoría o participación en la conducta y su tipicidad (art. 327 Ib.), y que lo pactado discurre por caminos de legalidad.</w:t>
      </w:r>
    </w:p>
    <w:p w14:paraId="0CA8DD03" w14:textId="77777777" w:rsidR="00D03B8F" w:rsidRPr="00326075" w:rsidRDefault="00D03B8F" w:rsidP="00326075">
      <w:pPr>
        <w:tabs>
          <w:tab w:val="left" w:pos="6663"/>
        </w:tabs>
        <w:spacing w:line="240" w:lineRule="auto"/>
        <w:ind w:left="426" w:right="420"/>
        <w:rPr>
          <w:rFonts w:cs="Tahoma"/>
          <w:sz w:val="22"/>
          <w:szCs w:val="24"/>
        </w:rPr>
      </w:pPr>
    </w:p>
    <w:p w14:paraId="45336F57" w14:textId="77777777" w:rsidR="00D03B8F" w:rsidRPr="00326075" w:rsidRDefault="00D03B8F" w:rsidP="00326075">
      <w:pPr>
        <w:tabs>
          <w:tab w:val="left" w:pos="6663"/>
        </w:tabs>
        <w:spacing w:line="240" w:lineRule="auto"/>
        <w:ind w:left="426" w:right="420"/>
        <w:rPr>
          <w:rFonts w:cs="Tahoma"/>
          <w:sz w:val="22"/>
          <w:szCs w:val="24"/>
        </w:rPr>
      </w:pPr>
      <w:r w:rsidRPr="00326075">
        <w:rPr>
          <w:rFonts w:cs="Tahoma"/>
          <w:sz w:val="22"/>
          <w:szCs w:val="24"/>
        </w:rPr>
        <w:t xml:space="preserve">De allí entonces que la prueba que se tabula en el juicio oral, apunta única y exclusivamente a determinar la responsabilidad o no del acusado en los sucesos por los cuales fue convocado al juicio, mientras que el fundamento probatorio que conlleva a avalar el allanamiento o acuerdo y emitir el subsiguiente fallo condenatorio, </w:t>
      </w:r>
      <w:r w:rsidRPr="00326075">
        <w:rPr>
          <w:rFonts w:cs="Tahoma"/>
          <w:sz w:val="22"/>
          <w:szCs w:val="24"/>
          <w:u w:val="single"/>
        </w:rPr>
        <w:t>radica en los elementos materiales probatorios, evidencias físicas o informes aportados por la Fiscalía, sin que pueda denominárseles “prueba” en sentido estricto</w:t>
      </w:r>
      <w:r w:rsidRPr="00326075">
        <w:rPr>
          <w:rFonts w:cs="Tahoma"/>
          <w:sz w:val="22"/>
          <w:szCs w:val="24"/>
        </w:rPr>
        <w:t>, naturaleza que sólo se adquiere cuando los elementos de conocimiento son aducidos en el debate público -del cual se prescinde en estos casos-, con total respeto de los principios de oralidad, publicidad, inmediación, contradicción y concentración.</w:t>
      </w:r>
    </w:p>
    <w:p w14:paraId="61433FBC" w14:textId="77777777" w:rsidR="00D03B8F" w:rsidRPr="00326075" w:rsidRDefault="00D03B8F" w:rsidP="00326075">
      <w:pPr>
        <w:tabs>
          <w:tab w:val="left" w:pos="6663"/>
        </w:tabs>
        <w:spacing w:line="240" w:lineRule="auto"/>
        <w:ind w:left="426" w:right="420"/>
        <w:rPr>
          <w:rFonts w:cs="Tahoma"/>
          <w:sz w:val="22"/>
          <w:szCs w:val="24"/>
        </w:rPr>
      </w:pPr>
    </w:p>
    <w:p w14:paraId="6BF0F50C" w14:textId="77777777" w:rsidR="00D03B8F" w:rsidRPr="00326075" w:rsidRDefault="00D03B8F" w:rsidP="00326075">
      <w:pPr>
        <w:tabs>
          <w:tab w:val="left" w:pos="6663"/>
        </w:tabs>
        <w:spacing w:line="240" w:lineRule="auto"/>
        <w:ind w:left="426" w:right="420"/>
        <w:rPr>
          <w:rFonts w:cs="Tahoma"/>
          <w:sz w:val="22"/>
          <w:szCs w:val="24"/>
        </w:rPr>
      </w:pPr>
      <w:r w:rsidRPr="00326075">
        <w:rPr>
          <w:rFonts w:cs="Tahoma"/>
          <w:sz w:val="22"/>
          <w:szCs w:val="24"/>
        </w:rPr>
        <w:t xml:space="preserve">Es por lo anterior que </w:t>
      </w:r>
      <w:r w:rsidRPr="00326075">
        <w:rPr>
          <w:rFonts w:cs="Tahoma"/>
          <w:b/>
          <w:sz w:val="22"/>
          <w:szCs w:val="24"/>
        </w:rPr>
        <w:t xml:space="preserve">el legislador ha establecido un espacio procesal diferente para que las partes e intervinientes puedan pronunciarse sobre otros aspectos trascendentales, diferentes a la definición de la ya decantada responsabilidad, que deben ser tenidos en cuenta por el fallador al momento </w:t>
      </w:r>
      <w:r w:rsidRPr="00326075">
        <w:rPr>
          <w:rFonts w:cs="Tahoma"/>
          <w:b/>
          <w:sz w:val="22"/>
          <w:szCs w:val="24"/>
        </w:rPr>
        <w:lastRenderedPageBreak/>
        <w:t>de adoptar su decisión de condena, los cuales tocan con la “probable determinación de la pena aplicable y la concesión de algún subrogado” (artículo 447 del Código de Procedimiento Penal), fundada en aspectos del tenor de  las “condiciones individuales, familiares, sociales, modo de vivir y antecedentes de todo orden del culpable</w:t>
      </w:r>
      <w:r w:rsidRPr="00326075">
        <w:rPr>
          <w:rFonts w:cs="Tahoma"/>
          <w:sz w:val="22"/>
          <w:szCs w:val="24"/>
        </w:rPr>
        <w:t>”.</w:t>
      </w:r>
    </w:p>
    <w:p w14:paraId="15F5C0D4" w14:textId="77777777" w:rsidR="00D03B8F" w:rsidRPr="00326075" w:rsidRDefault="00D03B8F" w:rsidP="00326075">
      <w:pPr>
        <w:tabs>
          <w:tab w:val="left" w:pos="6663"/>
        </w:tabs>
        <w:spacing w:line="240" w:lineRule="auto"/>
        <w:ind w:left="426" w:right="420"/>
        <w:rPr>
          <w:rFonts w:cs="Tahoma"/>
          <w:sz w:val="22"/>
          <w:szCs w:val="24"/>
        </w:rPr>
      </w:pPr>
    </w:p>
    <w:p w14:paraId="0FF3350C" w14:textId="77777777" w:rsidR="00D03B8F" w:rsidRPr="00326075" w:rsidRDefault="00D03B8F" w:rsidP="00326075">
      <w:pPr>
        <w:tabs>
          <w:tab w:val="left" w:pos="6663"/>
        </w:tabs>
        <w:spacing w:line="240" w:lineRule="auto"/>
        <w:ind w:left="426" w:right="420"/>
        <w:rPr>
          <w:rFonts w:cs="Tahoma"/>
          <w:sz w:val="22"/>
          <w:szCs w:val="24"/>
        </w:rPr>
      </w:pPr>
      <w:r w:rsidRPr="00326075">
        <w:rPr>
          <w:rFonts w:cs="Tahoma"/>
          <w:sz w:val="22"/>
          <w:szCs w:val="24"/>
        </w:rPr>
        <w:t xml:space="preserve">(…)  Ahora bien, en la providencia citada, que es justamente la que trae a colación la delegada del Ministerio Público, se parte de la base de que </w:t>
      </w:r>
      <w:r w:rsidRPr="00326075">
        <w:rPr>
          <w:rFonts w:cs="Tahoma"/>
          <w:sz w:val="22"/>
          <w:szCs w:val="24"/>
          <w:u w:val="single"/>
        </w:rPr>
        <w:t>es posible desplegar una actividad probatoria en sede de la diligencia para la individualización de la pena y sentencia; sin embargo, se aclara seguidamente, dicha actividad debe versar única y exclusivamente en torno a las condiciones individuales, familiares, sociales, modo de vivir y antecedentes de todo orden del culpable</w:t>
      </w:r>
      <w:r w:rsidRPr="00326075">
        <w:rPr>
          <w:rFonts w:cs="Tahoma"/>
          <w:sz w:val="22"/>
          <w:szCs w:val="24"/>
        </w:rPr>
        <w:t>. Ello, desde luego, para que la Fiscalía y la defensa sustenten las pretensiones que a continuación formularán, en lo que respecta a la probable determinación de la pena y la concesión de subrogados.</w:t>
      </w:r>
    </w:p>
    <w:p w14:paraId="0046D166" w14:textId="77777777" w:rsidR="00D03B8F" w:rsidRPr="00326075" w:rsidRDefault="00D03B8F" w:rsidP="00326075">
      <w:pPr>
        <w:tabs>
          <w:tab w:val="left" w:pos="6663"/>
        </w:tabs>
        <w:spacing w:line="240" w:lineRule="auto"/>
        <w:ind w:left="426" w:right="420"/>
        <w:rPr>
          <w:rFonts w:cs="Tahoma"/>
          <w:sz w:val="22"/>
          <w:szCs w:val="24"/>
        </w:rPr>
      </w:pPr>
    </w:p>
    <w:p w14:paraId="37DBE6D5" w14:textId="77777777" w:rsidR="00D03B8F" w:rsidRPr="00326075" w:rsidRDefault="00D03B8F" w:rsidP="00326075">
      <w:pPr>
        <w:tabs>
          <w:tab w:val="left" w:pos="6663"/>
        </w:tabs>
        <w:spacing w:line="240" w:lineRule="auto"/>
        <w:ind w:left="426" w:right="420"/>
        <w:rPr>
          <w:rFonts w:cs="Tahoma"/>
          <w:sz w:val="22"/>
          <w:szCs w:val="24"/>
        </w:rPr>
      </w:pPr>
      <w:r w:rsidRPr="00326075">
        <w:rPr>
          <w:rFonts w:cs="Tahoma"/>
          <w:sz w:val="22"/>
          <w:szCs w:val="24"/>
        </w:rPr>
        <w:t>Lo anterior es apenas obvio, habida cuenta de que hasta el momento solo se han recaudado elementos de juicio que, como se dijo antes, tocan en forma directa con la responsabilidad y más concretamente, lo que refiere a la estructura de la conducta punible en todas sus aristas. Es decir, se han recopilado y aportado suficientes medios de convicción para sustentar la condena del acusado, dentro de un específico marco de responsabilidad y acorde con una concreta adecuación típica, que no remite apenas al tipo básico sino, como se anotó atrás, a todos los factores consustanciales al mismo que tienen la virtualidad de modificar los extremos punitivos, pero en modo alguno para determinar cuál es la pena que debe aplicarse ni los beneficios sustitutivos a que puede acceder, en ambos eventos, claro está, atendiendo a los criterios que ha establecido el legislador para su definición.</w:t>
      </w:r>
    </w:p>
    <w:p w14:paraId="0A335CBD" w14:textId="77777777" w:rsidR="00D03B8F" w:rsidRPr="00326075" w:rsidRDefault="00D03B8F" w:rsidP="00326075">
      <w:pPr>
        <w:tabs>
          <w:tab w:val="left" w:pos="6663"/>
        </w:tabs>
        <w:spacing w:line="240" w:lineRule="auto"/>
        <w:ind w:left="426" w:right="420"/>
        <w:rPr>
          <w:rFonts w:cs="Tahoma"/>
          <w:sz w:val="22"/>
          <w:szCs w:val="24"/>
        </w:rPr>
      </w:pPr>
    </w:p>
    <w:p w14:paraId="6F797AFA" w14:textId="77777777" w:rsidR="00D03B8F" w:rsidRPr="00326075" w:rsidRDefault="00D03B8F" w:rsidP="00326075">
      <w:pPr>
        <w:tabs>
          <w:tab w:val="left" w:pos="6663"/>
        </w:tabs>
        <w:spacing w:line="240" w:lineRule="auto"/>
        <w:ind w:left="426" w:right="420"/>
        <w:rPr>
          <w:rFonts w:cs="Tahoma"/>
          <w:b/>
          <w:sz w:val="22"/>
          <w:szCs w:val="24"/>
        </w:rPr>
      </w:pPr>
      <w:r w:rsidRPr="00326075">
        <w:rPr>
          <w:rFonts w:cs="Tahoma"/>
          <w:sz w:val="22"/>
          <w:szCs w:val="24"/>
        </w:rPr>
        <w:t xml:space="preserve">(…) Sin embargo, debe recalcarse que la actividad probatoria que así se suscite, es absolutamente informal, por manera que si “prueba” </w:t>
      </w:r>
      <w:r w:rsidRPr="00326075">
        <w:rPr>
          <w:rFonts w:cs="Tahoma"/>
          <w:b/>
          <w:sz w:val="22"/>
          <w:szCs w:val="24"/>
        </w:rPr>
        <w:t xml:space="preserve">es, como ya se dijo, sólo la que se practica e incorpora en el juicio oral, </w:t>
      </w:r>
      <w:r w:rsidRPr="00326075">
        <w:rPr>
          <w:rFonts w:cs="Tahoma"/>
          <w:b/>
          <w:sz w:val="22"/>
          <w:szCs w:val="24"/>
          <w:u w:val="single"/>
        </w:rPr>
        <w:t>los informes a los cuales alude la diligencia del artículo 447 de la Ley 906 de 2004,</w:t>
      </w:r>
      <w:r w:rsidRPr="00326075">
        <w:rPr>
          <w:rFonts w:cs="Tahoma"/>
          <w:b/>
          <w:sz w:val="22"/>
          <w:szCs w:val="24"/>
        </w:rPr>
        <w:t xml:space="preserve"> </w:t>
      </w:r>
      <w:r w:rsidRPr="00326075">
        <w:rPr>
          <w:rFonts w:cs="Tahoma"/>
          <w:b/>
          <w:sz w:val="22"/>
          <w:szCs w:val="24"/>
          <w:u w:val="single"/>
        </w:rPr>
        <w:t>se sustentan a través de los</w:t>
      </w:r>
      <w:r w:rsidRPr="00326075">
        <w:rPr>
          <w:rFonts w:cs="Tahoma"/>
          <w:b/>
          <w:iCs/>
          <w:sz w:val="22"/>
          <w:szCs w:val="24"/>
          <w:u w:val="single"/>
        </w:rPr>
        <w:t xml:space="preserve"> elementos materiales probatorios, evidencias físicas, </w:t>
      </w:r>
      <w:r w:rsidRPr="00326075">
        <w:rPr>
          <w:rFonts w:cs="Tahoma"/>
          <w:b/>
          <w:sz w:val="22"/>
          <w:szCs w:val="24"/>
          <w:u w:val="single"/>
        </w:rPr>
        <w:t>entrevistas o declaraciones que las partes pueden recolectar en su particular labor investigativa</w:t>
      </w:r>
      <w:r w:rsidRPr="00326075">
        <w:rPr>
          <w:rFonts w:cs="Tahoma"/>
          <w:b/>
          <w:sz w:val="22"/>
          <w:szCs w:val="24"/>
        </w:rPr>
        <w:t>.</w:t>
      </w:r>
    </w:p>
    <w:p w14:paraId="226FAB21" w14:textId="77777777" w:rsidR="007C0AF6" w:rsidRPr="00326075" w:rsidRDefault="007C0AF6" w:rsidP="00326075">
      <w:pPr>
        <w:tabs>
          <w:tab w:val="left" w:pos="6663"/>
        </w:tabs>
        <w:spacing w:line="240" w:lineRule="auto"/>
        <w:ind w:left="426" w:right="420"/>
        <w:rPr>
          <w:rFonts w:cs="Tahoma"/>
          <w:sz w:val="22"/>
          <w:szCs w:val="24"/>
        </w:rPr>
      </w:pPr>
    </w:p>
    <w:p w14:paraId="3104D074" w14:textId="77777777" w:rsidR="00D03B8F" w:rsidRPr="00326075" w:rsidRDefault="00D03B8F" w:rsidP="00326075">
      <w:pPr>
        <w:tabs>
          <w:tab w:val="left" w:pos="6663"/>
        </w:tabs>
        <w:spacing w:line="240" w:lineRule="auto"/>
        <w:ind w:left="426" w:right="420"/>
        <w:rPr>
          <w:rFonts w:cs="Tahoma"/>
          <w:sz w:val="22"/>
          <w:szCs w:val="24"/>
        </w:rPr>
      </w:pPr>
      <w:r w:rsidRPr="00326075">
        <w:rPr>
          <w:rFonts w:cs="Tahoma"/>
          <w:sz w:val="22"/>
          <w:szCs w:val="24"/>
          <w:u w:val="single"/>
        </w:rPr>
        <w:t>La incorporación de dichos medios de convicción en la diligencia de individualización de la pena y sentencia, está condicionada a los parámetros generales de legalidad, licitud, admisibilidad y pertinencia, los cuales valorará el juez con base en la alegación del solicitante, garantizando en todo momento el derecho de contradicción de la contraparte</w:t>
      </w:r>
      <w:r w:rsidRPr="00326075">
        <w:rPr>
          <w:rFonts w:cs="Tahoma"/>
          <w:sz w:val="22"/>
          <w:szCs w:val="24"/>
        </w:rPr>
        <w:t>.</w:t>
      </w:r>
    </w:p>
    <w:p w14:paraId="20BDC636" w14:textId="77777777" w:rsidR="00D03B8F" w:rsidRPr="00326075" w:rsidRDefault="00D03B8F" w:rsidP="00326075">
      <w:pPr>
        <w:tabs>
          <w:tab w:val="left" w:pos="6663"/>
        </w:tabs>
        <w:spacing w:line="240" w:lineRule="auto"/>
        <w:ind w:left="426" w:right="420"/>
        <w:rPr>
          <w:rFonts w:cs="Tahoma"/>
          <w:sz w:val="22"/>
          <w:szCs w:val="24"/>
        </w:rPr>
      </w:pPr>
    </w:p>
    <w:p w14:paraId="2B69D7D1" w14:textId="77777777" w:rsidR="00D03B8F" w:rsidRPr="00326075" w:rsidRDefault="00D03B8F" w:rsidP="00326075">
      <w:pPr>
        <w:tabs>
          <w:tab w:val="left" w:pos="6663"/>
        </w:tabs>
        <w:spacing w:line="240" w:lineRule="auto"/>
        <w:ind w:left="426" w:right="420"/>
        <w:rPr>
          <w:rFonts w:cs="Tahoma"/>
          <w:sz w:val="22"/>
          <w:szCs w:val="24"/>
        </w:rPr>
      </w:pPr>
      <w:r w:rsidRPr="00326075">
        <w:rPr>
          <w:rFonts w:cs="Tahoma"/>
          <w:sz w:val="22"/>
          <w:szCs w:val="24"/>
        </w:rPr>
        <w:t xml:space="preserve">En todo caso, </w:t>
      </w:r>
      <w:r w:rsidRPr="00326075">
        <w:rPr>
          <w:rFonts w:cs="Tahoma"/>
          <w:sz w:val="22"/>
          <w:szCs w:val="24"/>
          <w:u w:val="single"/>
        </w:rPr>
        <w:t xml:space="preserve">los </w:t>
      </w:r>
      <w:r w:rsidRPr="00326075">
        <w:rPr>
          <w:rFonts w:cs="Tahoma"/>
          <w:b/>
          <w:sz w:val="22"/>
          <w:szCs w:val="24"/>
          <w:u w:val="single"/>
        </w:rPr>
        <w:t>elementos de juicio que se ofrecen en la actuación que se analiza, tienen como finalidad específica la demostración de un argumento</w:t>
      </w:r>
      <w:r w:rsidRPr="00326075">
        <w:rPr>
          <w:rFonts w:cs="Tahoma"/>
          <w:sz w:val="22"/>
          <w:szCs w:val="24"/>
        </w:rPr>
        <w:t>. De allí entonces que su práctica e incorporación no está sujeta a las reglas determinadas por el legislador para el juicio oral, pues, se insiste, prima la informalidad y por ello es que el juez, de considerar que no es procedente allegar alguno de ellos, debe rechazarlo de plano.</w:t>
      </w:r>
    </w:p>
    <w:p w14:paraId="16892A5F" w14:textId="77777777" w:rsidR="004E330E" w:rsidRPr="00326075" w:rsidRDefault="004E330E" w:rsidP="00326075">
      <w:pPr>
        <w:tabs>
          <w:tab w:val="left" w:pos="6663"/>
        </w:tabs>
        <w:spacing w:line="240" w:lineRule="auto"/>
        <w:ind w:left="426" w:right="420"/>
        <w:rPr>
          <w:rFonts w:cs="Tahoma"/>
          <w:sz w:val="22"/>
          <w:szCs w:val="24"/>
        </w:rPr>
      </w:pPr>
    </w:p>
    <w:p w14:paraId="272B2FE4" w14:textId="77777777" w:rsidR="00D03B8F" w:rsidRPr="00326075" w:rsidRDefault="00D03B8F" w:rsidP="00326075">
      <w:pPr>
        <w:tabs>
          <w:tab w:val="left" w:pos="6663"/>
        </w:tabs>
        <w:spacing w:line="240" w:lineRule="auto"/>
        <w:ind w:left="426" w:right="420"/>
        <w:rPr>
          <w:rFonts w:cs="Tahoma"/>
          <w:sz w:val="22"/>
          <w:szCs w:val="24"/>
        </w:rPr>
      </w:pPr>
      <w:r w:rsidRPr="00326075">
        <w:rPr>
          <w:rFonts w:cs="Tahoma"/>
          <w:sz w:val="22"/>
          <w:szCs w:val="24"/>
        </w:rPr>
        <w:t xml:space="preserve">Y ello no es un asunto exótico o que pueda tomarse violatorio de garantías fundamentales, como quiera que precisamente es este el tipo de práctica demostrativa que se adelanta en las audiencias preliminares -de ninguna forma sometida a los rigores técnicos de la prueba aportada en el juicio oral-, en las que, concretamente, la parte encargada de soportar la pretensión o controvertirla, allega los elementos materiales probatorios, evidencia física o informes que soportan su pretensión, sin que se haga necesario, como ocurre con algunos estrados judiciales, llamar a testigos para someterlos a los interrogatorios, contrainterrogatorios y objeciones propios, se repite, </w:t>
      </w:r>
      <w:r w:rsidRPr="00326075">
        <w:rPr>
          <w:rFonts w:cs="Tahoma"/>
          <w:sz w:val="22"/>
          <w:szCs w:val="24"/>
        </w:rPr>
        <w:lastRenderedPageBreak/>
        <w:t>del debate público oral en el cual se determina la responsabilidad penal del acusado…”</w:t>
      </w:r>
      <w:r w:rsidRPr="00326075">
        <w:rPr>
          <w:rStyle w:val="Refdenotaalpie"/>
          <w:rFonts w:ascii="Tahoma" w:hAnsi="Tahoma" w:cs="Tahoma"/>
          <w:sz w:val="22"/>
          <w:szCs w:val="24"/>
        </w:rPr>
        <w:footnoteReference w:id="17"/>
      </w:r>
      <w:r w:rsidRPr="00326075">
        <w:rPr>
          <w:rFonts w:cs="Tahoma"/>
          <w:sz w:val="22"/>
          <w:szCs w:val="24"/>
        </w:rPr>
        <w:t xml:space="preserve">  (Subrayas propias)</w:t>
      </w:r>
    </w:p>
    <w:p w14:paraId="7A5D6CAE" w14:textId="77777777" w:rsidR="00427A99" w:rsidRDefault="00427A99" w:rsidP="009C341A">
      <w:pPr>
        <w:spacing w:line="276" w:lineRule="auto"/>
        <w:ind w:right="142"/>
        <w:rPr>
          <w:rFonts w:cs="Tahoma"/>
          <w:sz w:val="24"/>
          <w:szCs w:val="24"/>
          <w:lang w:eastAsia="es-ES"/>
        </w:rPr>
      </w:pPr>
    </w:p>
    <w:p w14:paraId="27B60095" w14:textId="17217A4C" w:rsidR="00D03B8F" w:rsidRPr="00000790" w:rsidRDefault="003A65E9" w:rsidP="009C341A">
      <w:pPr>
        <w:spacing w:line="276" w:lineRule="auto"/>
        <w:ind w:right="142"/>
        <w:rPr>
          <w:rFonts w:cs="Tahoma"/>
          <w:sz w:val="24"/>
          <w:szCs w:val="24"/>
          <w:lang w:eastAsia="es-ES"/>
        </w:rPr>
      </w:pPr>
      <w:r w:rsidRPr="00000790">
        <w:rPr>
          <w:rFonts w:cs="Tahoma"/>
          <w:sz w:val="24"/>
          <w:szCs w:val="24"/>
          <w:lang w:eastAsia="es-ES"/>
        </w:rPr>
        <w:t>De lo anterior, se</w:t>
      </w:r>
      <w:r w:rsidR="00D03B8F" w:rsidRPr="00000790">
        <w:rPr>
          <w:rFonts w:cs="Tahoma"/>
          <w:sz w:val="24"/>
          <w:szCs w:val="24"/>
          <w:lang w:eastAsia="es-ES"/>
        </w:rPr>
        <w:t xml:space="preserve"> puede concluir con facilidad que frente al tópico preciso de la concesión de la suspensión condicional de la ejecución de la pena y del sustituto de la prisión domiciliaria con permiso para trabajar que hoy se alega, no se allegó elemento alguno de respaldo por parte de</w:t>
      </w:r>
      <w:r w:rsidR="00E1408D" w:rsidRPr="00000790">
        <w:rPr>
          <w:rFonts w:cs="Tahoma"/>
          <w:sz w:val="24"/>
          <w:szCs w:val="24"/>
          <w:lang w:eastAsia="es-ES"/>
        </w:rPr>
        <w:t>l</w:t>
      </w:r>
      <w:r w:rsidR="00D03B8F" w:rsidRPr="00000790">
        <w:rPr>
          <w:rFonts w:cs="Tahoma"/>
          <w:sz w:val="24"/>
          <w:szCs w:val="24"/>
          <w:lang w:eastAsia="es-ES"/>
        </w:rPr>
        <w:t xml:space="preserve"> recurrente en la citada audienci</w:t>
      </w:r>
      <w:r w:rsidR="00732B0A" w:rsidRPr="00000790">
        <w:rPr>
          <w:rFonts w:cs="Tahoma"/>
          <w:sz w:val="24"/>
          <w:szCs w:val="24"/>
          <w:lang w:eastAsia="es-ES"/>
        </w:rPr>
        <w:t xml:space="preserve">a, por lo que para la falladora resultaba imposible adoptar una determinación que fuese favorable a los intereses </w:t>
      </w:r>
      <w:r w:rsidRPr="00000790">
        <w:rPr>
          <w:rFonts w:cs="Tahoma"/>
          <w:sz w:val="24"/>
          <w:szCs w:val="24"/>
          <w:lang w:eastAsia="es-ES"/>
        </w:rPr>
        <w:t xml:space="preserve">del procesado. </w:t>
      </w:r>
    </w:p>
    <w:p w14:paraId="625F280C" w14:textId="77777777" w:rsidR="00427A99" w:rsidRDefault="00427A99" w:rsidP="00000790">
      <w:pPr>
        <w:spacing w:line="276" w:lineRule="auto"/>
        <w:rPr>
          <w:rFonts w:cs="Tahoma"/>
          <w:sz w:val="24"/>
          <w:szCs w:val="24"/>
        </w:rPr>
      </w:pPr>
    </w:p>
    <w:p w14:paraId="0C4117DE" w14:textId="6D1F3C74" w:rsidR="00D96EE6" w:rsidRPr="00000790" w:rsidRDefault="00AA68ED" w:rsidP="00000790">
      <w:pPr>
        <w:spacing w:line="276" w:lineRule="auto"/>
        <w:rPr>
          <w:rFonts w:cs="Tahoma"/>
          <w:color w:val="000000"/>
          <w:sz w:val="24"/>
          <w:szCs w:val="24"/>
        </w:rPr>
      </w:pPr>
      <w:r w:rsidRPr="00000790">
        <w:rPr>
          <w:rFonts w:cs="Tahoma"/>
          <w:sz w:val="24"/>
          <w:szCs w:val="24"/>
        </w:rPr>
        <w:t>Por último, de</w:t>
      </w:r>
      <w:r w:rsidR="00D96EE6" w:rsidRPr="00000790">
        <w:rPr>
          <w:rFonts w:cs="Tahoma"/>
          <w:sz w:val="24"/>
          <w:szCs w:val="24"/>
        </w:rPr>
        <w:t xml:space="preserve"> la motivación que contiene la sentencia recurrida en el acápite pertinente a la negación del beneficio-derecho, nos enseña que </w:t>
      </w:r>
      <w:r w:rsidR="00062D07" w:rsidRPr="00000790">
        <w:rPr>
          <w:rFonts w:cs="Tahoma"/>
          <w:sz w:val="24"/>
          <w:szCs w:val="24"/>
        </w:rPr>
        <w:t>la</w:t>
      </w:r>
      <w:r w:rsidR="00D96EE6" w:rsidRPr="00000790">
        <w:rPr>
          <w:rFonts w:cs="Tahoma"/>
          <w:sz w:val="24"/>
          <w:szCs w:val="24"/>
        </w:rPr>
        <w:t xml:space="preserve"> fallador</w:t>
      </w:r>
      <w:r w:rsidR="00062D07" w:rsidRPr="00000790">
        <w:rPr>
          <w:rFonts w:cs="Tahoma"/>
          <w:sz w:val="24"/>
          <w:szCs w:val="24"/>
        </w:rPr>
        <w:t>a</w:t>
      </w:r>
      <w:r w:rsidR="00D96EE6" w:rsidRPr="00000790">
        <w:rPr>
          <w:rFonts w:cs="Tahoma"/>
          <w:sz w:val="24"/>
          <w:szCs w:val="24"/>
        </w:rPr>
        <w:t xml:space="preserve"> tuvo en consideración lo atinente al cumplimiento del requisito objetivo establecido en el numeral 2 del </w:t>
      </w:r>
      <w:r w:rsidRPr="00000790">
        <w:rPr>
          <w:rFonts w:cs="Tahoma"/>
          <w:sz w:val="24"/>
          <w:szCs w:val="24"/>
        </w:rPr>
        <w:t>Artículo</w:t>
      </w:r>
      <w:r w:rsidR="00D96EE6" w:rsidRPr="00000790">
        <w:rPr>
          <w:rFonts w:cs="Tahoma"/>
          <w:sz w:val="24"/>
          <w:szCs w:val="24"/>
        </w:rPr>
        <w:t xml:space="preserve"> 63 del C.P</w:t>
      </w:r>
      <w:r w:rsidR="005039FD" w:rsidRPr="00000790">
        <w:rPr>
          <w:rFonts w:cs="Tahoma"/>
          <w:sz w:val="24"/>
          <w:szCs w:val="24"/>
        </w:rPr>
        <w:t>.</w:t>
      </w:r>
      <w:r w:rsidR="00D96EE6" w:rsidRPr="00000790">
        <w:rPr>
          <w:rFonts w:cs="Tahoma"/>
          <w:sz w:val="24"/>
          <w:szCs w:val="24"/>
        </w:rPr>
        <w:t xml:space="preserve"> -</w:t>
      </w:r>
      <w:r w:rsidR="00D96EE6" w:rsidRPr="00000790">
        <w:rPr>
          <w:rFonts w:cs="Tahoma"/>
          <w:color w:val="000000"/>
          <w:sz w:val="24"/>
          <w:szCs w:val="24"/>
        </w:rPr>
        <w:t xml:space="preserve">Si la persona condenada carece de antecedentes penales </w:t>
      </w:r>
      <w:r w:rsidR="00D96EE6" w:rsidRPr="00000790">
        <w:rPr>
          <w:rFonts w:cs="Tahoma"/>
          <w:b/>
          <w:color w:val="000000"/>
          <w:sz w:val="24"/>
          <w:szCs w:val="24"/>
        </w:rPr>
        <w:t>y no se trata de uno de los delitos contenidos el inciso 2o del artículo </w:t>
      </w:r>
      <w:hyperlink r:id="rId12" w:anchor="68A" w:history="1">
        <w:r w:rsidR="00D96EE6" w:rsidRPr="00000790">
          <w:rPr>
            <w:rStyle w:val="Hipervnculo"/>
            <w:rFonts w:cs="Tahoma"/>
            <w:b/>
            <w:color w:val="000000"/>
            <w:sz w:val="24"/>
            <w:szCs w:val="24"/>
          </w:rPr>
          <w:t>68A</w:t>
        </w:r>
      </w:hyperlink>
      <w:r w:rsidR="00D96EE6" w:rsidRPr="00000790">
        <w:rPr>
          <w:rFonts w:cs="Tahoma"/>
          <w:b/>
          <w:color w:val="000000"/>
          <w:sz w:val="24"/>
          <w:szCs w:val="24"/>
        </w:rPr>
        <w:t> de la Ley 599 de 2000</w:t>
      </w:r>
      <w:r w:rsidR="00D96EE6" w:rsidRPr="00000790">
        <w:rPr>
          <w:rFonts w:cs="Tahoma"/>
          <w:color w:val="000000"/>
          <w:sz w:val="24"/>
          <w:szCs w:val="24"/>
        </w:rPr>
        <w:t>, el juez de conocimiento concederá la medida con base solamente en el requisito objetivo señalado en el numeral 1 de este artículo</w:t>
      </w:r>
      <w:r w:rsidR="00D96EE6" w:rsidRPr="00000790">
        <w:rPr>
          <w:rFonts w:cs="Tahoma"/>
          <w:color w:val="4B4949"/>
          <w:sz w:val="24"/>
          <w:szCs w:val="24"/>
        </w:rPr>
        <w:t>.</w:t>
      </w:r>
      <w:r w:rsidR="00D96EE6" w:rsidRPr="00000790">
        <w:rPr>
          <w:rFonts w:cs="Tahoma"/>
          <w:color w:val="000000"/>
          <w:sz w:val="24"/>
          <w:szCs w:val="24"/>
        </w:rPr>
        <w:t xml:space="preserve">– por lo que desde ahora debe advertir esta Sala que </w:t>
      </w:r>
      <w:r w:rsidR="00D96EE6" w:rsidRPr="00000790">
        <w:rPr>
          <w:rFonts w:cs="Tahoma"/>
          <w:sz w:val="24"/>
          <w:szCs w:val="24"/>
        </w:rPr>
        <w:t xml:space="preserve">la decisión adoptada se encuentra ajustada a derecho, en cuanto los requisitos de orden objetivo y subjetivo que establece el artículo 63 del Código Penal deben estar presentes y concurrir simultáneamente para que pueda otorgarse el subrogado de la suspensión condicional de la ejecución de la pena, es decir, que </w:t>
      </w:r>
      <w:r w:rsidR="00D96EE6" w:rsidRPr="00000790">
        <w:rPr>
          <w:rFonts w:cs="Tahoma"/>
          <w:b/>
          <w:sz w:val="24"/>
          <w:szCs w:val="24"/>
        </w:rPr>
        <w:t>si falta alguno de ellos, no hay lugar a su concesión.</w:t>
      </w:r>
    </w:p>
    <w:p w14:paraId="383D5AEB" w14:textId="77777777" w:rsidR="00D96EE6" w:rsidRPr="00000790" w:rsidRDefault="00D96EE6" w:rsidP="00000790">
      <w:pPr>
        <w:spacing w:line="276" w:lineRule="auto"/>
        <w:rPr>
          <w:rFonts w:cs="Tahoma"/>
          <w:spacing w:val="-4"/>
          <w:sz w:val="24"/>
          <w:szCs w:val="24"/>
        </w:rPr>
      </w:pPr>
    </w:p>
    <w:p w14:paraId="24D5B6D9" w14:textId="692A3317" w:rsidR="00D87729" w:rsidRPr="00000790" w:rsidRDefault="00D96EE6" w:rsidP="00000790">
      <w:pPr>
        <w:spacing w:line="276" w:lineRule="auto"/>
        <w:rPr>
          <w:rFonts w:cs="Tahoma"/>
          <w:sz w:val="24"/>
          <w:szCs w:val="24"/>
        </w:rPr>
      </w:pPr>
      <w:r w:rsidRPr="00000790">
        <w:rPr>
          <w:rFonts w:cs="Tahoma"/>
          <w:sz w:val="24"/>
          <w:szCs w:val="24"/>
        </w:rPr>
        <w:t>Podemos asegurar que si bien por parte del defensor se hacen una serie de aseveraciones en pro de su representado, como el hecho de no poseer antecedentes</w:t>
      </w:r>
      <w:r w:rsidR="000F38A3" w:rsidRPr="00000790">
        <w:rPr>
          <w:rFonts w:cs="Tahoma"/>
          <w:sz w:val="24"/>
          <w:szCs w:val="24"/>
        </w:rPr>
        <w:t xml:space="preserve"> y su esfuerzo en servirle a la comunidad en el campo de la salud, </w:t>
      </w:r>
      <w:r w:rsidRPr="00000790">
        <w:rPr>
          <w:rFonts w:cs="Tahoma"/>
          <w:sz w:val="24"/>
          <w:szCs w:val="24"/>
        </w:rPr>
        <w:t xml:space="preserve">tales </w:t>
      </w:r>
      <w:r w:rsidR="0025297A" w:rsidRPr="00000790">
        <w:rPr>
          <w:rFonts w:cs="Tahoma"/>
          <w:sz w:val="24"/>
          <w:szCs w:val="24"/>
        </w:rPr>
        <w:t>afirmaciones</w:t>
      </w:r>
      <w:r w:rsidRPr="00000790">
        <w:rPr>
          <w:rFonts w:cs="Tahoma"/>
          <w:sz w:val="24"/>
          <w:szCs w:val="24"/>
        </w:rPr>
        <w:t xml:space="preserve"> no son suficientes para acceder al beneficio que se reclama por cuanto -se itera- </w:t>
      </w:r>
      <w:r w:rsidRPr="00000790">
        <w:rPr>
          <w:rFonts w:cs="Tahoma"/>
          <w:b/>
          <w:sz w:val="24"/>
          <w:szCs w:val="24"/>
        </w:rPr>
        <w:t>existe expresa prohibición legal para ello</w:t>
      </w:r>
      <w:r w:rsidRPr="00000790">
        <w:rPr>
          <w:rFonts w:cs="Tahoma"/>
          <w:sz w:val="24"/>
          <w:szCs w:val="24"/>
        </w:rPr>
        <w:t>, y en ningún momento el fallador puede apartarse de lo consagrado en nuestro ordenamiento penal, en donde está prohibido conceder ese beneficio para las personas que hayan sido condenadas, entre otro delitos, por</w:t>
      </w:r>
      <w:r w:rsidR="00FF57B6" w:rsidRPr="00000790">
        <w:rPr>
          <w:rFonts w:cs="Tahoma"/>
          <w:b/>
          <w:sz w:val="24"/>
          <w:szCs w:val="24"/>
        </w:rPr>
        <w:t xml:space="preserve"> </w:t>
      </w:r>
      <w:r w:rsidR="00FF57B6" w:rsidRPr="00000790">
        <w:rPr>
          <w:rFonts w:cs="Tahoma"/>
          <w:sz w:val="24"/>
          <w:szCs w:val="24"/>
        </w:rPr>
        <w:t>los que atentan</w:t>
      </w:r>
      <w:r w:rsidR="00FF57B6" w:rsidRPr="00000790">
        <w:rPr>
          <w:rFonts w:cs="Tahoma"/>
          <w:b/>
          <w:sz w:val="24"/>
          <w:szCs w:val="24"/>
        </w:rPr>
        <w:t xml:space="preserve"> </w:t>
      </w:r>
      <w:r w:rsidR="00FF57B6" w:rsidRPr="00000790">
        <w:rPr>
          <w:rFonts w:cs="Tahoma"/>
          <w:b/>
          <w:color w:val="000000"/>
          <w:sz w:val="24"/>
          <w:szCs w:val="24"/>
        </w:rPr>
        <w:t>contra la libertad, integridad y formación sexual</w:t>
      </w:r>
      <w:r w:rsidR="00FF57B6" w:rsidRPr="00000790">
        <w:rPr>
          <w:rStyle w:val="Refdenotaalpie"/>
          <w:rFonts w:ascii="Tahoma" w:hAnsi="Tahoma" w:cs="Tahoma"/>
          <w:b/>
          <w:sz w:val="24"/>
          <w:szCs w:val="24"/>
        </w:rPr>
        <w:t xml:space="preserve"> </w:t>
      </w:r>
      <w:r w:rsidRPr="00000790">
        <w:rPr>
          <w:rStyle w:val="Refdenotaalpie"/>
          <w:rFonts w:ascii="Tahoma" w:hAnsi="Tahoma" w:cs="Tahoma"/>
          <w:b/>
          <w:sz w:val="24"/>
          <w:szCs w:val="24"/>
        </w:rPr>
        <w:footnoteReference w:id="18"/>
      </w:r>
      <w:r w:rsidRPr="00000790">
        <w:rPr>
          <w:rFonts w:cs="Tahoma"/>
          <w:b/>
          <w:sz w:val="24"/>
          <w:szCs w:val="24"/>
        </w:rPr>
        <w:t>.</w:t>
      </w:r>
      <w:r w:rsidRPr="00000790">
        <w:rPr>
          <w:rFonts w:cs="Tahoma"/>
          <w:sz w:val="24"/>
          <w:szCs w:val="24"/>
        </w:rPr>
        <w:t xml:space="preserve"> </w:t>
      </w:r>
    </w:p>
    <w:p w14:paraId="35D475A1" w14:textId="77777777" w:rsidR="00AA68ED" w:rsidRPr="00000790" w:rsidRDefault="00AA68ED" w:rsidP="00000790">
      <w:pPr>
        <w:spacing w:line="276" w:lineRule="auto"/>
        <w:rPr>
          <w:rFonts w:cs="Tahoma"/>
          <w:sz w:val="24"/>
          <w:szCs w:val="24"/>
        </w:rPr>
      </w:pPr>
    </w:p>
    <w:p w14:paraId="32B17050" w14:textId="40CE3413" w:rsidR="00D87729" w:rsidRPr="00000790" w:rsidRDefault="00F501A8" w:rsidP="00000790">
      <w:pPr>
        <w:spacing w:line="276" w:lineRule="auto"/>
        <w:rPr>
          <w:rFonts w:cs="Tahoma"/>
          <w:spacing w:val="-4"/>
          <w:sz w:val="24"/>
          <w:szCs w:val="24"/>
        </w:rPr>
      </w:pPr>
      <w:bookmarkStart w:id="3" w:name="_Hlk140663022"/>
      <w:r w:rsidRPr="00000790">
        <w:rPr>
          <w:rFonts w:cs="Tahoma"/>
          <w:spacing w:val="-4"/>
          <w:sz w:val="24"/>
          <w:szCs w:val="24"/>
        </w:rPr>
        <w:t>En cuanto a la prisión domiciliaria, pese a que en el actual artículo 38B, el requisito de orden objetivo para acceder a ese sustituto es por conducta punible cuya pena mínima prevista en la ley sea de ocho (8) años de prisión o menos, como ya se indicó,</w:t>
      </w:r>
      <w:r w:rsidRPr="00000790">
        <w:rPr>
          <w:rFonts w:cs="Tahoma"/>
          <w:b/>
          <w:spacing w:val="-4"/>
          <w:sz w:val="24"/>
          <w:szCs w:val="24"/>
        </w:rPr>
        <w:t xml:space="preserve"> el punible por el cual fue condenado el ciudadano </w:t>
      </w:r>
      <w:r w:rsidR="00FF6C2E">
        <w:rPr>
          <w:rFonts w:cs="Tahoma"/>
          <w:b/>
          <w:spacing w:val="-4"/>
          <w:sz w:val="24"/>
          <w:szCs w:val="24"/>
        </w:rPr>
        <w:t>MSMV</w:t>
      </w:r>
      <w:r w:rsidRPr="00000790">
        <w:rPr>
          <w:rFonts w:cs="Tahoma"/>
          <w:b/>
          <w:spacing w:val="-4"/>
          <w:sz w:val="24"/>
          <w:szCs w:val="24"/>
        </w:rPr>
        <w:t xml:space="preserve"> se encuentra en las prohibiciones contenidas en el artículo 68 A del estatuto punitivo</w:t>
      </w:r>
      <w:r w:rsidRPr="00000790">
        <w:rPr>
          <w:rFonts w:cs="Tahoma"/>
          <w:spacing w:val="-4"/>
          <w:sz w:val="24"/>
          <w:szCs w:val="24"/>
        </w:rPr>
        <w:t xml:space="preserve">; luego entonces, por expresa prohibición legal tampoco existe la posibilidad de hacerse acreedor a ese beneficio. </w:t>
      </w:r>
    </w:p>
    <w:bookmarkEnd w:id="3"/>
    <w:p w14:paraId="5C2E8A32" w14:textId="77777777" w:rsidR="00D87729" w:rsidRPr="00000790" w:rsidRDefault="00D87729" w:rsidP="00000790">
      <w:pPr>
        <w:spacing w:line="276" w:lineRule="auto"/>
        <w:rPr>
          <w:rFonts w:cs="Tahoma"/>
          <w:sz w:val="24"/>
          <w:szCs w:val="24"/>
          <w:lang w:val="es-ES_tradnl"/>
        </w:rPr>
      </w:pPr>
    </w:p>
    <w:p w14:paraId="007897E7" w14:textId="0D77241F" w:rsidR="00D96EE6" w:rsidRPr="00000790" w:rsidRDefault="00D96EE6" w:rsidP="00000790">
      <w:pPr>
        <w:spacing w:line="276" w:lineRule="auto"/>
        <w:rPr>
          <w:rFonts w:cs="Tahoma"/>
          <w:spacing w:val="-4"/>
          <w:sz w:val="24"/>
          <w:szCs w:val="24"/>
          <w:lang w:eastAsia="es-ES"/>
        </w:rPr>
      </w:pPr>
      <w:r w:rsidRPr="00000790">
        <w:rPr>
          <w:rFonts w:cs="Tahoma"/>
          <w:spacing w:val="-4"/>
          <w:sz w:val="24"/>
          <w:szCs w:val="24"/>
        </w:rPr>
        <w:t xml:space="preserve">En conclusión, la Colegiatura debe indicar que de conformidad con la normativa aludida, el juez no puede conceder, en principio, </w:t>
      </w:r>
      <w:r w:rsidRPr="00000790">
        <w:rPr>
          <w:rFonts w:cs="Tahoma"/>
          <w:spacing w:val="-4"/>
          <w:sz w:val="24"/>
          <w:szCs w:val="24"/>
          <w:lang w:eastAsia="es-ES"/>
        </w:rPr>
        <w:t xml:space="preserve">ningún tipo de beneficio o subrogado penal a quien haya sido condenado por delitos que se encuentren enlistados en la prohibición legal </w:t>
      </w:r>
      <w:r w:rsidRPr="00000790">
        <w:rPr>
          <w:rFonts w:cs="Tahoma"/>
          <w:sz w:val="24"/>
          <w:szCs w:val="24"/>
        </w:rPr>
        <w:t>establecida en el inciso 2 del art. 68 A del C.P</w:t>
      </w:r>
      <w:r w:rsidR="00522273" w:rsidRPr="00000790">
        <w:rPr>
          <w:rFonts w:cs="Tahoma"/>
          <w:sz w:val="24"/>
          <w:szCs w:val="24"/>
        </w:rPr>
        <w:t>.</w:t>
      </w:r>
      <w:r w:rsidRPr="00000790">
        <w:rPr>
          <w:rFonts w:cs="Tahoma"/>
          <w:spacing w:val="-4"/>
          <w:sz w:val="24"/>
          <w:szCs w:val="24"/>
          <w:lang w:eastAsia="es-ES"/>
        </w:rPr>
        <w:t xml:space="preserve">, lo cual significa que hay lugar </w:t>
      </w:r>
      <w:r w:rsidRPr="00000790">
        <w:rPr>
          <w:rFonts w:cs="Tahoma"/>
          <w:i/>
          <w:spacing w:val="-4"/>
          <w:sz w:val="24"/>
          <w:szCs w:val="24"/>
          <w:lang w:eastAsia="es-ES"/>
        </w:rPr>
        <w:t>per se</w:t>
      </w:r>
      <w:r w:rsidRPr="00000790">
        <w:rPr>
          <w:rFonts w:cs="Tahoma"/>
          <w:spacing w:val="-4"/>
          <w:sz w:val="24"/>
          <w:szCs w:val="24"/>
          <w:lang w:eastAsia="es-ES"/>
        </w:rPr>
        <w:t xml:space="preserve"> a </w:t>
      </w:r>
      <w:r w:rsidRPr="00000790">
        <w:rPr>
          <w:rFonts w:cs="Tahoma"/>
          <w:spacing w:val="-4"/>
          <w:sz w:val="24"/>
          <w:szCs w:val="24"/>
          <w:lang w:eastAsia="es-ES"/>
        </w:rPr>
        <w:lastRenderedPageBreak/>
        <w:t xml:space="preserve">negar los subrogados y beneficios, entre ellos, por supuesto el de la suspensión condicional de la ejecución de la pena. </w:t>
      </w:r>
    </w:p>
    <w:p w14:paraId="2D683670" w14:textId="77777777" w:rsidR="00D96EE6" w:rsidRPr="00000790" w:rsidRDefault="00D96EE6" w:rsidP="00000790">
      <w:pPr>
        <w:spacing w:line="276" w:lineRule="auto"/>
        <w:rPr>
          <w:rFonts w:cs="Tahoma"/>
          <w:sz w:val="24"/>
          <w:szCs w:val="24"/>
          <w:lang w:val="es-ES_tradnl"/>
        </w:rPr>
      </w:pPr>
    </w:p>
    <w:p w14:paraId="11FD1F0A" w14:textId="1D7B797E" w:rsidR="00D96EE6" w:rsidRPr="00000790" w:rsidRDefault="00D96EE6" w:rsidP="00000790">
      <w:pPr>
        <w:spacing w:line="276" w:lineRule="auto"/>
        <w:rPr>
          <w:rFonts w:cs="Tahoma"/>
          <w:sz w:val="24"/>
          <w:szCs w:val="24"/>
          <w:lang w:val="es-ES_tradnl"/>
        </w:rPr>
      </w:pPr>
      <w:r w:rsidRPr="00000790">
        <w:rPr>
          <w:rFonts w:cs="Tahoma"/>
          <w:sz w:val="24"/>
          <w:szCs w:val="24"/>
          <w:lang w:val="es-ES_tradnl"/>
        </w:rPr>
        <w:t xml:space="preserve">Así las cosas, no existe opción válida alguna de variar la determinación adoptada por </w:t>
      </w:r>
      <w:r w:rsidR="005E1300" w:rsidRPr="00000790">
        <w:rPr>
          <w:rFonts w:cs="Tahoma"/>
          <w:sz w:val="24"/>
          <w:szCs w:val="24"/>
          <w:lang w:val="es-ES_tradnl"/>
        </w:rPr>
        <w:t>la</w:t>
      </w:r>
      <w:r w:rsidRPr="00000790">
        <w:rPr>
          <w:rFonts w:cs="Tahoma"/>
          <w:sz w:val="24"/>
          <w:szCs w:val="24"/>
          <w:lang w:val="es-ES_tradnl"/>
        </w:rPr>
        <w:t xml:space="preserve"> juez de instancia en cuanto a la negación tanto del subrogado como del sustituto que se reclama; en consecuencia, se confirmará la decisión objeto de recurso.</w:t>
      </w:r>
    </w:p>
    <w:p w14:paraId="369C7207" w14:textId="77777777" w:rsidR="00D96EE6" w:rsidRPr="00000790" w:rsidRDefault="00D96EE6" w:rsidP="00000790">
      <w:pPr>
        <w:spacing w:line="276" w:lineRule="auto"/>
        <w:rPr>
          <w:rFonts w:cs="Tahoma"/>
          <w:sz w:val="24"/>
          <w:szCs w:val="24"/>
        </w:rPr>
      </w:pPr>
    </w:p>
    <w:p w14:paraId="30D76B91" w14:textId="77777777" w:rsidR="006D2FAD" w:rsidRPr="00000790" w:rsidRDefault="00D96EE6" w:rsidP="00000790">
      <w:pPr>
        <w:spacing w:line="276" w:lineRule="auto"/>
        <w:rPr>
          <w:rFonts w:cs="Tahoma"/>
          <w:sz w:val="24"/>
          <w:szCs w:val="24"/>
        </w:rPr>
      </w:pPr>
      <w:r w:rsidRPr="00000790">
        <w:rPr>
          <w:rFonts w:cs="Tahoma"/>
          <w:sz w:val="24"/>
          <w:szCs w:val="24"/>
        </w:rPr>
        <w:t xml:space="preserve">En mérito de lo expuesto, el Tribunal Superior del Distrito Judicial de Pereira (Rda.), Sala de Decisión Penal, administrando justicia en nombre de la República y por autoridad de la ley, </w:t>
      </w:r>
      <w:r w:rsidRPr="00000790">
        <w:rPr>
          <w:rFonts w:cs="Tahoma"/>
          <w:b/>
          <w:sz w:val="24"/>
          <w:szCs w:val="24"/>
        </w:rPr>
        <w:t>CONFIRMA</w:t>
      </w:r>
      <w:r w:rsidRPr="00000790">
        <w:rPr>
          <w:rFonts w:cs="Tahoma"/>
          <w:sz w:val="24"/>
          <w:szCs w:val="24"/>
        </w:rPr>
        <w:t xml:space="preserve"> el fallo objeto de recurso.</w:t>
      </w:r>
    </w:p>
    <w:p w14:paraId="519F170E" w14:textId="5F444F6C" w:rsidR="006D2FAD" w:rsidRPr="00000790" w:rsidRDefault="006D2FAD" w:rsidP="00000790">
      <w:pPr>
        <w:spacing w:line="276" w:lineRule="auto"/>
        <w:rPr>
          <w:rFonts w:cs="Tahoma"/>
          <w:sz w:val="24"/>
          <w:szCs w:val="24"/>
        </w:rPr>
      </w:pPr>
    </w:p>
    <w:p w14:paraId="5AA7CC2F" w14:textId="7DB52284" w:rsidR="006D2FAD" w:rsidRPr="00000790" w:rsidRDefault="006D2FAD" w:rsidP="00000790">
      <w:pPr>
        <w:spacing w:line="276" w:lineRule="auto"/>
        <w:rPr>
          <w:rFonts w:cs="Tahoma"/>
          <w:sz w:val="24"/>
          <w:szCs w:val="24"/>
        </w:rPr>
      </w:pPr>
      <w:r w:rsidRPr="00000790">
        <w:rPr>
          <w:rFonts w:cs="Tahoma"/>
          <w:sz w:val="24"/>
          <w:szCs w:val="24"/>
        </w:rPr>
        <w:t>Acorde con lo señalado en la parte motiva de la presente decisión, se ordena que por Secretaría se compulsen copias de la presente actuación, con destino al Consejo Seccional de Disciplina Judicial, para que se</w:t>
      </w:r>
      <w:r w:rsidR="001F4322" w:rsidRPr="00000790">
        <w:rPr>
          <w:rFonts w:cs="Tahoma"/>
          <w:sz w:val="24"/>
          <w:szCs w:val="24"/>
        </w:rPr>
        <w:t xml:space="preserve">a tal Corporación en el marco de su competencia, la que </w:t>
      </w:r>
      <w:r w:rsidRPr="00000790">
        <w:rPr>
          <w:rFonts w:cs="Tahoma"/>
          <w:sz w:val="24"/>
          <w:szCs w:val="24"/>
        </w:rPr>
        <w:t>determine si tanto la juez como el fiscal que intervinieron en el presente asunto</w:t>
      </w:r>
      <w:r w:rsidR="00CA5EE7" w:rsidRPr="00000790">
        <w:rPr>
          <w:rFonts w:cs="Tahoma"/>
          <w:sz w:val="24"/>
          <w:szCs w:val="24"/>
        </w:rPr>
        <w:t>, a partir de la solicitud y aprobación del preacuerdo</w:t>
      </w:r>
      <w:r w:rsidRPr="00000790">
        <w:rPr>
          <w:rFonts w:cs="Tahoma"/>
          <w:sz w:val="24"/>
          <w:szCs w:val="24"/>
        </w:rPr>
        <w:t xml:space="preserve">, </w:t>
      </w:r>
      <w:r w:rsidR="001F4322" w:rsidRPr="00000790">
        <w:rPr>
          <w:rFonts w:cs="Tahoma"/>
          <w:sz w:val="24"/>
          <w:szCs w:val="24"/>
        </w:rPr>
        <w:t xml:space="preserve">pudieron incurrir con su </w:t>
      </w:r>
      <w:r w:rsidRPr="00000790">
        <w:rPr>
          <w:rFonts w:cs="Tahoma"/>
          <w:sz w:val="24"/>
          <w:szCs w:val="24"/>
        </w:rPr>
        <w:t xml:space="preserve">accionar </w:t>
      </w:r>
      <w:r w:rsidR="001F4322" w:rsidRPr="00000790">
        <w:rPr>
          <w:rFonts w:cs="Tahoma"/>
          <w:sz w:val="24"/>
          <w:szCs w:val="24"/>
        </w:rPr>
        <w:t xml:space="preserve">en el quebrantamiento de </w:t>
      </w:r>
      <w:r w:rsidRPr="00000790">
        <w:rPr>
          <w:rFonts w:cs="Tahoma"/>
          <w:sz w:val="24"/>
          <w:szCs w:val="24"/>
        </w:rPr>
        <w:t xml:space="preserve">normas disciplinarias, </w:t>
      </w:r>
      <w:r w:rsidR="00CA5EE7" w:rsidRPr="00000790">
        <w:rPr>
          <w:rFonts w:cs="Tahoma"/>
          <w:sz w:val="24"/>
          <w:szCs w:val="24"/>
        </w:rPr>
        <w:t xml:space="preserve">ante </w:t>
      </w:r>
      <w:r w:rsidR="001F4322" w:rsidRPr="00000790">
        <w:rPr>
          <w:rFonts w:cs="Tahoma"/>
          <w:sz w:val="24"/>
          <w:szCs w:val="24"/>
        </w:rPr>
        <w:t xml:space="preserve">la </w:t>
      </w:r>
      <w:r w:rsidR="00481E0A" w:rsidRPr="00000790">
        <w:rPr>
          <w:rFonts w:cs="Tahoma"/>
          <w:sz w:val="24"/>
          <w:szCs w:val="24"/>
        </w:rPr>
        <w:t xml:space="preserve">posible </w:t>
      </w:r>
      <w:r w:rsidR="001F4322" w:rsidRPr="00000790">
        <w:rPr>
          <w:rFonts w:cs="Tahoma"/>
          <w:sz w:val="24"/>
          <w:szCs w:val="24"/>
        </w:rPr>
        <w:t xml:space="preserve">inobservancia </w:t>
      </w:r>
      <w:r w:rsidRPr="00000790">
        <w:rPr>
          <w:rFonts w:cs="Tahoma"/>
          <w:sz w:val="24"/>
          <w:szCs w:val="24"/>
        </w:rPr>
        <w:t>de sus deberes funcionales.</w:t>
      </w:r>
    </w:p>
    <w:p w14:paraId="2ACF38E5" w14:textId="5346790F" w:rsidR="00D96EE6" w:rsidRPr="00000790" w:rsidRDefault="00D96EE6" w:rsidP="00000790">
      <w:pPr>
        <w:spacing w:line="276" w:lineRule="auto"/>
        <w:rPr>
          <w:rFonts w:cs="Tahoma"/>
          <w:sz w:val="24"/>
          <w:szCs w:val="24"/>
        </w:rPr>
      </w:pPr>
      <w:r w:rsidRPr="00000790">
        <w:rPr>
          <w:rFonts w:cs="Tahoma"/>
          <w:sz w:val="24"/>
          <w:szCs w:val="24"/>
        </w:rPr>
        <w:t xml:space="preserve"> </w:t>
      </w:r>
    </w:p>
    <w:p w14:paraId="58D4E729" w14:textId="77777777" w:rsidR="00B26A05" w:rsidRPr="00000790" w:rsidRDefault="00B26A05" w:rsidP="00000790">
      <w:pPr>
        <w:spacing w:line="276" w:lineRule="auto"/>
        <w:rPr>
          <w:rFonts w:cs="Tahoma"/>
          <w:sz w:val="24"/>
          <w:szCs w:val="24"/>
        </w:rPr>
      </w:pPr>
      <w:r w:rsidRPr="00000790">
        <w:rPr>
          <w:rFonts w:eastAsia="SimSun" w:cs="Tahoma"/>
          <w:sz w:val="24"/>
          <w:szCs w:val="24"/>
        </w:rPr>
        <w:t xml:space="preserve">En atención a lo dispuesto por el Consejo </w:t>
      </w:r>
      <w:r w:rsidRPr="00000790">
        <w:rPr>
          <w:rFonts w:cs="Tahoma"/>
          <w:sz w:val="24"/>
          <w:szCs w:val="24"/>
        </w:rPr>
        <w:t>Superior</w:t>
      </w:r>
      <w:r w:rsidRPr="00000790">
        <w:rPr>
          <w:rFonts w:eastAsia="SimSun" w:cs="Tahoma"/>
          <w:sz w:val="24"/>
          <w:szCs w:val="24"/>
        </w:rPr>
        <w:t xml:space="preserve"> de la Judicatura en el artículo 4º del Acuerdo PCSJA20-11518 del 16 de marzo de 2020, en la Circular CSJRIC20-75 expedida por el Consejo Seccional de la Judicatura de Risaralda y la Ley 2213 de 2022, no se realizará audiencia de lectura de sentencia, </w:t>
      </w:r>
      <w:r w:rsidRPr="00000790">
        <w:rPr>
          <w:rFonts w:cs="Tahoma"/>
          <w:sz w:val="24"/>
          <w:szCs w:val="24"/>
        </w:rPr>
        <w:t>y por ende esta decisión se notificará por la Secretaría de la Sala vía correo electrónico a las partes e intervinientes, determinación frente a la cual procede el recurso extraordinario de casación que de interponerse deberá hacerse dentro del término de ley.</w:t>
      </w:r>
    </w:p>
    <w:p w14:paraId="3BDA3C56" w14:textId="77777777" w:rsidR="0096092A" w:rsidRPr="0096092A" w:rsidRDefault="0096092A" w:rsidP="0096092A">
      <w:pPr>
        <w:spacing w:line="276" w:lineRule="auto"/>
        <w:rPr>
          <w:rFonts w:eastAsia="SimSun" w:cs="Tahoma"/>
          <w:position w:val="-6"/>
          <w:sz w:val="24"/>
          <w:szCs w:val="24"/>
        </w:rPr>
      </w:pPr>
      <w:bookmarkStart w:id="4" w:name="_Hlk139017540"/>
    </w:p>
    <w:p w14:paraId="3E497DB1" w14:textId="77777777" w:rsidR="0096092A" w:rsidRPr="0096092A" w:rsidRDefault="0096092A" w:rsidP="0096092A">
      <w:pPr>
        <w:spacing w:line="276" w:lineRule="auto"/>
        <w:rPr>
          <w:rFonts w:ascii="Algerian" w:hAnsi="Algerian" w:cs="Tahoma"/>
          <w:sz w:val="30"/>
          <w:szCs w:val="20"/>
        </w:rPr>
      </w:pPr>
      <w:r w:rsidRPr="0096092A">
        <w:rPr>
          <w:rFonts w:ascii="Algerian" w:hAnsi="Algerian" w:cs="Tahoma"/>
          <w:sz w:val="30"/>
          <w:szCs w:val="20"/>
        </w:rPr>
        <w:t>NOTIFÍQUESE Y CÚMPLASE</w:t>
      </w:r>
    </w:p>
    <w:p w14:paraId="2467CFF6" w14:textId="77777777" w:rsidR="0096092A" w:rsidRPr="0096092A" w:rsidRDefault="0096092A" w:rsidP="0096092A">
      <w:pPr>
        <w:spacing w:line="276" w:lineRule="auto"/>
        <w:rPr>
          <w:rFonts w:cs="Tahoma"/>
          <w:position w:val="-6"/>
          <w:sz w:val="24"/>
          <w:szCs w:val="24"/>
        </w:rPr>
      </w:pPr>
    </w:p>
    <w:p w14:paraId="3DA1CFFB" w14:textId="77777777" w:rsidR="0096092A" w:rsidRPr="0096092A" w:rsidRDefault="0096092A" w:rsidP="0096092A">
      <w:pPr>
        <w:spacing w:line="276" w:lineRule="auto"/>
        <w:rPr>
          <w:rFonts w:cs="Tahoma"/>
          <w:position w:val="-4"/>
          <w:sz w:val="24"/>
          <w:szCs w:val="24"/>
        </w:rPr>
      </w:pPr>
    </w:p>
    <w:p w14:paraId="03B4B232" w14:textId="77777777" w:rsidR="0096092A" w:rsidRPr="0096092A" w:rsidRDefault="0096092A" w:rsidP="0096092A">
      <w:pPr>
        <w:spacing w:line="276" w:lineRule="auto"/>
        <w:rPr>
          <w:rFonts w:cs="Tahoma"/>
          <w:position w:val="-4"/>
          <w:sz w:val="24"/>
          <w:szCs w:val="24"/>
        </w:rPr>
      </w:pPr>
    </w:p>
    <w:p w14:paraId="4624CBC1" w14:textId="77777777" w:rsidR="0096092A" w:rsidRPr="0096092A" w:rsidRDefault="0096092A" w:rsidP="0096092A">
      <w:pPr>
        <w:spacing w:line="276" w:lineRule="auto"/>
        <w:jc w:val="center"/>
        <w:rPr>
          <w:rFonts w:cs="Tahoma"/>
          <w:b/>
          <w:position w:val="-4"/>
          <w:sz w:val="24"/>
          <w:szCs w:val="24"/>
          <w:lang w:val="es-ES_tradnl"/>
        </w:rPr>
      </w:pPr>
      <w:r w:rsidRPr="0096092A">
        <w:rPr>
          <w:rFonts w:cs="Tahoma"/>
          <w:b/>
          <w:position w:val="-4"/>
          <w:sz w:val="24"/>
          <w:szCs w:val="24"/>
          <w:lang w:val="es-ES_tradnl"/>
        </w:rPr>
        <w:t>CARLOS ARTURO PAZ ZÚÑIGA</w:t>
      </w:r>
    </w:p>
    <w:p w14:paraId="0CA98FAC" w14:textId="77777777" w:rsidR="0096092A" w:rsidRPr="0096092A" w:rsidRDefault="0096092A" w:rsidP="0096092A">
      <w:pPr>
        <w:spacing w:line="276" w:lineRule="auto"/>
        <w:jc w:val="center"/>
        <w:rPr>
          <w:rFonts w:cs="Tahoma"/>
          <w:position w:val="-4"/>
          <w:sz w:val="24"/>
          <w:szCs w:val="24"/>
          <w:lang w:val="es-ES_tradnl"/>
        </w:rPr>
      </w:pPr>
      <w:r w:rsidRPr="0096092A">
        <w:rPr>
          <w:rFonts w:cs="Tahoma"/>
          <w:position w:val="-4"/>
          <w:sz w:val="24"/>
          <w:szCs w:val="24"/>
          <w:lang w:val="es-ES_tradnl"/>
        </w:rPr>
        <w:t xml:space="preserve">Magistrado </w:t>
      </w:r>
    </w:p>
    <w:p w14:paraId="5FF963D1" w14:textId="77777777" w:rsidR="0096092A" w:rsidRPr="0096092A" w:rsidRDefault="0096092A" w:rsidP="0096092A">
      <w:pPr>
        <w:spacing w:line="276" w:lineRule="auto"/>
        <w:rPr>
          <w:rFonts w:cs="Tahoma"/>
          <w:position w:val="-4"/>
          <w:sz w:val="24"/>
          <w:szCs w:val="24"/>
          <w:lang w:val="es-ES_tradnl"/>
        </w:rPr>
      </w:pPr>
    </w:p>
    <w:p w14:paraId="7D773AD0" w14:textId="77777777" w:rsidR="0096092A" w:rsidRPr="0096092A" w:rsidRDefault="0096092A" w:rsidP="0096092A">
      <w:pPr>
        <w:spacing w:line="276" w:lineRule="auto"/>
        <w:rPr>
          <w:rFonts w:cs="Tahoma"/>
          <w:position w:val="-4"/>
          <w:sz w:val="24"/>
          <w:szCs w:val="24"/>
          <w:lang w:val="es-ES_tradnl"/>
        </w:rPr>
      </w:pPr>
    </w:p>
    <w:p w14:paraId="6218415C" w14:textId="77777777" w:rsidR="0096092A" w:rsidRPr="0096092A" w:rsidRDefault="0096092A" w:rsidP="0096092A">
      <w:pPr>
        <w:spacing w:line="276" w:lineRule="auto"/>
        <w:rPr>
          <w:rFonts w:cs="Tahoma"/>
          <w:position w:val="-4"/>
          <w:sz w:val="24"/>
          <w:szCs w:val="24"/>
          <w:lang w:val="es-ES_tradnl"/>
        </w:rPr>
      </w:pPr>
    </w:p>
    <w:p w14:paraId="579053BE" w14:textId="77777777" w:rsidR="0096092A" w:rsidRPr="0096092A" w:rsidRDefault="0096092A" w:rsidP="0096092A">
      <w:pPr>
        <w:spacing w:line="276" w:lineRule="auto"/>
        <w:jc w:val="center"/>
        <w:rPr>
          <w:rFonts w:cs="Tahoma"/>
          <w:b/>
          <w:position w:val="-4"/>
          <w:sz w:val="24"/>
          <w:szCs w:val="24"/>
          <w:lang w:val="es-ES_tradnl"/>
        </w:rPr>
      </w:pPr>
      <w:r w:rsidRPr="0096092A">
        <w:rPr>
          <w:rFonts w:cs="Tahoma"/>
          <w:b/>
          <w:position w:val="-4"/>
          <w:sz w:val="24"/>
          <w:szCs w:val="24"/>
          <w:lang w:val="es-ES_tradnl"/>
        </w:rPr>
        <w:t>JULIÁN RIVERA LOAIZA</w:t>
      </w:r>
    </w:p>
    <w:p w14:paraId="56E97A63" w14:textId="77777777" w:rsidR="0096092A" w:rsidRPr="0096092A" w:rsidRDefault="0096092A" w:rsidP="0096092A">
      <w:pPr>
        <w:spacing w:line="276" w:lineRule="auto"/>
        <w:jc w:val="center"/>
        <w:rPr>
          <w:rFonts w:cs="Tahoma"/>
          <w:position w:val="-4"/>
          <w:sz w:val="24"/>
          <w:szCs w:val="24"/>
          <w:lang w:val="es-ES_tradnl"/>
        </w:rPr>
      </w:pPr>
      <w:r w:rsidRPr="0096092A">
        <w:rPr>
          <w:rFonts w:cs="Tahoma"/>
          <w:position w:val="-4"/>
          <w:sz w:val="24"/>
          <w:szCs w:val="24"/>
          <w:lang w:val="es-ES_tradnl"/>
        </w:rPr>
        <w:t xml:space="preserve">Magistrado </w:t>
      </w:r>
    </w:p>
    <w:p w14:paraId="5609040D" w14:textId="77777777" w:rsidR="0096092A" w:rsidRPr="0096092A" w:rsidRDefault="0096092A" w:rsidP="0096092A">
      <w:pPr>
        <w:spacing w:line="276" w:lineRule="auto"/>
        <w:rPr>
          <w:rFonts w:cs="Tahoma"/>
          <w:position w:val="-4"/>
          <w:sz w:val="24"/>
          <w:szCs w:val="24"/>
          <w:lang w:val="es-ES_tradnl"/>
        </w:rPr>
      </w:pPr>
    </w:p>
    <w:p w14:paraId="32ED49A1" w14:textId="77777777" w:rsidR="0096092A" w:rsidRPr="0096092A" w:rsidRDefault="0096092A" w:rsidP="0096092A">
      <w:pPr>
        <w:spacing w:line="276" w:lineRule="auto"/>
        <w:rPr>
          <w:rFonts w:cs="Tahoma"/>
          <w:position w:val="-4"/>
          <w:sz w:val="24"/>
          <w:szCs w:val="24"/>
          <w:lang w:val="es-ES_tradnl"/>
        </w:rPr>
      </w:pPr>
    </w:p>
    <w:p w14:paraId="542E7656" w14:textId="77777777" w:rsidR="0096092A" w:rsidRPr="0096092A" w:rsidRDefault="0096092A" w:rsidP="0096092A">
      <w:pPr>
        <w:spacing w:line="276" w:lineRule="auto"/>
        <w:rPr>
          <w:rFonts w:cs="Tahoma"/>
          <w:position w:val="-4"/>
          <w:sz w:val="24"/>
          <w:szCs w:val="24"/>
          <w:lang w:val="es-ES_tradnl"/>
        </w:rPr>
      </w:pPr>
    </w:p>
    <w:p w14:paraId="157E9AB6" w14:textId="77777777" w:rsidR="0096092A" w:rsidRPr="0096092A" w:rsidRDefault="0096092A" w:rsidP="0096092A">
      <w:pPr>
        <w:spacing w:line="276" w:lineRule="auto"/>
        <w:jc w:val="center"/>
        <w:rPr>
          <w:rFonts w:cs="Tahoma"/>
          <w:b/>
          <w:position w:val="-4"/>
          <w:sz w:val="24"/>
          <w:szCs w:val="24"/>
          <w:lang w:val="es-ES_tradnl"/>
        </w:rPr>
      </w:pPr>
      <w:r w:rsidRPr="0096092A">
        <w:rPr>
          <w:rFonts w:cs="Tahoma"/>
          <w:b/>
          <w:position w:val="-4"/>
          <w:sz w:val="24"/>
          <w:szCs w:val="24"/>
          <w:lang w:val="es-ES_tradnl"/>
        </w:rPr>
        <w:t>MANUEL YARZAGARAY BANDERA</w:t>
      </w:r>
    </w:p>
    <w:p w14:paraId="2C78D032" w14:textId="2505BFE9" w:rsidR="00E47DBA" w:rsidRPr="0096092A" w:rsidRDefault="0096092A" w:rsidP="0096092A">
      <w:pPr>
        <w:spacing w:line="276" w:lineRule="auto"/>
        <w:jc w:val="center"/>
        <w:rPr>
          <w:rFonts w:cs="Tahoma"/>
          <w:position w:val="-4"/>
          <w:sz w:val="24"/>
          <w:szCs w:val="24"/>
          <w:lang w:val="es-ES_tradnl"/>
        </w:rPr>
      </w:pPr>
      <w:r w:rsidRPr="0096092A">
        <w:rPr>
          <w:rFonts w:cs="Tahoma"/>
          <w:position w:val="-4"/>
          <w:sz w:val="24"/>
          <w:szCs w:val="24"/>
          <w:lang w:val="es-ES_tradnl"/>
        </w:rPr>
        <w:t>Magistrado</w:t>
      </w:r>
      <w:bookmarkEnd w:id="4"/>
    </w:p>
    <w:sectPr w:rsidR="00E47DBA" w:rsidRPr="0096092A" w:rsidSect="00AC0B1C">
      <w:headerReference w:type="default" r:id="rId13"/>
      <w:footerReference w:type="default" r:id="rId14"/>
      <w:pgSz w:w="12242" w:h="18722" w:code="258"/>
      <w:pgMar w:top="1758" w:right="1247" w:bottom="1191" w:left="1814" w:header="567" w:footer="567"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41150" w14:textId="77777777" w:rsidR="009B003A" w:rsidRDefault="009B003A">
      <w:pPr>
        <w:spacing w:line="240" w:lineRule="auto"/>
      </w:pPr>
      <w:r>
        <w:separator/>
      </w:r>
    </w:p>
  </w:endnote>
  <w:endnote w:type="continuationSeparator" w:id="0">
    <w:p w14:paraId="43A86024" w14:textId="77777777" w:rsidR="009B003A" w:rsidRDefault="009B00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A074B" w14:textId="77777777" w:rsidR="00CC446B" w:rsidRPr="0096092A" w:rsidRDefault="00CC446B" w:rsidP="0096092A">
    <w:pPr>
      <w:pStyle w:val="Encabezado"/>
      <w:spacing w:line="240" w:lineRule="auto"/>
      <w:jc w:val="right"/>
      <w:rPr>
        <w:rFonts w:ascii="Arial" w:hAnsi="Arial" w:cs="Arial"/>
        <w:sz w:val="18"/>
        <w:szCs w:val="16"/>
        <w:lang w:val="es-CO"/>
      </w:rPr>
    </w:pPr>
    <w:r w:rsidRPr="0096092A">
      <w:rPr>
        <w:rFonts w:ascii="Arial" w:hAnsi="Arial" w:cs="Arial"/>
        <w:sz w:val="18"/>
        <w:szCs w:val="16"/>
        <w:lang w:val="es-CO"/>
      </w:rPr>
      <w:t xml:space="preserve">Página </w:t>
    </w:r>
    <w:r w:rsidRPr="0096092A">
      <w:rPr>
        <w:rFonts w:ascii="Arial" w:hAnsi="Arial" w:cs="Arial"/>
        <w:sz w:val="18"/>
        <w:szCs w:val="16"/>
        <w:lang w:val="es-CO"/>
      </w:rPr>
      <w:fldChar w:fldCharType="begin"/>
    </w:r>
    <w:r w:rsidRPr="0096092A">
      <w:rPr>
        <w:rFonts w:ascii="Arial" w:hAnsi="Arial" w:cs="Arial"/>
        <w:sz w:val="18"/>
        <w:szCs w:val="16"/>
        <w:lang w:val="es-CO"/>
      </w:rPr>
      <w:instrText xml:space="preserve"> PAGE </w:instrText>
    </w:r>
    <w:r w:rsidRPr="0096092A">
      <w:rPr>
        <w:rFonts w:ascii="Arial" w:hAnsi="Arial" w:cs="Arial"/>
        <w:sz w:val="18"/>
        <w:szCs w:val="16"/>
        <w:lang w:val="es-CO"/>
      </w:rPr>
      <w:fldChar w:fldCharType="separate"/>
    </w:r>
    <w:r w:rsidRPr="0096092A">
      <w:rPr>
        <w:rFonts w:ascii="Arial" w:hAnsi="Arial" w:cs="Arial"/>
        <w:sz w:val="18"/>
        <w:szCs w:val="16"/>
        <w:lang w:val="es-CO"/>
      </w:rPr>
      <w:t>10</w:t>
    </w:r>
    <w:r w:rsidRPr="0096092A">
      <w:rPr>
        <w:rFonts w:ascii="Arial" w:hAnsi="Arial" w:cs="Arial"/>
        <w:sz w:val="18"/>
        <w:szCs w:val="16"/>
        <w:lang w:val="es-CO"/>
      </w:rPr>
      <w:fldChar w:fldCharType="end"/>
    </w:r>
    <w:r w:rsidRPr="0096092A">
      <w:rPr>
        <w:rFonts w:ascii="Arial" w:hAnsi="Arial" w:cs="Arial"/>
        <w:sz w:val="18"/>
        <w:szCs w:val="16"/>
        <w:lang w:val="es-CO"/>
      </w:rPr>
      <w:t xml:space="preserve"> de </w:t>
    </w:r>
    <w:r w:rsidRPr="0096092A">
      <w:rPr>
        <w:rFonts w:ascii="Arial" w:hAnsi="Arial" w:cs="Arial"/>
        <w:sz w:val="18"/>
        <w:szCs w:val="16"/>
        <w:lang w:val="es-CO"/>
      </w:rPr>
      <w:fldChar w:fldCharType="begin"/>
    </w:r>
    <w:r w:rsidRPr="0096092A">
      <w:rPr>
        <w:rFonts w:ascii="Arial" w:hAnsi="Arial" w:cs="Arial"/>
        <w:sz w:val="18"/>
        <w:szCs w:val="16"/>
        <w:lang w:val="es-CO"/>
      </w:rPr>
      <w:instrText xml:space="preserve"> NUMPAGES </w:instrText>
    </w:r>
    <w:r w:rsidRPr="0096092A">
      <w:rPr>
        <w:rFonts w:ascii="Arial" w:hAnsi="Arial" w:cs="Arial"/>
        <w:sz w:val="18"/>
        <w:szCs w:val="16"/>
        <w:lang w:val="es-CO"/>
      </w:rPr>
      <w:fldChar w:fldCharType="separate"/>
    </w:r>
    <w:r w:rsidRPr="0096092A">
      <w:rPr>
        <w:rFonts w:ascii="Arial" w:hAnsi="Arial" w:cs="Arial"/>
        <w:sz w:val="18"/>
        <w:szCs w:val="16"/>
        <w:lang w:val="es-CO"/>
      </w:rPr>
      <w:t>11</w:t>
    </w:r>
    <w:r w:rsidRPr="0096092A">
      <w:rPr>
        <w:rFonts w:ascii="Arial" w:hAnsi="Arial" w:cs="Arial"/>
        <w:sz w:val="18"/>
        <w:szCs w:val="16"/>
        <w:lang w:val="es-C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68A95" w14:textId="77777777" w:rsidR="009B003A" w:rsidRDefault="009B003A">
      <w:pPr>
        <w:spacing w:line="240" w:lineRule="auto"/>
      </w:pPr>
      <w:r>
        <w:separator/>
      </w:r>
    </w:p>
  </w:footnote>
  <w:footnote w:type="continuationSeparator" w:id="0">
    <w:p w14:paraId="11169900" w14:textId="77777777" w:rsidR="009B003A" w:rsidRDefault="009B003A">
      <w:pPr>
        <w:spacing w:line="240" w:lineRule="auto"/>
      </w:pPr>
      <w:r>
        <w:continuationSeparator/>
      </w:r>
    </w:p>
  </w:footnote>
  <w:footnote w:id="1">
    <w:p w14:paraId="34490969" w14:textId="77777777" w:rsidR="00CC446B" w:rsidRPr="008D760C" w:rsidRDefault="00CC446B" w:rsidP="008D760C">
      <w:pPr>
        <w:pStyle w:val="Textonotapie"/>
        <w:rPr>
          <w:sz w:val="18"/>
          <w:szCs w:val="18"/>
          <w:lang w:val="es-CO"/>
        </w:rPr>
      </w:pPr>
      <w:r w:rsidRPr="008D760C">
        <w:rPr>
          <w:rStyle w:val="Refdenotaalpie"/>
          <w:rFonts w:ascii="Arial" w:hAnsi="Arial"/>
          <w:sz w:val="18"/>
          <w:szCs w:val="18"/>
        </w:rPr>
        <w:footnoteRef/>
      </w:r>
      <w:r w:rsidRPr="008D760C">
        <w:rPr>
          <w:sz w:val="18"/>
          <w:szCs w:val="18"/>
        </w:rPr>
        <w:t xml:space="preserve"> </w:t>
      </w:r>
      <w:r w:rsidRPr="008D760C">
        <w:rPr>
          <w:sz w:val="18"/>
          <w:szCs w:val="18"/>
          <w:lang w:val="es-CO"/>
        </w:rPr>
        <w:t>Auto de abril 27 de 2021</w:t>
      </w:r>
    </w:p>
  </w:footnote>
  <w:footnote w:id="2">
    <w:p w14:paraId="70FADA28" w14:textId="77777777" w:rsidR="00CC446B" w:rsidRPr="008D760C" w:rsidRDefault="00CC446B" w:rsidP="008D760C">
      <w:pPr>
        <w:pStyle w:val="Textonotapie"/>
        <w:rPr>
          <w:sz w:val="18"/>
          <w:szCs w:val="18"/>
          <w:lang w:val="es-CO"/>
        </w:rPr>
      </w:pPr>
      <w:r w:rsidRPr="008D760C">
        <w:rPr>
          <w:rStyle w:val="Refdenotaalpie"/>
          <w:rFonts w:ascii="Arial" w:hAnsi="Arial"/>
          <w:sz w:val="18"/>
          <w:szCs w:val="18"/>
        </w:rPr>
        <w:footnoteRef/>
      </w:r>
      <w:r w:rsidRPr="008D760C">
        <w:rPr>
          <w:sz w:val="18"/>
          <w:szCs w:val="18"/>
        </w:rPr>
        <w:t xml:space="preserve"> </w:t>
      </w:r>
      <w:r w:rsidRPr="008D760C">
        <w:rPr>
          <w:sz w:val="18"/>
          <w:szCs w:val="18"/>
          <w:lang w:val="es-CO"/>
        </w:rPr>
        <w:t xml:space="preserve">La defensa solicita en favor de su presentado, le sea concedido el subrogado penal de la suspensión condicional de la ejecución de la pena, o en su defecto, el atenuante intramural de la prisión domiciliaria por padre cabeza de familia con permiso para trabajar. </w:t>
      </w:r>
    </w:p>
  </w:footnote>
  <w:footnote w:id="3">
    <w:p w14:paraId="629028A4" w14:textId="77777777" w:rsidR="00CC446B" w:rsidRPr="008D760C" w:rsidRDefault="00CC446B" w:rsidP="008D760C">
      <w:pPr>
        <w:pStyle w:val="Textonotapie"/>
        <w:rPr>
          <w:sz w:val="18"/>
          <w:szCs w:val="18"/>
          <w:lang w:val="es-CO"/>
        </w:rPr>
      </w:pPr>
      <w:r w:rsidRPr="008D760C">
        <w:rPr>
          <w:rStyle w:val="Refdenotaalpie"/>
          <w:rFonts w:ascii="Arial" w:hAnsi="Arial"/>
          <w:sz w:val="18"/>
          <w:szCs w:val="18"/>
        </w:rPr>
        <w:footnoteRef/>
      </w:r>
      <w:r w:rsidRPr="008D760C">
        <w:rPr>
          <w:sz w:val="18"/>
          <w:szCs w:val="18"/>
        </w:rPr>
        <w:t xml:space="preserve"> </w:t>
      </w:r>
      <w:r w:rsidRPr="008D760C">
        <w:rPr>
          <w:sz w:val="18"/>
          <w:szCs w:val="18"/>
          <w:lang w:val="es-CO"/>
        </w:rPr>
        <w:t xml:space="preserve">Delito utilizado como ficción legal para obtener una disminución de la pena, como contraprestación por la aceptación temprana de cargos por parte del procesado. </w:t>
      </w:r>
    </w:p>
  </w:footnote>
  <w:footnote w:id="4">
    <w:p w14:paraId="4F73FC03" w14:textId="77777777" w:rsidR="00CC446B" w:rsidRPr="008D760C" w:rsidRDefault="00CC446B" w:rsidP="008D760C">
      <w:pPr>
        <w:pStyle w:val="Textonotapie"/>
        <w:rPr>
          <w:sz w:val="18"/>
          <w:szCs w:val="18"/>
          <w:lang w:val="es-CO"/>
        </w:rPr>
      </w:pPr>
      <w:r w:rsidRPr="008D760C">
        <w:rPr>
          <w:sz w:val="18"/>
          <w:szCs w:val="18"/>
          <w:lang w:val="es-CO"/>
        </w:rPr>
        <w:footnoteRef/>
      </w:r>
      <w:r w:rsidRPr="008D760C">
        <w:rPr>
          <w:sz w:val="18"/>
          <w:szCs w:val="18"/>
          <w:lang w:val="es-CO"/>
        </w:rPr>
        <w:t xml:space="preserve"> CSJ STP, 24 sep. 2013, rad. 69.478. </w:t>
      </w:r>
    </w:p>
  </w:footnote>
  <w:footnote w:id="5">
    <w:p w14:paraId="2F97D02A" w14:textId="77777777" w:rsidR="00CC446B" w:rsidRPr="008D760C" w:rsidRDefault="00CC446B" w:rsidP="008D760C">
      <w:pPr>
        <w:pStyle w:val="Textonotapie"/>
        <w:rPr>
          <w:sz w:val="18"/>
          <w:szCs w:val="18"/>
          <w:lang w:val="es-MX"/>
        </w:rPr>
      </w:pPr>
      <w:r w:rsidRPr="008D760C">
        <w:rPr>
          <w:sz w:val="18"/>
          <w:szCs w:val="18"/>
          <w:lang w:val="es-CO"/>
        </w:rPr>
        <w:footnoteRef/>
      </w:r>
      <w:r w:rsidRPr="008D760C">
        <w:rPr>
          <w:sz w:val="18"/>
          <w:szCs w:val="18"/>
          <w:lang w:val="es-CO"/>
        </w:rPr>
        <w:t xml:space="preserve"> TSP AP, 23 abr. 2014, Radicación 11001600000020130067503.</w:t>
      </w:r>
      <w:r w:rsidRPr="008D760C">
        <w:rPr>
          <w:spacing w:val="-3"/>
          <w:sz w:val="18"/>
          <w:szCs w:val="18"/>
        </w:rPr>
        <w:t xml:space="preserve"> </w:t>
      </w:r>
    </w:p>
  </w:footnote>
  <w:footnote w:id="6">
    <w:p w14:paraId="6E19A343" w14:textId="77777777" w:rsidR="00CC446B" w:rsidRPr="008D760C" w:rsidRDefault="00CC446B" w:rsidP="008D760C">
      <w:pPr>
        <w:pStyle w:val="Textonotapie"/>
        <w:rPr>
          <w:sz w:val="18"/>
          <w:szCs w:val="18"/>
          <w:lang w:val="es-CO"/>
        </w:rPr>
      </w:pPr>
      <w:r w:rsidRPr="008D760C">
        <w:rPr>
          <w:rStyle w:val="Refdenotaalpie"/>
          <w:rFonts w:ascii="Arial" w:hAnsi="Arial"/>
          <w:sz w:val="18"/>
          <w:szCs w:val="18"/>
        </w:rPr>
        <w:footnoteRef/>
      </w:r>
      <w:r w:rsidRPr="008D760C">
        <w:rPr>
          <w:sz w:val="18"/>
          <w:szCs w:val="18"/>
        </w:rPr>
        <w:t xml:space="preserve"> </w:t>
      </w:r>
      <w:r w:rsidRPr="008D760C">
        <w:rPr>
          <w:sz w:val="18"/>
          <w:szCs w:val="18"/>
          <w:lang w:val="es-CO"/>
        </w:rPr>
        <w:t xml:space="preserve">Archivo 14 expediente digital – Carpeta 01INSTANCIA – link visualización de audiencia </w:t>
      </w:r>
      <w:proofErr w:type="spellStart"/>
      <w:r w:rsidRPr="008D760C">
        <w:rPr>
          <w:sz w:val="18"/>
          <w:szCs w:val="18"/>
          <w:lang w:val="es-CO"/>
        </w:rPr>
        <w:t>record</w:t>
      </w:r>
      <w:proofErr w:type="spellEnd"/>
      <w:r w:rsidRPr="008D760C">
        <w:rPr>
          <w:sz w:val="18"/>
          <w:szCs w:val="18"/>
          <w:lang w:val="es-CO"/>
        </w:rPr>
        <w:t xml:space="preserve"> 9:50</w:t>
      </w:r>
    </w:p>
  </w:footnote>
  <w:footnote w:id="7">
    <w:p w14:paraId="68993088" w14:textId="77777777" w:rsidR="00CC446B" w:rsidRPr="008D760C" w:rsidRDefault="00CC446B" w:rsidP="008D760C">
      <w:pPr>
        <w:pStyle w:val="Textonotapie"/>
        <w:rPr>
          <w:sz w:val="18"/>
          <w:szCs w:val="18"/>
          <w:lang w:val="es-CO"/>
        </w:rPr>
      </w:pPr>
      <w:r w:rsidRPr="008D760C">
        <w:rPr>
          <w:rStyle w:val="Refdenotaalpie"/>
          <w:rFonts w:ascii="Arial" w:hAnsi="Arial"/>
          <w:sz w:val="18"/>
          <w:szCs w:val="18"/>
        </w:rPr>
        <w:footnoteRef/>
      </w:r>
      <w:r w:rsidRPr="008D760C">
        <w:rPr>
          <w:sz w:val="18"/>
          <w:szCs w:val="18"/>
        </w:rPr>
        <w:t xml:space="preserve"> Verbos rectores; “acose, persiga, hostigue o asedie física o verbalmente”.</w:t>
      </w:r>
    </w:p>
  </w:footnote>
  <w:footnote w:id="8">
    <w:p w14:paraId="4D12C57E" w14:textId="2E54696D" w:rsidR="00CC446B" w:rsidRPr="008D760C" w:rsidRDefault="00CC446B" w:rsidP="008D760C">
      <w:pPr>
        <w:pStyle w:val="Textonotapie"/>
        <w:rPr>
          <w:sz w:val="18"/>
          <w:szCs w:val="18"/>
          <w:lang w:val="es-CO"/>
        </w:rPr>
      </w:pPr>
      <w:r w:rsidRPr="008D760C">
        <w:rPr>
          <w:rStyle w:val="Refdenotaalpie"/>
          <w:rFonts w:ascii="Arial" w:hAnsi="Arial"/>
          <w:sz w:val="18"/>
          <w:szCs w:val="18"/>
        </w:rPr>
        <w:footnoteRef/>
      </w:r>
      <w:r w:rsidRPr="008D760C">
        <w:rPr>
          <w:sz w:val="18"/>
          <w:szCs w:val="18"/>
        </w:rPr>
        <w:t xml:space="preserve"> SP107-2018 Radicado N° 49799 M.P FERNANDO LEÓN BOLAÑOS PALACIOS</w:t>
      </w:r>
      <w:r w:rsidR="00F80903" w:rsidRPr="008D760C">
        <w:rPr>
          <w:sz w:val="18"/>
          <w:szCs w:val="18"/>
        </w:rPr>
        <w:t>.</w:t>
      </w:r>
    </w:p>
  </w:footnote>
  <w:footnote w:id="9">
    <w:p w14:paraId="642F42CC" w14:textId="77777777" w:rsidR="00CC446B" w:rsidRPr="008D760C" w:rsidRDefault="00CC446B" w:rsidP="008D760C">
      <w:pPr>
        <w:pStyle w:val="Textonotapie"/>
        <w:rPr>
          <w:sz w:val="18"/>
          <w:szCs w:val="18"/>
        </w:rPr>
      </w:pPr>
      <w:r w:rsidRPr="008D760C">
        <w:rPr>
          <w:rStyle w:val="Refdenotaalpie"/>
          <w:rFonts w:ascii="Arial" w:hAnsi="Arial"/>
          <w:sz w:val="18"/>
          <w:szCs w:val="18"/>
        </w:rPr>
        <w:footnoteRef/>
      </w:r>
      <w:r w:rsidRPr="008D760C">
        <w:rPr>
          <w:sz w:val="18"/>
          <w:szCs w:val="18"/>
        </w:rPr>
        <w:t xml:space="preserve"> Corte Suprema de Justicia, Sala de Casación Penal: Sentencia del 24 de junio de 2.020. Rad. # 52.227. M.P. PATRICIA SALAZAR CUÉLLAR.</w:t>
      </w:r>
    </w:p>
  </w:footnote>
  <w:footnote w:id="10">
    <w:p w14:paraId="042265A7" w14:textId="77777777" w:rsidR="00CC446B" w:rsidRPr="008D760C" w:rsidRDefault="00CC446B" w:rsidP="008D760C">
      <w:pPr>
        <w:pStyle w:val="Textonotapie"/>
        <w:rPr>
          <w:sz w:val="18"/>
          <w:szCs w:val="18"/>
          <w:lang w:eastAsia="en-US"/>
        </w:rPr>
      </w:pPr>
      <w:r w:rsidRPr="008D760C">
        <w:rPr>
          <w:sz w:val="18"/>
          <w:szCs w:val="18"/>
          <w:vertAlign w:val="superscript"/>
        </w:rPr>
        <w:footnoteRef/>
      </w:r>
      <w:r w:rsidRPr="008D760C">
        <w:rPr>
          <w:sz w:val="18"/>
          <w:szCs w:val="18"/>
        </w:rPr>
        <w:t xml:space="preserve"> Corte Suprema de Justicia, Sala de Casación Penal: Sentencia de 2ª Instancia del 25 de noviembre de 2015. SP16247-2015. Rad. # 46688. M.P. JOSÉ LUIS BARCELÓ CAMACHO.</w:t>
      </w:r>
    </w:p>
  </w:footnote>
  <w:footnote w:id="11">
    <w:p w14:paraId="03B2ABE8" w14:textId="6AD30864" w:rsidR="00417294" w:rsidRPr="008D760C" w:rsidRDefault="00417294" w:rsidP="008D760C">
      <w:pPr>
        <w:pStyle w:val="Textonotapie"/>
        <w:rPr>
          <w:sz w:val="18"/>
          <w:szCs w:val="18"/>
          <w:lang w:val="es-MX"/>
        </w:rPr>
      </w:pPr>
      <w:r w:rsidRPr="008D760C">
        <w:rPr>
          <w:sz w:val="18"/>
          <w:szCs w:val="18"/>
          <w:vertAlign w:val="superscript"/>
        </w:rPr>
        <w:footnoteRef/>
      </w:r>
      <w:r w:rsidRPr="008D760C">
        <w:rPr>
          <w:sz w:val="18"/>
          <w:szCs w:val="18"/>
        </w:rPr>
        <w:t xml:space="preserve"> Sentencia CSJ SP14842 – 2015 (reiterada en CSJ STP 21 jul. 2020, Rad. 1282)</w:t>
      </w:r>
    </w:p>
  </w:footnote>
  <w:footnote w:id="12">
    <w:p w14:paraId="36A26D78" w14:textId="0419582B" w:rsidR="00CC446B" w:rsidRPr="008D760C" w:rsidRDefault="00CC446B" w:rsidP="008D760C">
      <w:pPr>
        <w:pStyle w:val="Textonotapie"/>
        <w:rPr>
          <w:sz w:val="18"/>
          <w:szCs w:val="18"/>
          <w:lang w:val="es-CO"/>
        </w:rPr>
      </w:pPr>
      <w:r w:rsidRPr="008D760C">
        <w:rPr>
          <w:sz w:val="18"/>
          <w:szCs w:val="18"/>
          <w:vertAlign w:val="superscript"/>
        </w:rPr>
        <w:footnoteRef/>
      </w:r>
      <w:r w:rsidRPr="008D760C">
        <w:rPr>
          <w:sz w:val="18"/>
          <w:szCs w:val="18"/>
        </w:rPr>
        <w:t xml:space="preserve"> Tal y como se plasmó a lo largo del proveído, el delegado del ministerio público en la audiencia de verbalización de preacuerdo, solicitó que en el fallo respectivo, el ciudadano MV fuese condenado por el delito por el cual se le hizo llamamiento a juicio, es decir, Acceso carnal o acto sexual abusivo con incapaz de resistir, y no como </w:t>
      </w:r>
      <w:r w:rsidR="005E4DEC" w:rsidRPr="008D760C">
        <w:rPr>
          <w:sz w:val="18"/>
          <w:szCs w:val="18"/>
        </w:rPr>
        <w:t>erradamente</w:t>
      </w:r>
      <w:r w:rsidRPr="008D760C">
        <w:rPr>
          <w:sz w:val="18"/>
          <w:szCs w:val="18"/>
        </w:rPr>
        <w:t xml:space="preserve"> quedó en la decisión, en donde se condenó por el delito de Acoso sexual, el cual, solo </w:t>
      </w:r>
      <w:r w:rsidR="005E4DEC" w:rsidRPr="008D760C">
        <w:rPr>
          <w:sz w:val="18"/>
          <w:szCs w:val="18"/>
        </w:rPr>
        <w:t>debía</w:t>
      </w:r>
      <w:r w:rsidRPr="008D760C">
        <w:rPr>
          <w:sz w:val="18"/>
          <w:szCs w:val="18"/>
        </w:rPr>
        <w:t xml:space="preserve"> </w:t>
      </w:r>
      <w:r w:rsidR="005E4DEC" w:rsidRPr="008D760C">
        <w:rPr>
          <w:sz w:val="18"/>
          <w:szCs w:val="18"/>
        </w:rPr>
        <w:t>tenerse</w:t>
      </w:r>
      <w:r w:rsidRPr="008D760C">
        <w:rPr>
          <w:sz w:val="18"/>
          <w:szCs w:val="18"/>
        </w:rPr>
        <w:t xml:space="preserve"> en cuenta para la </w:t>
      </w:r>
      <w:r w:rsidR="005E4DEC" w:rsidRPr="008D760C">
        <w:rPr>
          <w:sz w:val="18"/>
          <w:szCs w:val="18"/>
        </w:rPr>
        <w:t>disminución</w:t>
      </w:r>
      <w:r w:rsidRPr="008D760C">
        <w:rPr>
          <w:sz w:val="18"/>
          <w:szCs w:val="18"/>
        </w:rPr>
        <w:t xml:space="preserve"> de la pena, como </w:t>
      </w:r>
      <w:r w:rsidR="005E4DEC" w:rsidRPr="008D760C">
        <w:rPr>
          <w:sz w:val="18"/>
          <w:szCs w:val="18"/>
        </w:rPr>
        <w:t>contraprestación</w:t>
      </w:r>
      <w:r w:rsidRPr="008D760C">
        <w:rPr>
          <w:sz w:val="18"/>
          <w:szCs w:val="18"/>
        </w:rPr>
        <w:t xml:space="preserve"> de la </w:t>
      </w:r>
      <w:r w:rsidR="005E4DEC" w:rsidRPr="008D760C">
        <w:rPr>
          <w:sz w:val="18"/>
          <w:szCs w:val="18"/>
        </w:rPr>
        <w:t>aceptación</w:t>
      </w:r>
      <w:r w:rsidRPr="008D760C">
        <w:rPr>
          <w:sz w:val="18"/>
          <w:szCs w:val="18"/>
        </w:rPr>
        <w:t xml:space="preserve"> </w:t>
      </w:r>
      <w:r w:rsidR="005E4DEC" w:rsidRPr="008D760C">
        <w:rPr>
          <w:sz w:val="18"/>
          <w:szCs w:val="18"/>
        </w:rPr>
        <w:t>temprana</w:t>
      </w:r>
      <w:r w:rsidRPr="008D760C">
        <w:rPr>
          <w:sz w:val="18"/>
          <w:szCs w:val="18"/>
        </w:rPr>
        <w:t xml:space="preserve"> de cargos.</w:t>
      </w:r>
      <w:r w:rsidRPr="008D760C">
        <w:rPr>
          <w:sz w:val="18"/>
          <w:szCs w:val="18"/>
          <w:lang w:val="es-CO"/>
        </w:rPr>
        <w:t xml:space="preserve"> </w:t>
      </w:r>
    </w:p>
  </w:footnote>
  <w:footnote w:id="13">
    <w:p w14:paraId="104E581B" w14:textId="77777777" w:rsidR="00CC446B" w:rsidRPr="008D760C" w:rsidRDefault="00CC446B" w:rsidP="008D760C">
      <w:pPr>
        <w:pStyle w:val="Textonotapie"/>
        <w:rPr>
          <w:sz w:val="18"/>
          <w:szCs w:val="18"/>
        </w:rPr>
      </w:pPr>
      <w:r w:rsidRPr="008D760C">
        <w:rPr>
          <w:sz w:val="18"/>
          <w:szCs w:val="18"/>
          <w:vertAlign w:val="superscript"/>
        </w:rPr>
        <w:footnoteRef/>
      </w:r>
      <w:r w:rsidRPr="008D760C">
        <w:rPr>
          <w:sz w:val="18"/>
          <w:szCs w:val="18"/>
        </w:rPr>
        <w:t xml:space="preserve"> Por la cual se expiden normas para apoyar de manera especial a la mujer cabeza de familia.</w:t>
      </w:r>
    </w:p>
  </w:footnote>
  <w:footnote w:id="14">
    <w:p w14:paraId="2896D089" w14:textId="77777777" w:rsidR="00CC446B" w:rsidRPr="008D760C" w:rsidRDefault="00CC446B" w:rsidP="008D760C">
      <w:pPr>
        <w:pStyle w:val="Textonotapie"/>
        <w:rPr>
          <w:sz w:val="18"/>
          <w:szCs w:val="18"/>
        </w:rPr>
      </w:pPr>
      <w:r w:rsidRPr="008D760C">
        <w:rPr>
          <w:sz w:val="18"/>
          <w:szCs w:val="18"/>
          <w:vertAlign w:val="superscript"/>
        </w:rPr>
        <w:footnoteRef/>
      </w:r>
      <w:r w:rsidRPr="008D760C">
        <w:rPr>
          <w:sz w:val="18"/>
          <w:szCs w:val="18"/>
        </w:rPr>
        <w:t xml:space="preserve"> Corte Constitucional, sentencia SU-388 de 2005 (MP Clara Inés Vargas Hernández; SV, Jaime Araújo Rentería).</w:t>
      </w:r>
    </w:p>
  </w:footnote>
  <w:footnote w:id="15">
    <w:p w14:paraId="3CCAF19C" w14:textId="77777777" w:rsidR="00CC446B" w:rsidRPr="008D760C" w:rsidRDefault="00CC446B" w:rsidP="008D760C">
      <w:pPr>
        <w:pStyle w:val="Textonotapie"/>
        <w:rPr>
          <w:sz w:val="18"/>
          <w:szCs w:val="18"/>
        </w:rPr>
      </w:pPr>
      <w:r w:rsidRPr="008D760C">
        <w:rPr>
          <w:sz w:val="18"/>
          <w:szCs w:val="18"/>
          <w:vertAlign w:val="superscript"/>
        </w:rPr>
        <w:footnoteRef/>
      </w:r>
      <w:r w:rsidRPr="008D760C">
        <w:rPr>
          <w:sz w:val="18"/>
          <w:szCs w:val="18"/>
        </w:rPr>
        <w:t xml:space="preserve"> Acoso sexual </w:t>
      </w:r>
    </w:p>
  </w:footnote>
  <w:footnote w:id="16">
    <w:p w14:paraId="50A3BF58" w14:textId="77777777" w:rsidR="00CC446B" w:rsidRPr="008D760C" w:rsidRDefault="00CC446B" w:rsidP="008D760C">
      <w:pPr>
        <w:pStyle w:val="Textonotapie"/>
        <w:rPr>
          <w:rFonts w:eastAsia="Calibri"/>
          <w:sz w:val="18"/>
          <w:szCs w:val="18"/>
          <w:lang w:val="es-CO" w:eastAsia="en-US"/>
        </w:rPr>
      </w:pPr>
      <w:r w:rsidRPr="008D760C">
        <w:rPr>
          <w:sz w:val="18"/>
          <w:szCs w:val="18"/>
          <w:vertAlign w:val="superscript"/>
        </w:rPr>
        <w:footnoteRef/>
      </w:r>
      <w:r w:rsidRPr="008D760C">
        <w:rPr>
          <w:sz w:val="18"/>
          <w:szCs w:val="18"/>
        </w:rPr>
        <w:t xml:space="preserve"> Sala de Casación Penal de la Corte Suprema de Justicia. SP11726 del 3 de septiembre de 2014. Radicación 33.409, M.P. José </w:t>
      </w:r>
      <w:proofErr w:type="spellStart"/>
      <w:r w:rsidRPr="008D760C">
        <w:rPr>
          <w:sz w:val="18"/>
          <w:szCs w:val="18"/>
        </w:rPr>
        <w:t>Leonidas</w:t>
      </w:r>
      <w:proofErr w:type="spellEnd"/>
      <w:r w:rsidRPr="008D760C">
        <w:rPr>
          <w:sz w:val="18"/>
          <w:szCs w:val="18"/>
        </w:rPr>
        <w:t xml:space="preserve"> Bustos Martínez.</w:t>
      </w:r>
    </w:p>
  </w:footnote>
  <w:footnote w:id="17">
    <w:p w14:paraId="34F06C5C" w14:textId="77777777" w:rsidR="00CC446B" w:rsidRPr="008D760C" w:rsidRDefault="00CC446B" w:rsidP="008D760C">
      <w:pPr>
        <w:pStyle w:val="Textonotapie"/>
        <w:rPr>
          <w:smallCaps/>
          <w:sz w:val="18"/>
          <w:szCs w:val="18"/>
          <w:lang w:val="es-CO"/>
        </w:rPr>
      </w:pPr>
      <w:r w:rsidRPr="008D760C">
        <w:rPr>
          <w:sz w:val="18"/>
          <w:szCs w:val="18"/>
          <w:vertAlign w:val="superscript"/>
        </w:rPr>
        <w:footnoteRef/>
      </w:r>
      <w:r w:rsidRPr="008D760C">
        <w:rPr>
          <w:sz w:val="18"/>
          <w:szCs w:val="18"/>
        </w:rPr>
        <w:t xml:space="preserve"> Corte Suprema de Justicia, Sala de Casación Penal. SP 16558 del 2 de diciembre de 2015. Radicación 44840. M.P. José Luis Barceló Camacho.</w:t>
      </w:r>
    </w:p>
  </w:footnote>
  <w:footnote w:id="18">
    <w:p w14:paraId="0679D3A7" w14:textId="77777777" w:rsidR="00CC446B" w:rsidRPr="00634BF7" w:rsidRDefault="00CC446B" w:rsidP="008D760C">
      <w:pPr>
        <w:pStyle w:val="Textonotapie"/>
        <w:rPr>
          <w:rFonts w:ascii="Verdana" w:hAnsi="Verdana"/>
          <w:sz w:val="20"/>
        </w:rPr>
      </w:pPr>
      <w:r w:rsidRPr="008D760C">
        <w:rPr>
          <w:sz w:val="18"/>
          <w:szCs w:val="18"/>
          <w:vertAlign w:val="superscript"/>
        </w:rPr>
        <w:footnoteRef/>
      </w:r>
      <w:r w:rsidRPr="008D760C">
        <w:rPr>
          <w:sz w:val="18"/>
          <w:szCs w:val="18"/>
        </w:rPr>
        <w:t xml:space="preserve"> Art. 68A CPP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8FFCA" w14:textId="0A7A5954" w:rsidR="00CC446B" w:rsidRPr="0096092A" w:rsidRDefault="0096092A" w:rsidP="0096092A">
    <w:pPr>
      <w:pStyle w:val="Encabezado"/>
      <w:spacing w:line="240" w:lineRule="auto"/>
      <w:jc w:val="right"/>
      <w:rPr>
        <w:rFonts w:ascii="Arial" w:hAnsi="Arial" w:cs="Arial"/>
        <w:sz w:val="18"/>
        <w:szCs w:val="16"/>
        <w:lang w:val="es-MX"/>
      </w:rPr>
    </w:pPr>
    <w:r w:rsidRPr="0096092A">
      <w:rPr>
        <w:rFonts w:ascii="Arial" w:hAnsi="Arial" w:cs="Arial"/>
        <w:sz w:val="18"/>
        <w:szCs w:val="16"/>
        <w:lang w:val="es-CO"/>
      </w:rPr>
      <w:t>Acto sexual con incapaz de resistir</w:t>
    </w:r>
  </w:p>
  <w:p w14:paraId="78F9D64D" w14:textId="65EC72C7" w:rsidR="00CC446B" w:rsidRPr="0096092A" w:rsidRDefault="0096092A" w:rsidP="0096092A">
    <w:pPr>
      <w:pStyle w:val="Encabezado"/>
      <w:spacing w:line="240" w:lineRule="auto"/>
      <w:jc w:val="right"/>
      <w:rPr>
        <w:rFonts w:ascii="Arial" w:hAnsi="Arial" w:cs="Arial"/>
        <w:sz w:val="18"/>
        <w:szCs w:val="16"/>
        <w:lang w:val="es-MX"/>
      </w:rPr>
    </w:pPr>
    <w:r w:rsidRPr="0096092A">
      <w:rPr>
        <w:rFonts w:ascii="Arial" w:hAnsi="Arial" w:cs="Arial"/>
        <w:sz w:val="18"/>
        <w:szCs w:val="16"/>
        <w:lang w:val="es-MX"/>
      </w:rPr>
      <w:t>Radicación</w:t>
    </w:r>
    <w:r w:rsidR="00CC446B" w:rsidRPr="0096092A">
      <w:rPr>
        <w:rFonts w:ascii="Arial" w:hAnsi="Arial" w:cs="Arial"/>
        <w:sz w:val="18"/>
        <w:szCs w:val="16"/>
        <w:lang w:val="es-MX"/>
      </w:rPr>
      <w:t>:</w:t>
    </w:r>
    <w:r w:rsidR="00B436DC" w:rsidRPr="0096092A">
      <w:rPr>
        <w:rFonts w:ascii="Arial" w:hAnsi="Arial" w:cs="Arial"/>
        <w:sz w:val="28"/>
        <w:lang w:val="es-CO"/>
      </w:rPr>
      <w:t xml:space="preserve"> </w:t>
    </w:r>
    <w:r w:rsidR="00CC446B" w:rsidRPr="0096092A">
      <w:rPr>
        <w:rFonts w:ascii="Arial" w:hAnsi="Arial" w:cs="Arial"/>
        <w:sz w:val="18"/>
        <w:szCs w:val="16"/>
        <w:lang w:val="es-MX"/>
      </w:rPr>
      <w:t>660016000035 2020 01334 01</w:t>
    </w:r>
  </w:p>
  <w:p w14:paraId="239F33CC" w14:textId="534E7284" w:rsidR="00CC446B" w:rsidRPr="0096092A" w:rsidRDefault="0096092A" w:rsidP="0096092A">
    <w:pPr>
      <w:pStyle w:val="Encabezado"/>
      <w:spacing w:line="240" w:lineRule="auto"/>
      <w:jc w:val="right"/>
      <w:rPr>
        <w:rFonts w:ascii="Arial" w:hAnsi="Arial" w:cs="Arial"/>
        <w:sz w:val="18"/>
        <w:szCs w:val="16"/>
        <w:lang w:val="es-MX"/>
      </w:rPr>
    </w:pPr>
    <w:r w:rsidRPr="0096092A">
      <w:rPr>
        <w:rFonts w:ascii="Arial" w:hAnsi="Arial" w:cs="Arial"/>
        <w:sz w:val="18"/>
        <w:szCs w:val="16"/>
        <w:lang w:val="es-MX"/>
      </w:rPr>
      <w:t>Procesado</w:t>
    </w:r>
    <w:r w:rsidR="00CC446B" w:rsidRPr="0096092A">
      <w:rPr>
        <w:rFonts w:ascii="Arial" w:hAnsi="Arial" w:cs="Arial"/>
        <w:sz w:val="18"/>
        <w:szCs w:val="16"/>
        <w:lang w:val="es-MX"/>
      </w:rPr>
      <w:t xml:space="preserve">: </w:t>
    </w:r>
    <w:r w:rsidRPr="0096092A">
      <w:rPr>
        <w:rFonts w:ascii="Arial" w:hAnsi="Arial" w:cs="Arial"/>
        <w:sz w:val="18"/>
        <w:szCs w:val="16"/>
        <w:lang w:val="es-MX"/>
      </w:rPr>
      <w:t>MSMV</w:t>
    </w:r>
  </w:p>
  <w:p w14:paraId="2D92DB46" w14:textId="3289A785" w:rsidR="00CC446B" w:rsidRPr="0096092A" w:rsidRDefault="0096092A" w:rsidP="0096092A">
    <w:pPr>
      <w:pStyle w:val="Encabezado"/>
      <w:spacing w:line="240" w:lineRule="auto"/>
      <w:jc w:val="right"/>
      <w:rPr>
        <w:rFonts w:ascii="Arial" w:hAnsi="Arial" w:cs="Arial"/>
        <w:sz w:val="18"/>
        <w:szCs w:val="16"/>
        <w:lang w:val="es-CO"/>
      </w:rPr>
    </w:pPr>
    <w:r w:rsidRPr="0096092A">
      <w:rPr>
        <w:rFonts w:ascii="Arial" w:hAnsi="Arial" w:cs="Arial"/>
        <w:sz w:val="18"/>
        <w:szCs w:val="16"/>
        <w:lang w:val="es-CO"/>
      </w:rPr>
      <w:t>Confirma</w:t>
    </w:r>
  </w:p>
  <w:p w14:paraId="7EF4FF37" w14:textId="30F7EE9C" w:rsidR="00CC446B" w:rsidRPr="0096092A" w:rsidRDefault="00CC446B" w:rsidP="0096092A">
    <w:pPr>
      <w:pStyle w:val="Encabezado"/>
      <w:spacing w:line="240" w:lineRule="auto"/>
      <w:jc w:val="right"/>
      <w:rPr>
        <w:rFonts w:ascii="Arial" w:hAnsi="Arial" w:cs="Arial"/>
        <w:sz w:val="18"/>
        <w:szCs w:val="16"/>
        <w:lang w:val="es-MX"/>
      </w:rPr>
    </w:pPr>
    <w:r w:rsidRPr="0096092A">
      <w:rPr>
        <w:rFonts w:ascii="Arial" w:hAnsi="Arial" w:cs="Arial"/>
        <w:sz w:val="18"/>
        <w:szCs w:val="16"/>
        <w:lang w:val="es-CO"/>
      </w:rPr>
      <w:t>S.</w:t>
    </w:r>
    <w:r w:rsidR="0096092A">
      <w:rPr>
        <w:rFonts w:ascii="Arial" w:hAnsi="Arial" w:cs="Arial"/>
        <w:sz w:val="18"/>
        <w:szCs w:val="16"/>
        <w:lang w:val="es-CO"/>
      </w:rPr>
      <w:t xml:space="preserve"> </w:t>
    </w:r>
    <w:r w:rsidRPr="0096092A">
      <w:rPr>
        <w:rFonts w:ascii="Arial" w:hAnsi="Arial" w:cs="Arial"/>
        <w:sz w:val="18"/>
        <w:szCs w:val="16"/>
        <w:lang w:val="es-CO"/>
      </w:rPr>
      <w:t xml:space="preserve">N° </w:t>
    </w:r>
    <w:r w:rsidR="00B436DC" w:rsidRPr="0096092A">
      <w:rPr>
        <w:rFonts w:ascii="Arial" w:hAnsi="Arial" w:cs="Arial"/>
        <w:sz w:val="18"/>
        <w:szCs w:val="16"/>
        <w:lang w:val="es-CO"/>
      </w:rPr>
      <w:t>019</w:t>
    </w:r>
    <w:r w:rsidRPr="0096092A">
      <w:rPr>
        <w:rFonts w:ascii="Arial" w:hAnsi="Arial" w:cs="Arial"/>
        <w:sz w:val="18"/>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A4711"/>
    <w:multiLevelType w:val="hybridMultilevel"/>
    <w:tmpl w:val="59ACA50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372"/>
    <w:rsid w:val="00000790"/>
    <w:rsid w:val="00000C0B"/>
    <w:rsid w:val="00001057"/>
    <w:rsid w:val="00003575"/>
    <w:rsid w:val="00005F50"/>
    <w:rsid w:val="00013B3D"/>
    <w:rsid w:val="00014E36"/>
    <w:rsid w:val="00020DEF"/>
    <w:rsid w:val="00023A46"/>
    <w:rsid w:val="00024288"/>
    <w:rsid w:val="00026123"/>
    <w:rsid w:val="00026D74"/>
    <w:rsid w:val="00027276"/>
    <w:rsid w:val="00030AB4"/>
    <w:rsid w:val="00032B5D"/>
    <w:rsid w:val="000361E0"/>
    <w:rsid w:val="000371F0"/>
    <w:rsid w:val="000410C7"/>
    <w:rsid w:val="00043EA3"/>
    <w:rsid w:val="00050F02"/>
    <w:rsid w:val="00052C08"/>
    <w:rsid w:val="0006207E"/>
    <w:rsid w:val="00062D07"/>
    <w:rsid w:val="00063432"/>
    <w:rsid w:val="0006651B"/>
    <w:rsid w:val="00067953"/>
    <w:rsid w:val="00067A78"/>
    <w:rsid w:val="0007436F"/>
    <w:rsid w:val="00074F64"/>
    <w:rsid w:val="00076A36"/>
    <w:rsid w:val="00076C78"/>
    <w:rsid w:val="00081DEC"/>
    <w:rsid w:val="00087BFF"/>
    <w:rsid w:val="0009525A"/>
    <w:rsid w:val="000952AF"/>
    <w:rsid w:val="00096AB0"/>
    <w:rsid w:val="000A4747"/>
    <w:rsid w:val="000A4C8D"/>
    <w:rsid w:val="000A6EB2"/>
    <w:rsid w:val="000B051A"/>
    <w:rsid w:val="000B391D"/>
    <w:rsid w:val="000B71FB"/>
    <w:rsid w:val="000C163D"/>
    <w:rsid w:val="000C3252"/>
    <w:rsid w:val="000C3869"/>
    <w:rsid w:val="000C52A3"/>
    <w:rsid w:val="000C6FC9"/>
    <w:rsid w:val="000C7A10"/>
    <w:rsid w:val="000D2D90"/>
    <w:rsid w:val="000D4A6E"/>
    <w:rsid w:val="000E1259"/>
    <w:rsid w:val="000E4060"/>
    <w:rsid w:val="000E49DE"/>
    <w:rsid w:val="000E7844"/>
    <w:rsid w:val="000F1A38"/>
    <w:rsid w:val="000F38A3"/>
    <w:rsid w:val="000F3EEE"/>
    <w:rsid w:val="000F50A7"/>
    <w:rsid w:val="00103C1A"/>
    <w:rsid w:val="001061F6"/>
    <w:rsid w:val="001077F7"/>
    <w:rsid w:val="00110D1A"/>
    <w:rsid w:val="0011315D"/>
    <w:rsid w:val="00121F3E"/>
    <w:rsid w:val="0012389E"/>
    <w:rsid w:val="00124016"/>
    <w:rsid w:val="00125C67"/>
    <w:rsid w:val="0012611C"/>
    <w:rsid w:val="001273CA"/>
    <w:rsid w:val="00131195"/>
    <w:rsid w:val="001317E6"/>
    <w:rsid w:val="00131BD1"/>
    <w:rsid w:val="0013720D"/>
    <w:rsid w:val="00137658"/>
    <w:rsid w:val="001411F4"/>
    <w:rsid w:val="001429D7"/>
    <w:rsid w:val="00142FCD"/>
    <w:rsid w:val="00145AA8"/>
    <w:rsid w:val="00151EE2"/>
    <w:rsid w:val="0015634A"/>
    <w:rsid w:val="00161DFD"/>
    <w:rsid w:val="001661E9"/>
    <w:rsid w:val="00171B1F"/>
    <w:rsid w:val="001720DF"/>
    <w:rsid w:val="001731C8"/>
    <w:rsid w:val="00173D0C"/>
    <w:rsid w:val="001747F3"/>
    <w:rsid w:val="00176ED4"/>
    <w:rsid w:val="00177959"/>
    <w:rsid w:val="00181F98"/>
    <w:rsid w:val="001824DC"/>
    <w:rsid w:val="00182B34"/>
    <w:rsid w:val="00184187"/>
    <w:rsid w:val="0018432A"/>
    <w:rsid w:val="00185CC7"/>
    <w:rsid w:val="00191706"/>
    <w:rsid w:val="001962C1"/>
    <w:rsid w:val="001978B7"/>
    <w:rsid w:val="001A1B48"/>
    <w:rsid w:val="001A58A8"/>
    <w:rsid w:val="001A5D98"/>
    <w:rsid w:val="001B029B"/>
    <w:rsid w:val="001B1869"/>
    <w:rsid w:val="001B4659"/>
    <w:rsid w:val="001C2A03"/>
    <w:rsid w:val="001C6E6F"/>
    <w:rsid w:val="001C7CFE"/>
    <w:rsid w:val="001C7D5A"/>
    <w:rsid w:val="001D0C2C"/>
    <w:rsid w:val="001D0DE4"/>
    <w:rsid w:val="001D419E"/>
    <w:rsid w:val="001D6CB6"/>
    <w:rsid w:val="001D792A"/>
    <w:rsid w:val="001E2B10"/>
    <w:rsid w:val="001E3940"/>
    <w:rsid w:val="001E45DF"/>
    <w:rsid w:val="001E48E2"/>
    <w:rsid w:val="001F0EED"/>
    <w:rsid w:val="001F4322"/>
    <w:rsid w:val="001F5C7E"/>
    <w:rsid w:val="001F6046"/>
    <w:rsid w:val="001F770D"/>
    <w:rsid w:val="00201A4B"/>
    <w:rsid w:val="00201EF2"/>
    <w:rsid w:val="002044EE"/>
    <w:rsid w:val="002056D7"/>
    <w:rsid w:val="00210ADC"/>
    <w:rsid w:val="00212F12"/>
    <w:rsid w:val="00221604"/>
    <w:rsid w:val="00225433"/>
    <w:rsid w:val="002274E3"/>
    <w:rsid w:val="002309BC"/>
    <w:rsid w:val="002378D6"/>
    <w:rsid w:val="00242FAF"/>
    <w:rsid w:val="00246B00"/>
    <w:rsid w:val="002515F4"/>
    <w:rsid w:val="00252870"/>
    <w:rsid w:val="0025297A"/>
    <w:rsid w:val="00252A71"/>
    <w:rsid w:val="00260FC8"/>
    <w:rsid w:val="00261046"/>
    <w:rsid w:val="002612BD"/>
    <w:rsid w:val="00262431"/>
    <w:rsid w:val="002635CB"/>
    <w:rsid w:val="0026493B"/>
    <w:rsid w:val="00265224"/>
    <w:rsid w:val="00265B22"/>
    <w:rsid w:val="00267166"/>
    <w:rsid w:val="00270145"/>
    <w:rsid w:val="002745CA"/>
    <w:rsid w:val="0027484D"/>
    <w:rsid w:val="002763F7"/>
    <w:rsid w:val="00280E53"/>
    <w:rsid w:val="00280E5A"/>
    <w:rsid w:val="00282807"/>
    <w:rsid w:val="00284BB3"/>
    <w:rsid w:val="002870F9"/>
    <w:rsid w:val="00290836"/>
    <w:rsid w:val="00291710"/>
    <w:rsid w:val="00297047"/>
    <w:rsid w:val="002A11E0"/>
    <w:rsid w:val="002A19AB"/>
    <w:rsid w:val="002A1E67"/>
    <w:rsid w:val="002A25F9"/>
    <w:rsid w:val="002A27B6"/>
    <w:rsid w:val="002A3127"/>
    <w:rsid w:val="002A5025"/>
    <w:rsid w:val="002A58B5"/>
    <w:rsid w:val="002B2114"/>
    <w:rsid w:val="002B2F2C"/>
    <w:rsid w:val="002B797E"/>
    <w:rsid w:val="002C538F"/>
    <w:rsid w:val="002C55AB"/>
    <w:rsid w:val="002D16D3"/>
    <w:rsid w:val="002D39D1"/>
    <w:rsid w:val="002D58E9"/>
    <w:rsid w:val="002E075B"/>
    <w:rsid w:val="002E13C6"/>
    <w:rsid w:val="002E146B"/>
    <w:rsid w:val="002E3A6A"/>
    <w:rsid w:val="002E5ACC"/>
    <w:rsid w:val="002E6E75"/>
    <w:rsid w:val="002E6F00"/>
    <w:rsid w:val="002E6F93"/>
    <w:rsid w:val="002F1C30"/>
    <w:rsid w:val="002F5144"/>
    <w:rsid w:val="002F7F5A"/>
    <w:rsid w:val="00300FF9"/>
    <w:rsid w:val="00303FF2"/>
    <w:rsid w:val="00305A71"/>
    <w:rsid w:val="00305C9C"/>
    <w:rsid w:val="003064E3"/>
    <w:rsid w:val="003079C5"/>
    <w:rsid w:val="00316059"/>
    <w:rsid w:val="003163AA"/>
    <w:rsid w:val="0031764A"/>
    <w:rsid w:val="00321A13"/>
    <w:rsid w:val="0032275C"/>
    <w:rsid w:val="003237CA"/>
    <w:rsid w:val="003253D0"/>
    <w:rsid w:val="00326075"/>
    <w:rsid w:val="003269CC"/>
    <w:rsid w:val="0033227C"/>
    <w:rsid w:val="003323D6"/>
    <w:rsid w:val="00335F76"/>
    <w:rsid w:val="00341ADA"/>
    <w:rsid w:val="00342DB4"/>
    <w:rsid w:val="00344B21"/>
    <w:rsid w:val="00351AF7"/>
    <w:rsid w:val="003537FB"/>
    <w:rsid w:val="003564C5"/>
    <w:rsid w:val="00361D7A"/>
    <w:rsid w:val="00363628"/>
    <w:rsid w:val="0037110E"/>
    <w:rsid w:val="00371DC5"/>
    <w:rsid w:val="0038150A"/>
    <w:rsid w:val="00382181"/>
    <w:rsid w:val="00384005"/>
    <w:rsid w:val="00390D6E"/>
    <w:rsid w:val="0039276D"/>
    <w:rsid w:val="0039504A"/>
    <w:rsid w:val="00395EDB"/>
    <w:rsid w:val="003967CB"/>
    <w:rsid w:val="003A2129"/>
    <w:rsid w:val="003A267D"/>
    <w:rsid w:val="003A4955"/>
    <w:rsid w:val="003A65E9"/>
    <w:rsid w:val="003B4CE2"/>
    <w:rsid w:val="003B753C"/>
    <w:rsid w:val="003C0E3E"/>
    <w:rsid w:val="003C1BC8"/>
    <w:rsid w:val="003C296F"/>
    <w:rsid w:val="003C300C"/>
    <w:rsid w:val="003D085B"/>
    <w:rsid w:val="003D0981"/>
    <w:rsid w:val="003E1018"/>
    <w:rsid w:val="003F553A"/>
    <w:rsid w:val="0040179C"/>
    <w:rsid w:val="00404442"/>
    <w:rsid w:val="00406B8C"/>
    <w:rsid w:val="00407884"/>
    <w:rsid w:val="00407D9A"/>
    <w:rsid w:val="00413CB2"/>
    <w:rsid w:val="00417294"/>
    <w:rsid w:val="004218D9"/>
    <w:rsid w:val="00423804"/>
    <w:rsid w:val="004239A3"/>
    <w:rsid w:val="00424BC0"/>
    <w:rsid w:val="00427A99"/>
    <w:rsid w:val="00430C74"/>
    <w:rsid w:val="00431037"/>
    <w:rsid w:val="00432A75"/>
    <w:rsid w:val="0043618E"/>
    <w:rsid w:val="004364E2"/>
    <w:rsid w:val="00440165"/>
    <w:rsid w:val="00441F8B"/>
    <w:rsid w:val="0044754F"/>
    <w:rsid w:val="00450F46"/>
    <w:rsid w:val="00451E79"/>
    <w:rsid w:val="00453E9E"/>
    <w:rsid w:val="00454F7B"/>
    <w:rsid w:val="00455E48"/>
    <w:rsid w:val="004562B1"/>
    <w:rsid w:val="0045772A"/>
    <w:rsid w:val="00457914"/>
    <w:rsid w:val="0046208F"/>
    <w:rsid w:val="00466C79"/>
    <w:rsid w:val="00466F74"/>
    <w:rsid w:val="004777F3"/>
    <w:rsid w:val="0048029C"/>
    <w:rsid w:val="00481E0A"/>
    <w:rsid w:val="00486493"/>
    <w:rsid w:val="00491794"/>
    <w:rsid w:val="00492272"/>
    <w:rsid w:val="004968F8"/>
    <w:rsid w:val="00496A5B"/>
    <w:rsid w:val="00496DCC"/>
    <w:rsid w:val="004A229F"/>
    <w:rsid w:val="004A2394"/>
    <w:rsid w:val="004A290F"/>
    <w:rsid w:val="004A5CAE"/>
    <w:rsid w:val="004B01EA"/>
    <w:rsid w:val="004B4F80"/>
    <w:rsid w:val="004B7103"/>
    <w:rsid w:val="004B7198"/>
    <w:rsid w:val="004C005E"/>
    <w:rsid w:val="004C1A8D"/>
    <w:rsid w:val="004C295E"/>
    <w:rsid w:val="004C5E09"/>
    <w:rsid w:val="004C6E5E"/>
    <w:rsid w:val="004C7E1E"/>
    <w:rsid w:val="004D0929"/>
    <w:rsid w:val="004D0C0D"/>
    <w:rsid w:val="004D38B3"/>
    <w:rsid w:val="004D5322"/>
    <w:rsid w:val="004D582D"/>
    <w:rsid w:val="004E32A1"/>
    <w:rsid w:val="004E330E"/>
    <w:rsid w:val="004E509F"/>
    <w:rsid w:val="004E7CBA"/>
    <w:rsid w:val="004F6639"/>
    <w:rsid w:val="004F7C23"/>
    <w:rsid w:val="0050323C"/>
    <w:rsid w:val="005039FD"/>
    <w:rsid w:val="00507174"/>
    <w:rsid w:val="0051461A"/>
    <w:rsid w:val="00515E80"/>
    <w:rsid w:val="005172AB"/>
    <w:rsid w:val="00517F59"/>
    <w:rsid w:val="00521E61"/>
    <w:rsid w:val="00522273"/>
    <w:rsid w:val="00524A00"/>
    <w:rsid w:val="00526673"/>
    <w:rsid w:val="0052752F"/>
    <w:rsid w:val="00532117"/>
    <w:rsid w:val="00532F3F"/>
    <w:rsid w:val="005333DB"/>
    <w:rsid w:val="005404A0"/>
    <w:rsid w:val="00554684"/>
    <w:rsid w:val="00554F0A"/>
    <w:rsid w:val="0055633F"/>
    <w:rsid w:val="0055748A"/>
    <w:rsid w:val="0056002B"/>
    <w:rsid w:val="00560EB5"/>
    <w:rsid w:val="00561277"/>
    <w:rsid w:val="00561C24"/>
    <w:rsid w:val="00563731"/>
    <w:rsid w:val="00565907"/>
    <w:rsid w:val="0056734F"/>
    <w:rsid w:val="005711AC"/>
    <w:rsid w:val="00572C77"/>
    <w:rsid w:val="00575F73"/>
    <w:rsid w:val="005826A7"/>
    <w:rsid w:val="00585CB5"/>
    <w:rsid w:val="00590B32"/>
    <w:rsid w:val="00592668"/>
    <w:rsid w:val="00593E14"/>
    <w:rsid w:val="005A0717"/>
    <w:rsid w:val="005A3DC6"/>
    <w:rsid w:val="005A4506"/>
    <w:rsid w:val="005A5F2B"/>
    <w:rsid w:val="005A78F3"/>
    <w:rsid w:val="005B0EC6"/>
    <w:rsid w:val="005B617F"/>
    <w:rsid w:val="005B6793"/>
    <w:rsid w:val="005C58F1"/>
    <w:rsid w:val="005D0184"/>
    <w:rsid w:val="005D2699"/>
    <w:rsid w:val="005D30B9"/>
    <w:rsid w:val="005D33AA"/>
    <w:rsid w:val="005D5C45"/>
    <w:rsid w:val="005D6D10"/>
    <w:rsid w:val="005D7108"/>
    <w:rsid w:val="005E0060"/>
    <w:rsid w:val="005E1300"/>
    <w:rsid w:val="005E1C5C"/>
    <w:rsid w:val="005E2C86"/>
    <w:rsid w:val="005E4D29"/>
    <w:rsid w:val="005E4DEC"/>
    <w:rsid w:val="005F0299"/>
    <w:rsid w:val="005F1184"/>
    <w:rsid w:val="005F1B78"/>
    <w:rsid w:val="005F4066"/>
    <w:rsid w:val="005F545B"/>
    <w:rsid w:val="005F689B"/>
    <w:rsid w:val="006010F7"/>
    <w:rsid w:val="0060268A"/>
    <w:rsid w:val="006030D2"/>
    <w:rsid w:val="00607760"/>
    <w:rsid w:val="00610894"/>
    <w:rsid w:val="00614624"/>
    <w:rsid w:val="00614A32"/>
    <w:rsid w:val="00617747"/>
    <w:rsid w:val="00617CD5"/>
    <w:rsid w:val="00621412"/>
    <w:rsid w:val="00621F67"/>
    <w:rsid w:val="00622CC7"/>
    <w:rsid w:val="00624083"/>
    <w:rsid w:val="00624D1C"/>
    <w:rsid w:val="00630D7D"/>
    <w:rsid w:val="00631C0B"/>
    <w:rsid w:val="00634211"/>
    <w:rsid w:val="00634BF7"/>
    <w:rsid w:val="006431AB"/>
    <w:rsid w:val="006454B0"/>
    <w:rsid w:val="006462CB"/>
    <w:rsid w:val="0065191C"/>
    <w:rsid w:val="00652EB7"/>
    <w:rsid w:val="00654F2E"/>
    <w:rsid w:val="006569A7"/>
    <w:rsid w:val="00661093"/>
    <w:rsid w:val="006648FC"/>
    <w:rsid w:val="006650C6"/>
    <w:rsid w:val="0067189B"/>
    <w:rsid w:val="00674401"/>
    <w:rsid w:val="00676F8A"/>
    <w:rsid w:val="00677445"/>
    <w:rsid w:val="00677F39"/>
    <w:rsid w:val="00681A37"/>
    <w:rsid w:val="00681AFF"/>
    <w:rsid w:val="00683FE9"/>
    <w:rsid w:val="00684A1A"/>
    <w:rsid w:val="0069154F"/>
    <w:rsid w:val="006918A6"/>
    <w:rsid w:val="006951C1"/>
    <w:rsid w:val="006A1428"/>
    <w:rsid w:val="006A4A48"/>
    <w:rsid w:val="006A59CC"/>
    <w:rsid w:val="006B07FD"/>
    <w:rsid w:val="006B4659"/>
    <w:rsid w:val="006B4C44"/>
    <w:rsid w:val="006B70B5"/>
    <w:rsid w:val="006C03A8"/>
    <w:rsid w:val="006C17D3"/>
    <w:rsid w:val="006C74E7"/>
    <w:rsid w:val="006C7846"/>
    <w:rsid w:val="006C7BBD"/>
    <w:rsid w:val="006D2FAD"/>
    <w:rsid w:val="006D411D"/>
    <w:rsid w:val="006D500F"/>
    <w:rsid w:val="006D6010"/>
    <w:rsid w:val="006D7CE1"/>
    <w:rsid w:val="006D7EED"/>
    <w:rsid w:val="006E307B"/>
    <w:rsid w:val="006E4C45"/>
    <w:rsid w:val="006E54E0"/>
    <w:rsid w:val="006E5C15"/>
    <w:rsid w:val="006E75C9"/>
    <w:rsid w:val="006E7C10"/>
    <w:rsid w:val="006F147A"/>
    <w:rsid w:val="006F4DF5"/>
    <w:rsid w:val="00701A96"/>
    <w:rsid w:val="007025A1"/>
    <w:rsid w:val="00702A49"/>
    <w:rsid w:val="0070433B"/>
    <w:rsid w:val="0070523E"/>
    <w:rsid w:val="00707D21"/>
    <w:rsid w:val="0071018D"/>
    <w:rsid w:val="00713234"/>
    <w:rsid w:val="0071378A"/>
    <w:rsid w:val="00713B69"/>
    <w:rsid w:val="00715C1F"/>
    <w:rsid w:val="00717813"/>
    <w:rsid w:val="00717C63"/>
    <w:rsid w:val="007209A8"/>
    <w:rsid w:val="00721F8C"/>
    <w:rsid w:val="00722BE4"/>
    <w:rsid w:val="007253FB"/>
    <w:rsid w:val="007257A6"/>
    <w:rsid w:val="00726558"/>
    <w:rsid w:val="00726662"/>
    <w:rsid w:val="00732B0A"/>
    <w:rsid w:val="00732F71"/>
    <w:rsid w:val="00736932"/>
    <w:rsid w:val="007446C7"/>
    <w:rsid w:val="00745265"/>
    <w:rsid w:val="0074614C"/>
    <w:rsid w:val="0074778E"/>
    <w:rsid w:val="00747FB7"/>
    <w:rsid w:val="00752423"/>
    <w:rsid w:val="00752E7C"/>
    <w:rsid w:val="007542BC"/>
    <w:rsid w:val="007542D9"/>
    <w:rsid w:val="00754D46"/>
    <w:rsid w:val="0075728E"/>
    <w:rsid w:val="007608F5"/>
    <w:rsid w:val="00761DAB"/>
    <w:rsid w:val="007638F5"/>
    <w:rsid w:val="00763AEA"/>
    <w:rsid w:val="0076475D"/>
    <w:rsid w:val="00766961"/>
    <w:rsid w:val="00770D93"/>
    <w:rsid w:val="00771D0E"/>
    <w:rsid w:val="00773057"/>
    <w:rsid w:val="007770ED"/>
    <w:rsid w:val="007779BA"/>
    <w:rsid w:val="00781F1A"/>
    <w:rsid w:val="00782768"/>
    <w:rsid w:val="00784040"/>
    <w:rsid w:val="0078410F"/>
    <w:rsid w:val="007906B4"/>
    <w:rsid w:val="0079089F"/>
    <w:rsid w:val="00791553"/>
    <w:rsid w:val="0079423F"/>
    <w:rsid w:val="0079623F"/>
    <w:rsid w:val="00796775"/>
    <w:rsid w:val="00797D2F"/>
    <w:rsid w:val="007A01BD"/>
    <w:rsid w:val="007A039C"/>
    <w:rsid w:val="007A4340"/>
    <w:rsid w:val="007A4B33"/>
    <w:rsid w:val="007A7856"/>
    <w:rsid w:val="007B0DBA"/>
    <w:rsid w:val="007B116B"/>
    <w:rsid w:val="007B1935"/>
    <w:rsid w:val="007C0AF6"/>
    <w:rsid w:val="007C2898"/>
    <w:rsid w:val="007C2EE2"/>
    <w:rsid w:val="007C5664"/>
    <w:rsid w:val="007C5D23"/>
    <w:rsid w:val="007C7E0F"/>
    <w:rsid w:val="007D3E94"/>
    <w:rsid w:val="007D4746"/>
    <w:rsid w:val="007D5367"/>
    <w:rsid w:val="007E0387"/>
    <w:rsid w:val="007E2AB0"/>
    <w:rsid w:val="007E423C"/>
    <w:rsid w:val="007E6F75"/>
    <w:rsid w:val="007E7F6E"/>
    <w:rsid w:val="007F516C"/>
    <w:rsid w:val="007F7595"/>
    <w:rsid w:val="00800CA9"/>
    <w:rsid w:val="008038E3"/>
    <w:rsid w:val="00805F45"/>
    <w:rsid w:val="0080615B"/>
    <w:rsid w:val="00810440"/>
    <w:rsid w:val="00813DFB"/>
    <w:rsid w:val="00814013"/>
    <w:rsid w:val="00816471"/>
    <w:rsid w:val="00817D13"/>
    <w:rsid w:val="00823C47"/>
    <w:rsid w:val="00833EA3"/>
    <w:rsid w:val="008346A9"/>
    <w:rsid w:val="0083707A"/>
    <w:rsid w:val="008370FD"/>
    <w:rsid w:val="0084371D"/>
    <w:rsid w:val="00845480"/>
    <w:rsid w:val="00845E14"/>
    <w:rsid w:val="00851B9B"/>
    <w:rsid w:val="00852B30"/>
    <w:rsid w:val="00855218"/>
    <w:rsid w:val="008567C9"/>
    <w:rsid w:val="00857B20"/>
    <w:rsid w:val="00862C96"/>
    <w:rsid w:val="00872321"/>
    <w:rsid w:val="00874BA0"/>
    <w:rsid w:val="008778D1"/>
    <w:rsid w:val="0088653A"/>
    <w:rsid w:val="00886D92"/>
    <w:rsid w:val="0089239B"/>
    <w:rsid w:val="00893653"/>
    <w:rsid w:val="00897289"/>
    <w:rsid w:val="008A354D"/>
    <w:rsid w:val="008A5C12"/>
    <w:rsid w:val="008B462B"/>
    <w:rsid w:val="008B742D"/>
    <w:rsid w:val="008B7770"/>
    <w:rsid w:val="008C18B4"/>
    <w:rsid w:val="008C34A3"/>
    <w:rsid w:val="008C3E78"/>
    <w:rsid w:val="008C5F32"/>
    <w:rsid w:val="008C6D0F"/>
    <w:rsid w:val="008D0A93"/>
    <w:rsid w:val="008D2D76"/>
    <w:rsid w:val="008D5169"/>
    <w:rsid w:val="008D6453"/>
    <w:rsid w:val="008D760C"/>
    <w:rsid w:val="008E013F"/>
    <w:rsid w:val="008E2500"/>
    <w:rsid w:val="008E5DE4"/>
    <w:rsid w:val="008F7218"/>
    <w:rsid w:val="00902D47"/>
    <w:rsid w:val="009046DC"/>
    <w:rsid w:val="009070C7"/>
    <w:rsid w:val="009159F3"/>
    <w:rsid w:val="00916C8E"/>
    <w:rsid w:val="0092087F"/>
    <w:rsid w:val="00920EC8"/>
    <w:rsid w:val="0092393E"/>
    <w:rsid w:val="00925223"/>
    <w:rsid w:val="00927C60"/>
    <w:rsid w:val="009314FA"/>
    <w:rsid w:val="00934C45"/>
    <w:rsid w:val="009357B6"/>
    <w:rsid w:val="00940D61"/>
    <w:rsid w:val="009415CD"/>
    <w:rsid w:val="0095097D"/>
    <w:rsid w:val="00950F2A"/>
    <w:rsid w:val="009513D8"/>
    <w:rsid w:val="00951BEF"/>
    <w:rsid w:val="0095397A"/>
    <w:rsid w:val="00954BDB"/>
    <w:rsid w:val="00954F95"/>
    <w:rsid w:val="009565B3"/>
    <w:rsid w:val="00957576"/>
    <w:rsid w:val="0096051E"/>
    <w:rsid w:val="0096092A"/>
    <w:rsid w:val="00961E84"/>
    <w:rsid w:val="009639BD"/>
    <w:rsid w:val="0096451B"/>
    <w:rsid w:val="0096459B"/>
    <w:rsid w:val="00966359"/>
    <w:rsid w:val="00967648"/>
    <w:rsid w:val="00967C02"/>
    <w:rsid w:val="00971E7C"/>
    <w:rsid w:val="00974362"/>
    <w:rsid w:val="00975C41"/>
    <w:rsid w:val="0098378E"/>
    <w:rsid w:val="0098386E"/>
    <w:rsid w:val="00986D90"/>
    <w:rsid w:val="00987AC3"/>
    <w:rsid w:val="00987E15"/>
    <w:rsid w:val="009907C0"/>
    <w:rsid w:val="00990F94"/>
    <w:rsid w:val="00994F19"/>
    <w:rsid w:val="009A324B"/>
    <w:rsid w:val="009A3C23"/>
    <w:rsid w:val="009A41E3"/>
    <w:rsid w:val="009A4455"/>
    <w:rsid w:val="009A579E"/>
    <w:rsid w:val="009A6FF3"/>
    <w:rsid w:val="009A7019"/>
    <w:rsid w:val="009A7254"/>
    <w:rsid w:val="009A7CFB"/>
    <w:rsid w:val="009A7F36"/>
    <w:rsid w:val="009B003A"/>
    <w:rsid w:val="009B1959"/>
    <w:rsid w:val="009B3B79"/>
    <w:rsid w:val="009C0E31"/>
    <w:rsid w:val="009C1873"/>
    <w:rsid w:val="009C3372"/>
    <w:rsid w:val="009C341A"/>
    <w:rsid w:val="009D002F"/>
    <w:rsid w:val="009D0A1F"/>
    <w:rsid w:val="009D1DDE"/>
    <w:rsid w:val="009D3155"/>
    <w:rsid w:val="009E33EE"/>
    <w:rsid w:val="009E5FE0"/>
    <w:rsid w:val="009F4C44"/>
    <w:rsid w:val="009F537D"/>
    <w:rsid w:val="009F6313"/>
    <w:rsid w:val="00A14751"/>
    <w:rsid w:val="00A2037C"/>
    <w:rsid w:val="00A22CEC"/>
    <w:rsid w:val="00A24E91"/>
    <w:rsid w:val="00A25DF2"/>
    <w:rsid w:val="00A25E0A"/>
    <w:rsid w:val="00A26B58"/>
    <w:rsid w:val="00A32D7F"/>
    <w:rsid w:val="00A369C1"/>
    <w:rsid w:val="00A408B6"/>
    <w:rsid w:val="00A45AB1"/>
    <w:rsid w:val="00A52780"/>
    <w:rsid w:val="00A54A0B"/>
    <w:rsid w:val="00A56177"/>
    <w:rsid w:val="00A56279"/>
    <w:rsid w:val="00A60442"/>
    <w:rsid w:val="00A62E8F"/>
    <w:rsid w:val="00A63381"/>
    <w:rsid w:val="00A64B5C"/>
    <w:rsid w:val="00A65C9A"/>
    <w:rsid w:val="00A66841"/>
    <w:rsid w:val="00A66B6D"/>
    <w:rsid w:val="00A74AC6"/>
    <w:rsid w:val="00A808FD"/>
    <w:rsid w:val="00A8130A"/>
    <w:rsid w:val="00A8241E"/>
    <w:rsid w:val="00A85DE9"/>
    <w:rsid w:val="00A92868"/>
    <w:rsid w:val="00A96D14"/>
    <w:rsid w:val="00AA68ED"/>
    <w:rsid w:val="00AB01BA"/>
    <w:rsid w:val="00AB0747"/>
    <w:rsid w:val="00AB0FEA"/>
    <w:rsid w:val="00AB234D"/>
    <w:rsid w:val="00AB68DE"/>
    <w:rsid w:val="00AC0B1C"/>
    <w:rsid w:val="00AD0B8B"/>
    <w:rsid w:val="00AD3CD4"/>
    <w:rsid w:val="00AD3E50"/>
    <w:rsid w:val="00AD4452"/>
    <w:rsid w:val="00AD75CF"/>
    <w:rsid w:val="00AD7724"/>
    <w:rsid w:val="00AE364F"/>
    <w:rsid w:val="00AE5CCE"/>
    <w:rsid w:val="00AE73BB"/>
    <w:rsid w:val="00AE7F5F"/>
    <w:rsid w:val="00AF1407"/>
    <w:rsid w:val="00AF1FF3"/>
    <w:rsid w:val="00AF2032"/>
    <w:rsid w:val="00AF2E9E"/>
    <w:rsid w:val="00AF3436"/>
    <w:rsid w:val="00AF42FD"/>
    <w:rsid w:val="00AF45B5"/>
    <w:rsid w:val="00AF5715"/>
    <w:rsid w:val="00AF67BB"/>
    <w:rsid w:val="00AF6E1B"/>
    <w:rsid w:val="00AF7876"/>
    <w:rsid w:val="00B00090"/>
    <w:rsid w:val="00B00546"/>
    <w:rsid w:val="00B1477F"/>
    <w:rsid w:val="00B15297"/>
    <w:rsid w:val="00B17DCE"/>
    <w:rsid w:val="00B24312"/>
    <w:rsid w:val="00B26A05"/>
    <w:rsid w:val="00B26F64"/>
    <w:rsid w:val="00B27676"/>
    <w:rsid w:val="00B27AD1"/>
    <w:rsid w:val="00B32260"/>
    <w:rsid w:val="00B34B9B"/>
    <w:rsid w:val="00B436DC"/>
    <w:rsid w:val="00B442FE"/>
    <w:rsid w:val="00B458A0"/>
    <w:rsid w:val="00B53B47"/>
    <w:rsid w:val="00B53F95"/>
    <w:rsid w:val="00B54A81"/>
    <w:rsid w:val="00B557A7"/>
    <w:rsid w:val="00B55A10"/>
    <w:rsid w:val="00B63FE3"/>
    <w:rsid w:val="00B64E77"/>
    <w:rsid w:val="00B65FCA"/>
    <w:rsid w:val="00B663E5"/>
    <w:rsid w:val="00B673DF"/>
    <w:rsid w:val="00B67C59"/>
    <w:rsid w:val="00B734D9"/>
    <w:rsid w:val="00B8019E"/>
    <w:rsid w:val="00B809F8"/>
    <w:rsid w:val="00B81005"/>
    <w:rsid w:val="00B82787"/>
    <w:rsid w:val="00B84186"/>
    <w:rsid w:val="00B866DB"/>
    <w:rsid w:val="00B9078C"/>
    <w:rsid w:val="00B93A4A"/>
    <w:rsid w:val="00BA2818"/>
    <w:rsid w:val="00BA3921"/>
    <w:rsid w:val="00BA5CA0"/>
    <w:rsid w:val="00BB0046"/>
    <w:rsid w:val="00BB2102"/>
    <w:rsid w:val="00BB28D5"/>
    <w:rsid w:val="00BB3357"/>
    <w:rsid w:val="00BC20B9"/>
    <w:rsid w:val="00BC37E2"/>
    <w:rsid w:val="00BC3A82"/>
    <w:rsid w:val="00BC433D"/>
    <w:rsid w:val="00BC4632"/>
    <w:rsid w:val="00BD04E8"/>
    <w:rsid w:val="00BD30B9"/>
    <w:rsid w:val="00BD365B"/>
    <w:rsid w:val="00BD465F"/>
    <w:rsid w:val="00BD588D"/>
    <w:rsid w:val="00BE20CF"/>
    <w:rsid w:val="00BE469F"/>
    <w:rsid w:val="00BE698E"/>
    <w:rsid w:val="00BE74E3"/>
    <w:rsid w:val="00BF24CA"/>
    <w:rsid w:val="00BF2D76"/>
    <w:rsid w:val="00BF372B"/>
    <w:rsid w:val="00BF4782"/>
    <w:rsid w:val="00BF47F1"/>
    <w:rsid w:val="00BF62AC"/>
    <w:rsid w:val="00C002C0"/>
    <w:rsid w:val="00C00F01"/>
    <w:rsid w:val="00C02478"/>
    <w:rsid w:val="00C03D46"/>
    <w:rsid w:val="00C04923"/>
    <w:rsid w:val="00C11720"/>
    <w:rsid w:val="00C11CFB"/>
    <w:rsid w:val="00C14F2E"/>
    <w:rsid w:val="00C1687E"/>
    <w:rsid w:val="00C20997"/>
    <w:rsid w:val="00C20A35"/>
    <w:rsid w:val="00C21BB3"/>
    <w:rsid w:val="00C269EB"/>
    <w:rsid w:val="00C27756"/>
    <w:rsid w:val="00C42133"/>
    <w:rsid w:val="00C430AA"/>
    <w:rsid w:val="00C43771"/>
    <w:rsid w:val="00C43FE4"/>
    <w:rsid w:val="00C634F1"/>
    <w:rsid w:val="00C635BD"/>
    <w:rsid w:val="00C70A91"/>
    <w:rsid w:val="00C70AF9"/>
    <w:rsid w:val="00C70B76"/>
    <w:rsid w:val="00C70EA6"/>
    <w:rsid w:val="00C7479D"/>
    <w:rsid w:val="00C756F2"/>
    <w:rsid w:val="00C76E3B"/>
    <w:rsid w:val="00C77802"/>
    <w:rsid w:val="00C83303"/>
    <w:rsid w:val="00C83CB5"/>
    <w:rsid w:val="00C84B64"/>
    <w:rsid w:val="00C85A7B"/>
    <w:rsid w:val="00C86150"/>
    <w:rsid w:val="00C9245A"/>
    <w:rsid w:val="00C94343"/>
    <w:rsid w:val="00CA08ED"/>
    <w:rsid w:val="00CA51C6"/>
    <w:rsid w:val="00CA5EE7"/>
    <w:rsid w:val="00CA7D4E"/>
    <w:rsid w:val="00CB616F"/>
    <w:rsid w:val="00CC008F"/>
    <w:rsid w:val="00CC2672"/>
    <w:rsid w:val="00CC37D1"/>
    <w:rsid w:val="00CC446B"/>
    <w:rsid w:val="00CC5416"/>
    <w:rsid w:val="00CD0E28"/>
    <w:rsid w:val="00CD5E6E"/>
    <w:rsid w:val="00CE0D77"/>
    <w:rsid w:val="00CE1526"/>
    <w:rsid w:val="00CE1EB1"/>
    <w:rsid w:val="00CF055E"/>
    <w:rsid w:val="00CF084F"/>
    <w:rsid w:val="00CF0F15"/>
    <w:rsid w:val="00CF42E8"/>
    <w:rsid w:val="00CF5197"/>
    <w:rsid w:val="00CF7F9E"/>
    <w:rsid w:val="00D0195B"/>
    <w:rsid w:val="00D03B8F"/>
    <w:rsid w:val="00D04136"/>
    <w:rsid w:val="00D100A4"/>
    <w:rsid w:val="00D106F7"/>
    <w:rsid w:val="00D137DF"/>
    <w:rsid w:val="00D13CE0"/>
    <w:rsid w:val="00D1429D"/>
    <w:rsid w:val="00D146BD"/>
    <w:rsid w:val="00D14EEB"/>
    <w:rsid w:val="00D17803"/>
    <w:rsid w:val="00D200EE"/>
    <w:rsid w:val="00D22042"/>
    <w:rsid w:val="00D2450A"/>
    <w:rsid w:val="00D25046"/>
    <w:rsid w:val="00D261B7"/>
    <w:rsid w:val="00D33981"/>
    <w:rsid w:val="00D37294"/>
    <w:rsid w:val="00D40B0A"/>
    <w:rsid w:val="00D458DE"/>
    <w:rsid w:val="00D463B7"/>
    <w:rsid w:val="00D51917"/>
    <w:rsid w:val="00D51BF1"/>
    <w:rsid w:val="00D527BE"/>
    <w:rsid w:val="00D52F91"/>
    <w:rsid w:val="00D56189"/>
    <w:rsid w:val="00D5677D"/>
    <w:rsid w:val="00D61DB9"/>
    <w:rsid w:val="00D64F64"/>
    <w:rsid w:val="00D66A49"/>
    <w:rsid w:val="00D66AF2"/>
    <w:rsid w:val="00D753FA"/>
    <w:rsid w:val="00D814B2"/>
    <w:rsid w:val="00D824C5"/>
    <w:rsid w:val="00D83C46"/>
    <w:rsid w:val="00D859B6"/>
    <w:rsid w:val="00D87729"/>
    <w:rsid w:val="00D8777D"/>
    <w:rsid w:val="00D90269"/>
    <w:rsid w:val="00D90439"/>
    <w:rsid w:val="00D916C7"/>
    <w:rsid w:val="00D93093"/>
    <w:rsid w:val="00D96EE6"/>
    <w:rsid w:val="00DA073C"/>
    <w:rsid w:val="00DA0976"/>
    <w:rsid w:val="00DA13D8"/>
    <w:rsid w:val="00DA3878"/>
    <w:rsid w:val="00DA6EFB"/>
    <w:rsid w:val="00DB02E9"/>
    <w:rsid w:val="00DB0FCD"/>
    <w:rsid w:val="00DB2609"/>
    <w:rsid w:val="00DB322C"/>
    <w:rsid w:val="00DB3A84"/>
    <w:rsid w:val="00DB4062"/>
    <w:rsid w:val="00DC5B43"/>
    <w:rsid w:val="00DD15E1"/>
    <w:rsid w:val="00DD19AC"/>
    <w:rsid w:val="00DD1B8A"/>
    <w:rsid w:val="00DD522E"/>
    <w:rsid w:val="00DE55CA"/>
    <w:rsid w:val="00DF3B1F"/>
    <w:rsid w:val="00DF3E69"/>
    <w:rsid w:val="00DF4E28"/>
    <w:rsid w:val="00DF65CA"/>
    <w:rsid w:val="00DF71A9"/>
    <w:rsid w:val="00E04CC4"/>
    <w:rsid w:val="00E056BF"/>
    <w:rsid w:val="00E10D06"/>
    <w:rsid w:val="00E12A23"/>
    <w:rsid w:val="00E12C98"/>
    <w:rsid w:val="00E13225"/>
    <w:rsid w:val="00E1408D"/>
    <w:rsid w:val="00E14778"/>
    <w:rsid w:val="00E155F3"/>
    <w:rsid w:val="00E172D4"/>
    <w:rsid w:val="00E22BBA"/>
    <w:rsid w:val="00E23A04"/>
    <w:rsid w:val="00E24623"/>
    <w:rsid w:val="00E24CB2"/>
    <w:rsid w:val="00E27698"/>
    <w:rsid w:val="00E300DA"/>
    <w:rsid w:val="00E305EA"/>
    <w:rsid w:val="00E32C90"/>
    <w:rsid w:val="00E33126"/>
    <w:rsid w:val="00E343CB"/>
    <w:rsid w:val="00E34C5E"/>
    <w:rsid w:val="00E375D4"/>
    <w:rsid w:val="00E37739"/>
    <w:rsid w:val="00E37AB2"/>
    <w:rsid w:val="00E407CF"/>
    <w:rsid w:val="00E42BF6"/>
    <w:rsid w:val="00E433CB"/>
    <w:rsid w:val="00E44A37"/>
    <w:rsid w:val="00E47B2D"/>
    <w:rsid w:val="00E47BBB"/>
    <w:rsid w:val="00E47BEF"/>
    <w:rsid w:val="00E47DBA"/>
    <w:rsid w:val="00E50748"/>
    <w:rsid w:val="00E51C49"/>
    <w:rsid w:val="00E534D7"/>
    <w:rsid w:val="00E53D1E"/>
    <w:rsid w:val="00E5514C"/>
    <w:rsid w:val="00E5590A"/>
    <w:rsid w:val="00E55BA7"/>
    <w:rsid w:val="00E61480"/>
    <w:rsid w:val="00E64A09"/>
    <w:rsid w:val="00E665D2"/>
    <w:rsid w:val="00E678CF"/>
    <w:rsid w:val="00E67988"/>
    <w:rsid w:val="00E7003F"/>
    <w:rsid w:val="00E7256C"/>
    <w:rsid w:val="00E73525"/>
    <w:rsid w:val="00E824D7"/>
    <w:rsid w:val="00E82989"/>
    <w:rsid w:val="00E866C3"/>
    <w:rsid w:val="00E90864"/>
    <w:rsid w:val="00E9194F"/>
    <w:rsid w:val="00E921B1"/>
    <w:rsid w:val="00E95169"/>
    <w:rsid w:val="00EA3A3A"/>
    <w:rsid w:val="00EA4694"/>
    <w:rsid w:val="00EA47AA"/>
    <w:rsid w:val="00EA51D1"/>
    <w:rsid w:val="00EB1409"/>
    <w:rsid w:val="00EB14F4"/>
    <w:rsid w:val="00EB33C0"/>
    <w:rsid w:val="00EB3E21"/>
    <w:rsid w:val="00EB5344"/>
    <w:rsid w:val="00EC2D01"/>
    <w:rsid w:val="00EC5B04"/>
    <w:rsid w:val="00EC6098"/>
    <w:rsid w:val="00ED042A"/>
    <w:rsid w:val="00ED07C2"/>
    <w:rsid w:val="00ED08E7"/>
    <w:rsid w:val="00ED1F0C"/>
    <w:rsid w:val="00ED2976"/>
    <w:rsid w:val="00ED2FCD"/>
    <w:rsid w:val="00ED48F9"/>
    <w:rsid w:val="00ED5763"/>
    <w:rsid w:val="00ED64B2"/>
    <w:rsid w:val="00ED659B"/>
    <w:rsid w:val="00EE52EA"/>
    <w:rsid w:val="00EE5765"/>
    <w:rsid w:val="00EE6705"/>
    <w:rsid w:val="00EF3F08"/>
    <w:rsid w:val="00EF4D9E"/>
    <w:rsid w:val="00EF5556"/>
    <w:rsid w:val="00EF6FB7"/>
    <w:rsid w:val="00F01059"/>
    <w:rsid w:val="00F010AF"/>
    <w:rsid w:val="00F02F11"/>
    <w:rsid w:val="00F03359"/>
    <w:rsid w:val="00F04586"/>
    <w:rsid w:val="00F05ED5"/>
    <w:rsid w:val="00F071E2"/>
    <w:rsid w:val="00F11755"/>
    <w:rsid w:val="00F13C04"/>
    <w:rsid w:val="00F16CC2"/>
    <w:rsid w:val="00F1720E"/>
    <w:rsid w:val="00F23026"/>
    <w:rsid w:val="00F238D7"/>
    <w:rsid w:val="00F25C53"/>
    <w:rsid w:val="00F3054C"/>
    <w:rsid w:val="00F32130"/>
    <w:rsid w:val="00F345D7"/>
    <w:rsid w:val="00F34EE1"/>
    <w:rsid w:val="00F35767"/>
    <w:rsid w:val="00F40798"/>
    <w:rsid w:val="00F40948"/>
    <w:rsid w:val="00F432DE"/>
    <w:rsid w:val="00F45D99"/>
    <w:rsid w:val="00F501A8"/>
    <w:rsid w:val="00F5152E"/>
    <w:rsid w:val="00F53A94"/>
    <w:rsid w:val="00F551D7"/>
    <w:rsid w:val="00F5521A"/>
    <w:rsid w:val="00F60BB1"/>
    <w:rsid w:val="00F61B15"/>
    <w:rsid w:val="00F627D5"/>
    <w:rsid w:val="00F62B5E"/>
    <w:rsid w:val="00F63966"/>
    <w:rsid w:val="00F64D5B"/>
    <w:rsid w:val="00F665F3"/>
    <w:rsid w:val="00F706B0"/>
    <w:rsid w:val="00F70AFB"/>
    <w:rsid w:val="00F73E50"/>
    <w:rsid w:val="00F744A1"/>
    <w:rsid w:val="00F74DD0"/>
    <w:rsid w:val="00F80903"/>
    <w:rsid w:val="00F81486"/>
    <w:rsid w:val="00F8301B"/>
    <w:rsid w:val="00F84ABC"/>
    <w:rsid w:val="00F84E53"/>
    <w:rsid w:val="00F86AD4"/>
    <w:rsid w:val="00F90F21"/>
    <w:rsid w:val="00F92E44"/>
    <w:rsid w:val="00F94203"/>
    <w:rsid w:val="00F95902"/>
    <w:rsid w:val="00F9640F"/>
    <w:rsid w:val="00FA0702"/>
    <w:rsid w:val="00FA28D3"/>
    <w:rsid w:val="00FA6C0F"/>
    <w:rsid w:val="00FB227C"/>
    <w:rsid w:val="00FB5E78"/>
    <w:rsid w:val="00FC6218"/>
    <w:rsid w:val="00FC71BB"/>
    <w:rsid w:val="00FC7A61"/>
    <w:rsid w:val="00FD1528"/>
    <w:rsid w:val="00FD3189"/>
    <w:rsid w:val="00FE0536"/>
    <w:rsid w:val="00FE4803"/>
    <w:rsid w:val="00FE562D"/>
    <w:rsid w:val="00FE60C2"/>
    <w:rsid w:val="00FE7374"/>
    <w:rsid w:val="00FF57B6"/>
    <w:rsid w:val="00FF6085"/>
    <w:rsid w:val="00FF6C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F607B"/>
  <w15:chartTrackingRefBased/>
  <w15:docId w15:val="{6C5C7DC4-3E2A-45C2-A7C2-6A4D3A92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3372"/>
    <w:pPr>
      <w:spacing w:line="360" w:lineRule="auto"/>
      <w:jc w:val="both"/>
    </w:pPr>
    <w:rPr>
      <w:rFonts w:ascii="Tahoma" w:eastAsia="Times New Roman" w:hAnsi="Tahoma"/>
      <w:sz w:val="26"/>
      <w:szCs w:val="26"/>
      <w:lang w:val="es-ES" w:eastAsia="es-MX"/>
    </w:rPr>
  </w:style>
  <w:style w:type="paragraph" w:styleId="Ttulo1">
    <w:name w:val="heading 1"/>
    <w:basedOn w:val="Normal"/>
    <w:next w:val="Normal"/>
    <w:link w:val="Ttulo1Car"/>
    <w:qFormat/>
    <w:rsid w:val="009C3372"/>
    <w:pPr>
      <w:keepNext/>
      <w:spacing w:before="240" w:after="60"/>
      <w:outlineLvl w:val="0"/>
    </w:pPr>
    <w:rPr>
      <w:b/>
      <w:bCs/>
      <w:kern w:val="32"/>
      <w:sz w:val="24"/>
      <w:szCs w:val="32"/>
      <w:lang w:val="x-none"/>
    </w:rPr>
  </w:style>
  <w:style w:type="paragraph" w:styleId="Ttulo9">
    <w:name w:val="heading 9"/>
    <w:basedOn w:val="Normal"/>
    <w:next w:val="Normal"/>
    <w:link w:val="Ttulo9Car"/>
    <w:qFormat/>
    <w:rsid w:val="009C3372"/>
    <w:pPr>
      <w:keepNext/>
      <w:overflowPunct w:val="0"/>
      <w:autoSpaceDE w:val="0"/>
      <w:autoSpaceDN w:val="0"/>
      <w:adjustRightInd w:val="0"/>
      <w:jc w:val="center"/>
      <w:outlineLvl w:val="8"/>
    </w:pPr>
    <w:rPr>
      <w:rFonts w:ascii="Bookman Old Style" w:hAnsi="Bookman Old Style"/>
      <w:b/>
      <w:sz w:val="24"/>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9C3372"/>
    <w:rPr>
      <w:rFonts w:ascii="Tahoma" w:eastAsia="Times New Roman" w:hAnsi="Tahoma" w:cs="Arial"/>
      <w:b/>
      <w:bCs/>
      <w:kern w:val="32"/>
      <w:sz w:val="24"/>
      <w:szCs w:val="32"/>
      <w:lang w:eastAsia="es-MX"/>
    </w:rPr>
  </w:style>
  <w:style w:type="character" w:customStyle="1" w:styleId="Ttulo9Car">
    <w:name w:val="Título 9 Car"/>
    <w:link w:val="Ttulo9"/>
    <w:rsid w:val="009C3372"/>
    <w:rPr>
      <w:rFonts w:ascii="Bookman Old Style" w:eastAsia="Times New Roman" w:hAnsi="Bookman Old Style" w:cs="Times New Roman"/>
      <w:b/>
      <w:sz w:val="24"/>
      <w:szCs w:val="26"/>
      <w:lang w:eastAsia="es-MX"/>
    </w:rPr>
  </w:style>
  <w:style w:type="paragraph" w:styleId="Piedepgina">
    <w:name w:val="footer"/>
    <w:link w:val="PiedepginaCar"/>
    <w:autoRedefine/>
    <w:rsid w:val="00AB0FEA"/>
    <w:pPr>
      <w:tabs>
        <w:tab w:val="center" w:pos="4252"/>
        <w:tab w:val="right" w:pos="8504"/>
      </w:tabs>
      <w:overflowPunct w:val="0"/>
      <w:autoSpaceDE w:val="0"/>
      <w:autoSpaceDN w:val="0"/>
      <w:adjustRightInd w:val="0"/>
      <w:jc w:val="right"/>
      <w:textAlignment w:val="baseline"/>
    </w:pPr>
    <w:rPr>
      <w:rFonts w:ascii="Courier New" w:eastAsia="Times New Roman" w:hAnsi="Courier New"/>
      <w:sz w:val="16"/>
      <w:lang w:val="es-ES" w:eastAsia="es-ES"/>
    </w:rPr>
  </w:style>
  <w:style w:type="character" w:customStyle="1" w:styleId="PiedepginaCar">
    <w:name w:val="Pie de página Car"/>
    <w:link w:val="Piedepgina"/>
    <w:rsid w:val="00AB0FEA"/>
    <w:rPr>
      <w:rFonts w:ascii="Courier New" w:eastAsia="Times New Roman" w:hAnsi="Courier New"/>
      <w:sz w:val="16"/>
    </w:rPr>
  </w:style>
  <w:style w:type="character" w:customStyle="1" w:styleId="Nombreprincipal">
    <w:name w:val="Nombre principal"/>
    <w:rsid w:val="009C3372"/>
    <w:rPr>
      <w:rFonts w:ascii="Tahoma" w:hAnsi="Tahoma"/>
      <w:b/>
      <w:smallCaps/>
      <w:sz w:val="22"/>
    </w:rPr>
  </w:style>
  <w:style w:type="character" w:customStyle="1" w:styleId="Algerian">
    <w:name w:val="Algerian"/>
    <w:rsid w:val="009C3372"/>
    <w:rPr>
      <w:rFonts w:ascii="Algerian" w:hAnsi="Algerian"/>
      <w:sz w:val="30"/>
    </w:rPr>
  </w:style>
  <w:style w:type="paragraph" w:styleId="Encabezado">
    <w:name w:val="header"/>
    <w:basedOn w:val="Normal"/>
    <w:link w:val="EncabezadoCar"/>
    <w:rsid w:val="009C3372"/>
    <w:pPr>
      <w:tabs>
        <w:tab w:val="center" w:pos="4252"/>
        <w:tab w:val="right" w:pos="8504"/>
      </w:tabs>
    </w:pPr>
    <w:rPr>
      <w:lang w:val="x-none"/>
    </w:rPr>
  </w:style>
  <w:style w:type="character" w:customStyle="1" w:styleId="EncabezadoCar">
    <w:name w:val="Encabezado Car"/>
    <w:link w:val="Encabezado"/>
    <w:rsid w:val="009C3372"/>
    <w:rPr>
      <w:rFonts w:ascii="Tahoma" w:eastAsia="Times New Roman" w:hAnsi="Tahoma" w:cs="Times New Roman"/>
      <w:sz w:val="26"/>
      <w:szCs w:val="26"/>
      <w:lang w:eastAsia="es-MX"/>
    </w:rPr>
  </w:style>
  <w:style w:type="paragraph" w:styleId="Textoindependiente2">
    <w:name w:val="Body Text 2"/>
    <w:basedOn w:val="Normal"/>
    <w:link w:val="Textoindependiente2Car"/>
    <w:semiHidden/>
    <w:rsid w:val="009C3372"/>
    <w:pPr>
      <w:overflowPunct w:val="0"/>
      <w:autoSpaceDE w:val="0"/>
      <w:autoSpaceDN w:val="0"/>
      <w:adjustRightInd w:val="0"/>
    </w:pPr>
    <w:rPr>
      <w:rFonts w:ascii="Bookman Old Style" w:hAnsi="Bookman Old Style"/>
      <w:sz w:val="24"/>
      <w:lang w:val="es-CO"/>
    </w:rPr>
  </w:style>
  <w:style w:type="character" w:customStyle="1" w:styleId="Textoindependiente2Car">
    <w:name w:val="Texto independiente 2 Car"/>
    <w:link w:val="Textoindependiente2"/>
    <w:semiHidden/>
    <w:rsid w:val="009C3372"/>
    <w:rPr>
      <w:rFonts w:ascii="Bookman Old Style" w:eastAsia="Times New Roman" w:hAnsi="Bookman Old Style" w:cs="Times New Roman"/>
      <w:sz w:val="24"/>
      <w:szCs w:val="26"/>
      <w:lang w:val="es-CO" w:eastAsia="es-MX"/>
    </w:rPr>
  </w:style>
  <w:style w:type="paragraph" w:customStyle="1" w:styleId="Tablaidentificadora">
    <w:name w:val="Tabla identificadora"/>
    <w:basedOn w:val="Normal"/>
    <w:uiPriority w:val="99"/>
    <w:rsid w:val="009C3372"/>
    <w:pPr>
      <w:spacing w:line="240" w:lineRule="auto"/>
    </w:pPr>
    <w:rPr>
      <w:sz w:val="24"/>
    </w:rPr>
  </w:style>
  <w:style w:type="character" w:customStyle="1" w:styleId="Numeracinttulo">
    <w:name w:val="Numeración título"/>
    <w:rsid w:val="009C3372"/>
    <w:rPr>
      <w:rFonts w:ascii="Tahoma" w:hAnsi="Tahoma"/>
      <w:b/>
      <w:sz w:val="24"/>
    </w:rPr>
  </w:style>
  <w:style w:type="paragraph" w:customStyle="1" w:styleId="AlgerianTtulo">
    <w:name w:val="Algerian Título"/>
    <w:next w:val="Normal"/>
    <w:link w:val="AlgerianTtuloCar"/>
    <w:rsid w:val="009C3372"/>
    <w:pPr>
      <w:tabs>
        <w:tab w:val="left" w:pos="1202"/>
      </w:tabs>
      <w:spacing w:line="360" w:lineRule="auto"/>
      <w:jc w:val="both"/>
    </w:pPr>
    <w:rPr>
      <w:rFonts w:ascii="Algerian" w:eastAsia="Tahoma" w:hAnsi="Algerian" w:cs="Tahoma"/>
      <w:sz w:val="30"/>
      <w:szCs w:val="26"/>
      <w:lang w:val="es-ES" w:eastAsia="es-ES"/>
    </w:rPr>
  </w:style>
  <w:style w:type="character" w:customStyle="1" w:styleId="AlgerianTtuloCar">
    <w:name w:val="Algerian Título Car"/>
    <w:link w:val="AlgerianTtulo"/>
    <w:rsid w:val="009C3372"/>
    <w:rPr>
      <w:rFonts w:ascii="Algerian" w:eastAsia="Tahoma" w:hAnsi="Algerian" w:cs="Tahoma"/>
      <w:sz w:val="30"/>
      <w:szCs w:val="26"/>
      <w:lang w:val="es-ES" w:eastAsia="es-ES" w:bidi="ar-SA"/>
    </w:rPr>
  </w:style>
  <w:style w:type="paragraph" w:styleId="Textoindependiente3">
    <w:name w:val="Body Text 3"/>
    <w:basedOn w:val="Normal"/>
    <w:link w:val="Textoindependiente3Car"/>
    <w:uiPriority w:val="99"/>
    <w:rsid w:val="00852B30"/>
    <w:pPr>
      <w:spacing w:after="120"/>
    </w:pPr>
    <w:rPr>
      <w:sz w:val="16"/>
      <w:szCs w:val="16"/>
    </w:rPr>
  </w:style>
  <w:style w:type="character" w:customStyle="1" w:styleId="Textoindependiente3Car">
    <w:name w:val="Texto independiente 3 Car"/>
    <w:link w:val="Textoindependiente3"/>
    <w:uiPriority w:val="99"/>
    <w:rsid w:val="00852B30"/>
    <w:rPr>
      <w:rFonts w:ascii="Tahoma" w:eastAsia="Times New Roman" w:hAnsi="Tahoma"/>
      <w:sz w:val="16"/>
      <w:szCs w:val="16"/>
      <w:lang w:val="es-ES" w:eastAsia="es-MX"/>
    </w:rPr>
  </w:style>
  <w:style w:type="paragraph" w:styleId="Textonotapie">
    <w:name w:val="footnote text"/>
    <w:aliases w:val="Footnote Text Char Char Char Char Char,Footnote Text Char Char Char Char,Footnote reference,FA Fu,Ref. de nota al pie1,Texto de nota al pie,Footnotes refss,Appel note de bas de page,referencia nota al pie,Footnote number,BVI fnr,f"/>
    <w:basedOn w:val="Normal"/>
    <w:link w:val="TextonotapieCar"/>
    <w:autoRedefine/>
    <w:uiPriority w:val="99"/>
    <w:qFormat/>
    <w:rsid w:val="00634BF7"/>
    <w:pPr>
      <w:overflowPunct w:val="0"/>
      <w:autoSpaceDE w:val="0"/>
      <w:autoSpaceDN w:val="0"/>
      <w:adjustRightInd w:val="0"/>
      <w:spacing w:line="240" w:lineRule="auto"/>
      <w:textAlignment w:val="baseline"/>
    </w:pPr>
    <w:rPr>
      <w:rFonts w:ascii="Arial" w:hAnsi="Arial" w:cs="Arial"/>
      <w:sz w:val="16"/>
      <w:szCs w:val="20"/>
      <w:lang w:eastAsia="es-ES"/>
    </w:rPr>
  </w:style>
  <w:style w:type="character" w:customStyle="1" w:styleId="TextonotapieCar">
    <w:name w:val="Texto nota pie Car"/>
    <w:aliases w:val="Footnote Text Char Char Char Char Char Car,Footnote Text Char Char Char Char Car,Footnote reference Car,FA Fu Car,Ref. de nota al pie1 Car,Texto de nota al pie Car,Footnotes refss Car,Appel note de bas de page Car,Footnote number Car"/>
    <w:link w:val="Textonotapie"/>
    <w:uiPriority w:val="99"/>
    <w:rsid w:val="00634BF7"/>
    <w:rPr>
      <w:rFonts w:ascii="Arial" w:eastAsia="Times New Roman" w:hAnsi="Arial" w:cs="Arial"/>
      <w:sz w:val="16"/>
      <w:lang w:val="es-ES" w:eastAsia="es-ES"/>
    </w:rPr>
  </w:style>
  <w:style w:type="character" w:styleId="Refdenotaalpie">
    <w:name w:val="footnote reference"/>
    <w:aliases w:val="FC,Footnote symbol,Footnote,Ref. de nota al pie2,Nota de pie,Ref,de nota al pie,Pie de pagina,Ref. ...,Ref1,4_G,16 Point,Ref. de nota al pie 2,R,F,Fago Fußnotenzeichen,Pie de Página,Superscript 6 Point,FZ,4"/>
    <w:link w:val="4GChar"/>
    <w:qFormat/>
    <w:rsid w:val="00081DEC"/>
    <w:rPr>
      <w:rFonts w:ascii="Verdana" w:hAnsi="Verdana"/>
      <w:sz w:val="20"/>
      <w:vertAlign w:val="superscript"/>
    </w:rPr>
  </w:style>
  <w:style w:type="paragraph" w:styleId="Textonotaalfinal">
    <w:name w:val="endnote text"/>
    <w:basedOn w:val="Normal"/>
    <w:link w:val="TextonotaalfinalCar"/>
    <w:uiPriority w:val="99"/>
    <w:semiHidden/>
    <w:unhideWhenUsed/>
    <w:rsid w:val="009A6FF3"/>
    <w:rPr>
      <w:sz w:val="20"/>
      <w:szCs w:val="20"/>
    </w:rPr>
  </w:style>
  <w:style w:type="character" w:customStyle="1" w:styleId="TextonotaalfinalCar">
    <w:name w:val="Texto nota al final Car"/>
    <w:link w:val="Textonotaalfinal"/>
    <w:uiPriority w:val="99"/>
    <w:semiHidden/>
    <w:rsid w:val="009A6FF3"/>
    <w:rPr>
      <w:rFonts w:ascii="Tahoma" w:eastAsia="Times New Roman" w:hAnsi="Tahoma"/>
      <w:lang w:val="es-ES" w:eastAsia="es-MX"/>
    </w:rPr>
  </w:style>
  <w:style w:type="character" w:styleId="Refdenotaalfinal">
    <w:name w:val="endnote reference"/>
    <w:uiPriority w:val="99"/>
    <w:semiHidden/>
    <w:unhideWhenUsed/>
    <w:rsid w:val="009A6FF3"/>
    <w:rPr>
      <w:vertAlign w:val="superscript"/>
    </w:rPr>
  </w:style>
  <w:style w:type="paragraph" w:customStyle="1" w:styleId="Puesto">
    <w:name w:val="Puesto"/>
    <w:basedOn w:val="Normal"/>
    <w:link w:val="PuestoCar"/>
    <w:qFormat/>
    <w:rsid w:val="00AB234D"/>
    <w:pPr>
      <w:spacing w:line="240" w:lineRule="auto"/>
      <w:jc w:val="center"/>
    </w:pPr>
    <w:rPr>
      <w:rFonts w:ascii="Arial" w:hAnsi="Arial"/>
      <w:sz w:val="28"/>
      <w:szCs w:val="20"/>
      <w:lang w:val="es-CO" w:eastAsia="es-ES"/>
    </w:rPr>
  </w:style>
  <w:style w:type="character" w:customStyle="1" w:styleId="PuestoCar">
    <w:name w:val="Puesto Car"/>
    <w:link w:val="Puesto"/>
    <w:rsid w:val="00AB234D"/>
    <w:rPr>
      <w:rFonts w:ascii="Arial" w:eastAsia="Times New Roman" w:hAnsi="Arial"/>
      <w:sz w:val="28"/>
      <w:lang w:eastAsia="es-ES"/>
    </w:rPr>
  </w:style>
  <w:style w:type="paragraph" w:styleId="Textodeglobo">
    <w:name w:val="Balloon Text"/>
    <w:basedOn w:val="Normal"/>
    <w:link w:val="TextodegloboCar"/>
    <w:uiPriority w:val="99"/>
    <w:semiHidden/>
    <w:unhideWhenUsed/>
    <w:rsid w:val="0038150A"/>
    <w:pPr>
      <w:spacing w:line="240" w:lineRule="auto"/>
    </w:pPr>
    <w:rPr>
      <w:rFonts w:ascii="Segoe UI" w:hAnsi="Segoe UI" w:cs="Segoe UI"/>
      <w:sz w:val="18"/>
      <w:szCs w:val="18"/>
    </w:rPr>
  </w:style>
  <w:style w:type="character" w:customStyle="1" w:styleId="TextodegloboCar">
    <w:name w:val="Texto de globo Car"/>
    <w:link w:val="Textodeglobo"/>
    <w:uiPriority w:val="99"/>
    <w:semiHidden/>
    <w:rsid w:val="0038150A"/>
    <w:rPr>
      <w:rFonts w:ascii="Segoe UI" w:eastAsia="Times New Roman" w:hAnsi="Segoe UI" w:cs="Segoe UI"/>
      <w:sz w:val="18"/>
      <w:szCs w:val="18"/>
      <w:lang w:val="es-ES" w:eastAsia="es-MX"/>
    </w:rPr>
  </w:style>
  <w:style w:type="character" w:customStyle="1" w:styleId="TtuloCar">
    <w:name w:val="Título Car"/>
    <w:rsid w:val="0079423F"/>
    <w:rPr>
      <w:rFonts w:ascii="Arial" w:eastAsia="Times New Roman" w:hAnsi="Arial" w:cs="Times New Roman"/>
      <w:b/>
      <w:sz w:val="28"/>
      <w:szCs w:val="20"/>
      <w:lang w:val="es-ES_tradnl" w:eastAsia="es-ES"/>
    </w:rPr>
  </w:style>
  <w:style w:type="paragraph" w:styleId="Sangradetextonormal">
    <w:name w:val="Body Text Indent"/>
    <w:basedOn w:val="Normal"/>
    <w:link w:val="SangradetextonormalCar"/>
    <w:uiPriority w:val="99"/>
    <w:unhideWhenUsed/>
    <w:rsid w:val="0079423F"/>
    <w:pPr>
      <w:spacing w:after="120"/>
      <w:ind w:left="283"/>
    </w:pPr>
  </w:style>
  <w:style w:type="character" w:customStyle="1" w:styleId="SangradetextonormalCar">
    <w:name w:val="Sangría de texto normal Car"/>
    <w:link w:val="Sangradetextonormal"/>
    <w:uiPriority w:val="99"/>
    <w:rsid w:val="0079423F"/>
    <w:rPr>
      <w:rFonts w:ascii="Tahoma" w:eastAsia="Times New Roman" w:hAnsi="Tahoma"/>
      <w:sz w:val="26"/>
      <w:szCs w:val="26"/>
      <w:lang w:val="es-ES" w:eastAsia="es-MX"/>
    </w:rPr>
  </w:style>
  <w:style w:type="character" w:styleId="Hipervnculo">
    <w:name w:val="Hyperlink"/>
    <w:uiPriority w:val="99"/>
    <w:semiHidden/>
    <w:unhideWhenUsed/>
    <w:rsid w:val="00D96EE6"/>
    <w:rPr>
      <w:color w:val="0000FF"/>
      <w:u w:val="single"/>
    </w:rPr>
  </w:style>
  <w:style w:type="paragraph" w:styleId="Prrafodelista">
    <w:name w:val="List Paragraph"/>
    <w:basedOn w:val="Normal"/>
    <w:uiPriority w:val="34"/>
    <w:qFormat/>
    <w:rsid w:val="0075728E"/>
    <w:pPr>
      <w:spacing w:after="160" w:line="256" w:lineRule="auto"/>
      <w:ind w:left="720"/>
      <w:contextualSpacing/>
      <w:jc w:val="left"/>
    </w:pPr>
    <w:rPr>
      <w:rFonts w:ascii="Verdana" w:eastAsia="Verdana" w:hAnsi="Verdana"/>
      <w:sz w:val="22"/>
      <w:szCs w:val="22"/>
      <w:lang w:val="es-CO"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3079C5"/>
    <w:pPr>
      <w:spacing w:line="240" w:lineRule="auto"/>
    </w:pPr>
    <w:rPr>
      <w:rFonts w:ascii="Verdana" w:eastAsia="Calibri" w:hAnsi="Verdana"/>
      <w:sz w:val="20"/>
      <w:szCs w:val="20"/>
      <w:vertAlign w:val="superscript"/>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716359">
      <w:bodyDiv w:val="1"/>
      <w:marLeft w:val="0"/>
      <w:marRight w:val="0"/>
      <w:marTop w:val="0"/>
      <w:marBottom w:val="0"/>
      <w:divBdr>
        <w:top w:val="none" w:sz="0" w:space="0" w:color="auto"/>
        <w:left w:val="none" w:sz="0" w:space="0" w:color="auto"/>
        <w:bottom w:val="none" w:sz="0" w:space="0" w:color="auto"/>
        <w:right w:val="none" w:sz="0" w:space="0" w:color="auto"/>
      </w:divBdr>
    </w:div>
    <w:div w:id="349182132">
      <w:bodyDiv w:val="1"/>
      <w:marLeft w:val="0"/>
      <w:marRight w:val="0"/>
      <w:marTop w:val="0"/>
      <w:marBottom w:val="0"/>
      <w:divBdr>
        <w:top w:val="none" w:sz="0" w:space="0" w:color="auto"/>
        <w:left w:val="none" w:sz="0" w:space="0" w:color="auto"/>
        <w:bottom w:val="none" w:sz="0" w:space="0" w:color="auto"/>
        <w:right w:val="none" w:sz="0" w:space="0" w:color="auto"/>
      </w:divBdr>
    </w:div>
    <w:div w:id="659238588">
      <w:bodyDiv w:val="1"/>
      <w:marLeft w:val="0"/>
      <w:marRight w:val="0"/>
      <w:marTop w:val="0"/>
      <w:marBottom w:val="0"/>
      <w:divBdr>
        <w:top w:val="none" w:sz="0" w:space="0" w:color="auto"/>
        <w:left w:val="none" w:sz="0" w:space="0" w:color="auto"/>
        <w:bottom w:val="none" w:sz="0" w:space="0" w:color="auto"/>
        <w:right w:val="none" w:sz="0" w:space="0" w:color="auto"/>
      </w:divBdr>
    </w:div>
    <w:div w:id="1006522404">
      <w:bodyDiv w:val="1"/>
      <w:marLeft w:val="0"/>
      <w:marRight w:val="0"/>
      <w:marTop w:val="0"/>
      <w:marBottom w:val="0"/>
      <w:divBdr>
        <w:top w:val="none" w:sz="0" w:space="0" w:color="auto"/>
        <w:left w:val="none" w:sz="0" w:space="0" w:color="auto"/>
        <w:bottom w:val="none" w:sz="0" w:space="0" w:color="auto"/>
        <w:right w:val="none" w:sz="0" w:space="0" w:color="auto"/>
      </w:divBdr>
    </w:div>
    <w:div w:id="1554349872">
      <w:bodyDiv w:val="1"/>
      <w:marLeft w:val="0"/>
      <w:marRight w:val="0"/>
      <w:marTop w:val="0"/>
      <w:marBottom w:val="0"/>
      <w:divBdr>
        <w:top w:val="none" w:sz="0" w:space="0" w:color="auto"/>
        <w:left w:val="none" w:sz="0" w:space="0" w:color="auto"/>
        <w:bottom w:val="none" w:sz="0" w:space="0" w:color="auto"/>
        <w:right w:val="none" w:sz="0" w:space="0" w:color="auto"/>
      </w:divBdr>
    </w:div>
    <w:div w:id="1610622361">
      <w:bodyDiv w:val="1"/>
      <w:marLeft w:val="0"/>
      <w:marRight w:val="0"/>
      <w:marTop w:val="0"/>
      <w:marBottom w:val="0"/>
      <w:divBdr>
        <w:top w:val="none" w:sz="0" w:space="0" w:color="auto"/>
        <w:left w:val="none" w:sz="0" w:space="0" w:color="auto"/>
        <w:bottom w:val="none" w:sz="0" w:space="0" w:color="auto"/>
        <w:right w:val="none" w:sz="0" w:space="0" w:color="auto"/>
      </w:divBdr>
      <w:divsChild>
        <w:div w:id="122965674">
          <w:marLeft w:val="0"/>
          <w:marRight w:val="0"/>
          <w:marTop w:val="0"/>
          <w:marBottom w:val="0"/>
          <w:divBdr>
            <w:top w:val="none" w:sz="0" w:space="0" w:color="auto"/>
            <w:left w:val="none" w:sz="0" w:space="0" w:color="auto"/>
            <w:bottom w:val="none" w:sz="0" w:space="0" w:color="auto"/>
            <w:right w:val="none" w:sz="0" w:space="0" w:color="auto"/>
          </w:divBdr>
        </w:div>
        <w:div w:id="860553356">
          <w:marLeft w:val="0"/>
          <w:marRight w:val="0"/>
          <w:marTop w:val="0"/>
          <w:marBottom w:val="0"/>
          <w:divBdr>
            <w:top w:val="none" w:sz="0" w:space="0" w:color="auto"/>
            <w:left w:val="none" w:sz="0" w:space="0" w:color="auto"/>
            <w:bottom w:val="none" w:sz="0" w:space="0" w:color="auto"/>
            <w:right w:val="none" w:sz="0" w:space="0" w:color="auto"/>
          </w:divBdr>
        </w:div>
        <w:div w:id="1752769965">
          <w:marLeft w:val="0"/>
          <w:marRight w:val="0"/>
          <w:marTop w:val="0"/>
          <w:marBottom w:val="0"/>
          <w:divBdr>
            <w:top w:val="none" w:sz="0" w:space="0" w:color="auto"/>
            <w:left w:val="none" w:sz="0" w:space="0" w:color="auto"/>
            <w:bottom w:val="none" w:sz="0" w:space="0" w:color="auto"/>
            <w:right w:val="none" w:sz="0" w:space="0" w:color="auto"/>
          </w:divBdr>
        </w:div>
      </w:divsChild>
    </w:div>
    <w:div w:id="1980260329">
      <w:bodyDiv w:val="1"/>
      <w:marLeft w:val="0"/>
      <w:marRight w:val="0"/>
      <w:marTop w:val="0"/>
      <w:marBottom w:val="0"/>
      <w:divBdr>
        <w:top w:val="none" w:sz="0" w:space="0" w:color="auto"/>
        <w:left w:val="none" w:sz="0" w:space="0" w:color="auto"/>
        <w:bottom w:val="none" w:sz="0" w:space="0" w:color="auto"/>
        <w:right w:val="none" w:sz="0" w:space="0" w:color="auto"/>
      </w:divBdr>
    </w:div>
    <w:div w:id="20176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cretariasenado.gov.co/senado/basedoc/ley_0599_2000_pr002.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ley_0599_2000_pr003.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cretariasenado.gov.co/senado/basedoc/ley_0599_2000.html" TargetMode="External"/><Relationship Id="rId4" Type="http://schemas.openxmlformats.org/officeDocument/2006/relationships/settings" Target="settings.xml"/><Relationship Id="rId9" Type="http://schemas.openxmlformats.org/officeDocument/2006/relationships/hyperlink" Target="https://leyes.co/constitucion/122.htm"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2A559-C1A5-494F-8C15-B6C81E380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9081</Words>
  <Characters>49946</Characters>
  <Application>Microsoft Office Word</Application>
  <DocSecurity>0</DocSecurity>
  <Lines>416</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58910</CharactersWithSpaces>
  <SharedDoc>false</SharedDoc>
  <HLinks>
    <vt:vector size="24" baseType="variant">
      <vt:variant>
        <vt:i4>1704041</vt:i4>
      </vt:variant>
      <vt:variant>
        <vt:i4>9</vt:i4>
      </vt:variant>
      <vt:variant>
        <vt:i4>0</vt:i4>
      </vt:variant>
      <vt:variant>
        <vt:i4>5</vt:i4>
      </vt:variant>
      <vt:variant>
        <vt:lpwstr>http://www.secretariasenado.gov.co/senado/basedoc/ley_0599_2000_pr002.html</vt:lpwstr>
      </vt:variant>
      <vt:variant>
        <vt:lpwstr>68A</vt:lpwstr>
      </vt:variant>
      <vt:variant>
        <vt:i4>1179759</vt:i4>
      </vt:variant>
      <vt:variant>
        <vt:i4>6</vt:i4>
      </vt:variant>
      <vt:variant>
        <vt:i4>0</vt:i4>
      </vt:variant>
      <vt:variant>
        <vt:i4>5</vt:i4>
      </vt:variant>
      <vt:variant>
        <vt:lpwstr>http://www.secretariasenado.gov.co/senado/basedoc/ley_0599_2000_pr003.html</vt:lpwstr>
      </vt:variant>
      <vt:variant>
        <vt:lpwstr>104</vt:lpwstr>
      </vt:variant>
      <vt:variant>
        <vt:i4>720927</vt:i4>
      </vt:variant>
      <vt:variant>
        <vt:i4>3</vt:i4>
      </vt:variant>
      <vt:variant>
        <vt:i4>0</vt:i4>
      </vt:variant>
      <vt:variant>
        <vt:i4>5</vt:i4>
      </vt:variant>
      <vt:variant>
        <vt:lpwstr>http://www.secretariasenado.gov.co/senado/basedoc/ley_0599_2000.html</vt:lpwstr>
      </vt:variant>
      <vt:variant>
        <vt:lpwstr>243</vt:lpwstr>
      </vt:variant>
      <vt:variant>
        <vt:i4>1441798</vt:i4>
      </vt:variant>
      <vt:variant>
        <vt:i4>0</vt:i4>
      </vt:variant>
      <vt:variant>
        <vt:i4>0</vt:i4>
      </vt:variant>
      <vt:variant>
        <vt:i4>5</vt:i4>
      </vt:variant>
      <vt:variant>
        <vt:lpwstr>https://leyes.co/constitucion/122.htm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Elena Rios Vasquez</dc:creator>
  <cp:keywords/>
  <dc:description/>
  <cp:lastModifiedBy>Hermides Alonso Gaviria Ocampo</cp:lastModifiedBy>
  <cp:revision>31</cp:revision>
  <cp:lastPrinted>2018-12-14T21:16:00Z</cp:lastPrinted>
  <dcterms:created xsi:type="dcterms:W3CDTF">2023-05-05T13:19:00Z</dcterms:created>
  <dcterms:modified xsi:type="dcterms:W3CDTF">2023-07-19T17:48:00Z</dcterms:modified>
</cp:coreProperties>
</file>